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2024年度全省国土“三调”落实林地管理边界及林地矢量校核工作包括四部分，一是根据国土“三调”落实林地管理边界，二是公益林调整矢量图层审核，三是“一张图”纠错调整矢量图层审核，四是林地审批矢量图层审核。本项目共一个包。</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1,200,000.00</w:t>
      </w:r>
    </w:p>
    <w:p>
      <w:pPr>
        <w:pStyle w:val="4"/>
      </w:pPr>
      <w:r>
        <w:t>采购包最高限价（元）: 1,200,000.00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2024年度全省国土“三调”落实林地管理边界及林地矢量校核项目</w:t>
            </w:r>
          </w:p>
        </w:tc>
        <w:tc>
          <w:tcPr>
            <w:tcW w:w="848" w:type="dxa"/>
          </w:tcPr>
          <w:p>
            <w:pPr>
              <w:pStyle w:val="4"/>
              <w:jc w:val="right"/>
            </w:pPr>
            <w:r>
              <w:t>1.00</w:t>
            </w:r>
          </w:p>
        </w:tc>
        <w:tc>
          <w:tcPr>
            <w:tcW w:w="1356" w:type="dxa"/>
          </w:tcPr>
          <w:p>
            <w:pPr>
              <w:pStyle w:val="4"/>
              <w:jc w:val="right"/>
            </w:pPr>
            <w:r>
              <w:t>1,200,000.00</w:t>
            </w:r>
          </w:p>
        </w:tc>
        <w:tc>
          <w:tcPr>
            <w:tcW w:w="678" w:type="dxa"/>
          </w:tcPr>
          <w:p>
            <w:pPr>
              <w:pStyle w:val="4"/>
            </w:pPr>
            <w:r>
              <w:t>项</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标的名称：2024年度全省国土“三调”落实林地管理边界及林地矢量校核项目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1"/>
        <w:gridCol w:w="805"/>
        <w:gridCol w:w="63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1" w:type="dxa"/>
          </w:tcPr>
          <w:p>
            <w:pPr>
              <w:pStyle w:val="4"/>
              <w:rPr>
                <w:sz w:val="20"/>
                <w:szCs w:val="20"/>
              </w:rPr>
            </w:pPr>
            <w:r>
              <w:rPr>
                <w:sz w:val="20"/>
                <w:szCs w:val="20"/>
              </w:rPr>
              <w:t xml:space="preserve"> 参数性质</w:t>
            </w:r>
          </w:p>
        </w:tc>
        <w:tc>
          <w:tcPr>
            <w:tcW w:w="805" w:type="dxa"/>
          </w:tcPr>
          <w:p>
            <w:pPr>
              <w:pStyle w:val="4"/>
              <w:rPr>
                <w:sz w:val="20"/>
                <w:szCs w:val="20"/>
              </w:rPr>
            </w:pPr>
            <w:r>
              <w:rPr>
                <w:sz w:val="20"/>
                <w:szCs w:val="20"/>
              </w:rPr>
              <w:t xml:space="preserve"> 序号</w:t>
            </w:r>
          </w:p>
        </w:tc>
        <w:tc>
          <w:tcPr>
            <w:tcW w:w="6351" w:type="dxa"/>
          </w:tcPr>
          <w:p>
            <w:pPr>
              <w:pStyle w:val="4"/>
              <w:rPr>
                <w:sz w:val="20"/>
                <w:szCs w:val="20"/>
              </w:rPr>
            </w:pPr>
            <w:r>
              <w:rPr>
                <w:sz w:val="20"/>
                <w:szCs w:val="20"/>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1" w:type="dxa"/>
          </w:tcPr>
          <w:p>
            <w:pPr>
              <w:pStyle w:val="4"/>
              <w:rPr>
                <w:sz w:val="20"/>
                <w:szCs w:val="20"/>
              </w:rPr>
            </w:pPr>
            <w:r>
              <w:rPr>
                <w:sz w:val="20"/>
                <w:szCs w:val="20"/>
              </w:rPr>
              <w:t>★</w:t>
            </w:r>
          </w:p>
        </w:tc>
        <w:tc>
          <w:tcPr>
            <w:tcW w:w="805" w:type="dxa"/>
          </w:tcPr>
          <w:p>
            <w:pPr>
              <w:pStyle w:val="4"/>
              <w:rPr>
                <w:sz w:val="20"/>
                <w:szCs w:val="20"/>
              </w:rPr>
            </w:pPr>
            <w:r>
              <w:rPr>
                <w:sz w:val="20"/>
                <w:szCs w:val="20"/>
              </w:rPr>
              <w:t>1</w:t>
            </w:r>
          </w:p>
        </w:tc>
        <w:tc>
          <w:tcPr>
            <w:tcW w:w="6351" w:type="dxa"/>
          </w:tcPr>
          <w:p>
            <w:pPr>
              <w:pStyle w:val="4"/>
              <w:ind w:firstLine="560"/>
              <w:jc w:val="both"/>
              <w:rPr>
                <w:sz w:val="20"/>
                <w:szCs w:val="20"/>
              </w:rPr>
            </w:pPr>
            <w:r>
              <w:rPr>
                <w:rFonts w:ascii="宋体" w:hAnsi="宋体" w:eastAsia="宋体" w:cs="宋体"/>
                <w:sz w:val="20"/>
                <w:szCs w:val="20"/>
              </w:rPr>
              <w:t>（一）总体要求</w:t>
            </w:r>
          </w:p>
          <w:p>
            <w:pPr>
              <w:pStyle w:val="4"/>
              <w:ind w:firstLine="560"/>
              <w:jc w:val="both"/>
              <w:rPr>
                <w:sz w:val="20"/>
                <w:szCs w:val="20"/>
              </w:rPr>
            </w:pPr>
            <w:r>
              <w:rPr>
                <w:rFonts w:ascii="宋体" w:hAnsi="宋体" w:eastAsia="宋体" w:cs="宋体"/>
                <w:sz w:val="20"/>
                <w:szCs w:val="20"/>
              </w:rPr>
              <w:t>1.供应商和项目负责人熟悉国家和省级林地林木监管政策、现状、调查方法等，对工作人员的政治表现和业务素质负责。</w:t>
            </w:r>
          </w:p>
          <w:p>
            <w:pPr>
              <w:pStyle w:val="4"/>
              <w:ind w:firstLine="560"/>
              <w:jc w:val="both"/>
              <w:rPr>
                <w:sz w:val="20"/>
                <w:szCs w:val="20"/>
              </w:rPr>
            </w:pPr>
            <w:r>
              <w:rPr>
                <w:rFonts w:ascii="宋体" w:hAnsi="宋体" w:eastAsia="宋体" w:cs="宋体"/>
                <w:sz w:val="20"/>
                <w:szCs w:val="20"/>
              </w:rPr>
              <w:t>（二）服务内容</w:t>
            </w:r>
          </w:p>
          <w:p>
            <w:pPr>
              <w:pStyle w:val="4"/>
              <w:ind w:firstLine="560"/>
              <w:jc w:val="both"/>
              <w:rPr>
                <w:sz w:val="20"/>
                <w:szCs w:val="20"/>
              </w:rPr>
            </w:pPr>
            <w:r>
              <w:rPr>
                <w:rFonts w:ascii="宋体" w:hAnsi="宋体" w:eastAsia="宋体" w:cs="宋体"/>
                <w:sz w:val="20"/>
                <w:szCs w:val="20"/>
              </w:rPr>
              <w:t>1．根据国土“三调”落实林地管理边界</w:t>
            </w:r>
          </w:p>
          <w:p>
            <w:pPr>
              <w:pStyle w:val="4"/>
              <w:ind w:firstLine="560"/>
              <w:jc w:val="both"/>
              <w:rPr>
                <w:sz w:val="20"/>
                <w:szCs w:val="20"/>
              </w:rPr>
            </w:pPr>
            <w:r>
              <w:rPr>
                <w:rFonts w:ascii="宋体" w:hAnsi="宋体" w:eastAsia="宋体" w:cs="宋体"/>
                <w:sz w:val="20"/>
                <w:szCs w:val="20"/>
              </w:rPr>
              <w:t>为落实《自然资源部国家林业和草原局关于以第三次全国国土调查成果为基础明确林地管理边界规范林地管理的通知》（自然资发〔2023〕53号）,省级需要编制省级实施方案、开展技术培训、基础数据准备处理及数据分发等准备工作，县级核实林地管理边界后，省级需要对其成果质量开展外业质量抽查，并在内业形成林地管理数据库。具体内容如下：</w:t>
            </w:r>
          </w:p>
          <w:p>
            <w:pPr>
              <w:pStyle w:val="4"/>
              <w:ind w:firstLine="560"/>
              <w:jc w:val="both"/>
              <w:rPr>
                <w:sz w:val="20"/>
                <w:szCs w:val="20"/>
              </w:rPr>
            </w:pPr>
            <w:r>
              <w:rPr>
                <w:rFonts w:ascii="宋体" w:hAnsi="宋体" w:eastAsia="宋体" w:cs="宋体"/>
                <w:sz w:val="20"/>
                <w:szCs w:val="20"/>
              </w:rPr>
              <w:t>（1）工作准备。包括实施方案编制、技术培训和基础数据准备处理及数据分发。一是编制以第三次全国国土调查成果为基础明确林地管理边界省级实施方案1个，二是对21个市（州），21个培训单位，每单位开展1人为期1天的培训，三是以183个县级单位为单元，提取“国土三调”为底版的初始林地范围、并叠加相关专题图层，通过图形处理、属性赋值等操作，形成林地初始图斑，然后再分发到各个市（州）、县（市区）。</w:t>
            </w:r>
          </w:p>
          <w:p>
            <w:pPr>
              <w:pStyle w:val="4"/>
              <w:ind w:firstLine="560"/>
              <w:jc w:val="both"/>
              <w:rPr>
                <w:sz w:val="20"/>
                <w:szCs w:val="20"/>
              </w:rPr>
            </w:pPr>
            <w:r>
              <w:rPr>
                <w:rFonts w:ascii="宋体" w:hAnsi="宋体" w:eastAsia="宋体" w:cs="宋体"/>
                <w:sz w:val="20"/>
                <w:szCs w:val="20"/>
              </w:rPr>
              <w:t>（2）省级外业质量抽查。省级质量检查20%的数量，计36个县级单位。</w:t>
            </w:r>
          </w:p>
          <w:p>
            <w:pPr>
              <w:pStyle w:val="4"/>
              <w:ind w:firstLine="560"/>
              <w:jc w:val="both"/>
              <w:rPr>
                <w:sz w:val="20"/>
                <w:szCs w:val="20"/>
              </w:rPr>
            </w:pPr>
            <w:r>
              <w:rPr>
                <w:rFonts w:ascii="宋体" w:hAnsi="宋体" w:eastAsia="宋体" w:cs="宋体"/>
                <w:sz w:val="20"/>
                <w:szCs w:val="20"/>
              </w:rPr>
              <w:t>（3）形成林地管理数据库。一是对三调是林地二调是耕地、退耕还林、违法图斑、直接服务林业生产用地等专题档案进行审查，重点检查真实性、合理性以及拓扑正确性等，形成183个县级专题档案数据库；二是对县级调查完成的林地管理边界图斑数据库，依据相关专题档案数据，结合遥感影像，对林地管理边界图斑开展内业质量检查，包括数据资料齐备性、图斑空间拓扑正确性、因子科学合理性、逻辑关系合理性等，面上全部检查，重点抽查1%图斑，预计检查图斑19.89万个，并形成检查数据库；三是形成183个县级林地管理边界数据库。</w:t>
            </w:r>
          </w:p>
          <w:p>
            <w:pPr>
              <w:pStyle w:val="4"/>
              <w:ind w:firstLine="560"/>
              <w:jc w:val="both"/>
              <w:rPr>
                <w:sz w:val="20"/>
                <w:szCs w:val="20"/>
              </w:rPr>
            </w:pPr>
            <w:r>
              <w:rPr>
                <w:rFonts w:ascii="宋体" w:hAnsi="宋体" w:eastAsia="宋体" w:cs="宋体"/>
                <w:sz w:val="20"/>
                <w:szCs w:val="20"/>
              </w:rPr>
              <w:t>2.公益林调整矢量图层审核</w:t>
            </w:r>
          </w:p>
          <w:p>
            <w:pPr>
              <w:pStyle w:val="4"/>
              <w:ind w:firstLine="560"/>
              <w:jc w:val="both"/>
              <w:rPr>
                <w:sz w:val="20"/>
                <w:szCs w:val="20"/>
              </w:rPr>
            </w:pPr>
            <w:r>
              <w:rPr>
                <w:rFonts w:ascii="宋体" w:hAnsi="宋体" w:eastAsia="宋体" w:cs="宋体"/>
                <w:sz w:val="20"/>
                <w:szCs w:val="20"/>
              </w:rPr>
              <w:t>对全省申请公益林调整的资料，组织技术人员进行内业图层审核，分析调整合理性、合规性，形成审查意见。具体内容如下：</w:t>
            </w:r>
          </w:p>
          <w:p>
            <w:pPr>
              <w:pStyle w:val="4"/>
              <w:ind w:firstLine="560"/>
              <w:jc w:val="both"/>
              <w:rPr>
                <w:sz w:val="20"/>
                <w:szCs w:val="20"/>
              </w:rPr>
            </w:pPr>
            <w:r>
              <w:rPr>
                <w:rFonts w:ascii="宋体" w:hAnsi="宋体" w:eastAsia="宋体" w:cs="宋体"/>
                <w:sz w:val="20"/>
                <w:szCs w:val="20"/>
              </w:rPr>
              <w:t>（1）内业图斑审查。按照往年数据判断，每年公益林调整县级单位20个左右，要根据县级上报公益林调整报告、调整矢量图层、调整相关依据，依据林草资源一张图、自然保护地等专题档案数据，再结合遥感影像，对公益林调整图斑开展内业质量检查，包括调整的合理性、依据充分性、图斑空间拓扑正确性、逻辑关系合理性等检查。</w:t>
            </w:r>
          </w:p>
          <w:p>
            <w:pPr>
              <w:pStyle w:val="4"/>
              <w:ind w:firstLine="560"/>
              <w:jc w:val="both"/>
              <w:rPr>
                <w:sz w:val="20"/>
                <w:szCs w:val="20"/>
              </w:rPr>
            </w:pPr>
            <w:r>
              <w:rPr>
                <w:rFonts w:ascii="宋体" w:hAnsi="宋体" w:eastAsia="宋体" w:cs="宋体"/>
                <w:sz w:val="20"/>
                <w:szCs w:val="20"/>
              </w:rPr>
              <w:t>（2）外业抽查。按照往年审核数据判断，每年公益林调整县级单位20个左右，外业现地抽查10%，按2个县级单位计算。</w:t>
            </w:r>
          </w:p>
          <w:p>
            <w:pPr>
              <w:pStyle w:val="4"/>
              <w:ind w:firstLine="560"/>
              <w:jc w:val="both"/>
              <w:rPr>
                <w:sz w:val="20"/>
                <w:szCs w:val="20"/>
              </w:rPr>
            </w:pPr>
            <w:r>
              <w:rPr>
                <w:rFonts w:ascii="宋体" w:hAnsi="宋体" w:eastAsia="宋体" w:cs="宋体"/>
                <w:sz w:val="20"/>
                <w:szCs w:val="20"/>
              </w:rPr>
              <w:t>3.“一张图”纠错调整矢量图层审核</w:t>
            </w:r>
          </w:p>
          <w:p>
            <w:pPr>
              <w:pStyle w:val="4"/>
              <w:ind w:firstLine="560"/>
              <w:jc w:val="both"/>
              <w:rPr>
                <w:sz w:val="20"/>
                <w:szCs w:val="20"/>
              </w:rPr>
            </w:pPr>
            <w:r>
              <w:rPr>
                <w:rFonts w:ascii="宋体" w:hAnsi="宋体" w:eastAsia="宋体" w:cs="宋体"/>
                <w:sz w:val="20"/>
                <w:szCs w:val="20"/>
              </w:rPr>
              <w:t>对各地申请“一张图”纠错调整的资料，组织技术人员进行内业图面审核，分析调整合理性、合规性，形成审查意见。具体内容如下：</w:t>
            </w:r>
          </w:p>
          <w:p>
            <w:pPr>
              <w:pStyle w:val="4"/>
              <w:ind w:firstLine="560"/>
              <w:jc w:val="both"/>
              <w:rPr>
                <w:sz w:val="20"/>
                <w:szCs w:val="20"/>
              </w:rPr>
            </w:pPr>
            <w:r>
              <w:rPr>
                <w:rFonts w:ascii="宋体" w:hAnsi="宋体" w:eastAsia="宋体" w:cs="宋体"/>
                <w:sz w:val="20"/>
                <w:szCs w:val="20"/>
              </w:rPr>
              <w:t>（1）内业图斑审查。按照往年数据判断，每年一张图数据纠错县级单位20个左右，要根据县级上报一张图纠错报告、纠错矢量图层、纠错相关依据，依据林草资源一张图、自然保护地等专题档案数据，再结合遥感影像，对纠错图斑开展内业质量检查，包括纠错的合理性、依据充分性、图斑空间拓扑正确性、逻辑关系合理性等检查。</w:t>
            </w:r>
          </w:p>
          <w:p>
            <w:pPr>
              <w:pStyle w:val="4"/>
              <w:ind w:firstLine="560"/>
              <w:jc w:val="both"/>
              <w:rPr>
                <w:sz w:val="20"/>
                <w:szCs w:val="20"/>
              </w:rPr>
            </w:pPr>
            <w:r>
              <w:rPr>
                <w:rFonts w:ascii="宋体" w:hAnsi="宋体" w:eastAsia="宋体" w:cs="宋体"/>
                <w:sz w:val="20"/>
                <w:szCs w:val="20"/>
              </w:rPr>
              <w:t>（2）外业抽查。按照往年审核数据判断，每年一张图纠错县级单位20个左右，外业现地抽查10%，按2个县级单位计算。</w:t>
            </w:r>
          </w:p>
          <w:p>
            <w:pPr>
              <w:pStyle w:val="4"/>
              <w:ind w:firstLine="560"/>
              <w:jc w:val="both"/>
              <w:rPr>
                <w:sz w:val="20"/>
                <w:szCs w:val="20"/>
              </w:rPr>
            </w:pPr>
            <w:r>
              <w:rPr>
                <w:rFonts w:ascii="宋体" w:hAnsi="宋体" w:eastAsia="宋体" w:cs="宋体"/>
                <w:sz w:val="20"/>
                <w:szCs w:val="20"/>
              </w:rPr>
              <w:t>4.林地审批矢量图层审核</w:t>
            </w:r>
          </w:p>
          <w:p>
            <w:pPr>
              <w:pStyle w:val="4"/>
              <w:ind w:firstLine="560"/>
              <w:jc w:val="both"/>
              <w:rPr>
                <w:sz w:val="20"/>
                <w:szCs w:val="20"/>
              </w:rPr>
            </w:pPr>
            <w:r>
              <w:rPr>
                <w:rFonts w:ascii="宋体" w:hAnsi="宋体" w:eastAsia="宋体" w:cs="宋体"/>
                <w:sz w:val="20"/>
                <w:szCs w:val="20"/>
              </w:rPr>
              <w:t>对申请省级专家评审的使用林地建设项目，结合“一张图”、自然保护地、森林督查、卫星遥感影像等档案资料，组织技术人员对调查图层进行审核，审查林地范围、林地因子、影像支持等情况，形成技术校核意见。具体内容如下：</w:t>
            </w:r>
          </w:p>
          <w:p>
            <w:pPr>
              <w:pStyle w:val="4"/>
              <w:ind w:firstLine="560"/>
              <w:jc w:val="both"/>
              <w:rPr>
                <w:sz w:val="20"/>
                <w:szCs w:val="20"/>
              </w:rPr>
            </w:pPr>
            <w:r>
              <w:rPr>
                <w:rFonts w:ascii="宋体" w:hAnsi="宋体" w:eastAsia="宋体" w:cs="宋体"/>
                <w:sz w:val="20"/>
                <w:szCs w:val="20"/>
              </w:rPr>
              <w:t>（1）内业图斑审查。按照往年数据判断，林地审批矢量图层审核年均45件（±5件），要根据林地审批矢量图层，结合“一张图”、自然保护地、森林督查、卫星遥感影像等档案资料，组织技术人员对调查图层进行审核，审查林地范围、林地因子、影像支持等情况，形成技术校核意见。</w:t>
            </w:r>
          </w:p>
          <w:p>
            <w:pPr>
              <w:pStyle w:val="4"/>
              <w:ind w:firstLine="560"/>
              <w:jc w:val="both"/>
              <w:rPr>
                <w:sz w:val="20"/>
                <w:szCs w:val="20"/>
              </w:rPr>
            </w:pPr>
            <w:r>
              <w:rPr>
                <w:rFonts w:ascii="宋体" w:hAnsi="宋体" w:eastAsia="宋体" w:cs="宋体"/>
                <w:sz w:val="20"/>
                <w:szCs w:val="20"/>
              </w:rPr>
              <w:t>（2）外业抽查。每年林地审批抽查45件左右，外业现地抽查4件。</w:t>
            </w:r>
          </w:p>
          <w:p>
            <w:pPr>
              <w:pStyle w:val="4"/>
              <w:ind w:firstLine="560"/>
              <w:jc w:val="both"/>
              <w:rPr>
                <w:sz w:val="20"/>
                <w:szCs w:val="20"/>
              </w:rPr>
            </w:pPr>
            <w:r>
              <w:rPr>
                <w:rFonts w:ascii="宋体" w:hAnsi="宋体" w:eastAsia="宋体" w:cs="宋体"/>
                <w:sz w:val="20"/>
                <w:szCs w:val="20"/>
              </w:rPr>
              <w:t>（三）成果要求</w:t>
            </w:r>
          </w:p>
          <w:p>
            <w:pPr>
              <w:pStyle w:val="4"/>
              <w:ind w:firstLine="560"/>
              <w:jc w:val="both"/>
              <w:rPr>
                <w:sz w:val="20"/>
                <w:szCs w:val="20"/>
              </w:rPr>
            </w:pPr>
            <w:r>
              <w:rPr>
                <w:rFonts w:ascii="宋体" w:hAnsi="宋体" w:eastAsia="宋体" w:cs="宋体"/>
                <w:sz w:val="20"/>
                <w:szCs w:val="20"/>
              </w:rPr>
              <w:t>汇总林地成果数据库和林地变化库，形成无缝拼接的省级林地“一张图”，产出“一套数”，形成省级林地成果报告。</w:t>
            </w:r>
          </w:p>
          <w:p>
            <w:pPr>
              <w:pStyle w:val="4"/>
              <w:ind w:firstLine="560"/>
              <w:jc w:val="both"/>
              <w:rPr>
                <w:sz w:val="20"/>
                <w:szCs w:val="20"/>
              </w:rPr>
            </w:pPr>
            <w:r>
              <w:rPr>
                <w:rFonts w:ascii="宋体" w:hAnsi="宋体" w:eastAsia="宋体" w:cs="宋体"/>
                <w:sz w:val="20"/>
                <w:szCs w:val="20"/>
              </w:rPr>
              <w:t>（四）供应商须严格遵照服务期限，保证在采购人要求的时间内保质保量完成任务。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1" w:type="dxa"/>
          </w:tcPr>
          <w:p>
            <w:pPr>
              <w:rPr>
                <w:sz w:val="20"/>
                <w:szCs w:val="20"/>
              </w:rPr>
            </w:pPr>
          </w:p>
        </w:tc>
        <w:tc>
          <w:tcPr>
            <w:tcW w:w="805" w:type="dxa"/>
          </w:tcPr>
          <w:p>
            <w:pPr>
              <w:pStyle w:val="4"/>
              <w:rPr>
                <w:sz w:val="20"/>
                <w:szCs w:val="20"/>
              </w:rPr>
            </w:pPr>
            <w:r>
              <w:rPr>
                <w:sz w:val="20"/>
                <w:szCs w:val="20"/>
              </w:rPr>
              <w:t>2</w:t>
            </w:r>
          </w:p>
        </w:tc>
        <w:tc>
          <w:tcPr>
            <w:tcW w:w="6351" w:type="dxa"/>
          </w:tcPr>
          <w:p>
            <w:pPr>
              <w:pStyle w:val="4"/>
              <w:ind w:firstLine="560"/>
              <w:jc w:val="both"/>
              <w:rPr>
                <w:sz w:val="20"/>
                <w:szCs w:val="20"/>
              </w:rPr>
            </w:pPr>
            <w:r>
              <w:rPr>
                <w:sz w:val="20"/>
                <w:szCs w:val="20"/>
              </w:rPr>
              <w:t>其他服务要求：</w:t>
            </w:r>
          </w:p>
          <w:p>
            <w:pPr>
              <w:pStyle w:val="4"/>
              <w:ind w:firstLine="560"/>
              <w:jc w:val="both"/>
              <w:rPr>
                <w:sz w:val="20"/>
                <w:szCs w:val="20"/>
              </w:rPr>
            </w:pPr>
            <w:r>
              <w:rPr>
                <w:rFonts w:ascii="宋体" w:hAnsi="宋体" w:eastAsia="宋体" w:cs="宋体"/>
                <w:sz w:val="20"/>
                <w:szCs w:val="20"/>
              </w:rPr>
              <w:t>（一）供应商针对本项目，结合采购人实际需求情况提供项目技术服务方案，包含以下方面：①行业现状分析（包含但不限于对相关林地林木监管政策的理解、现状及调查方法）、②服务保障措施（包含但不限于各环节时间点的进度控制与安排、项目实施质量控制措施）、③项目实施计划（包含但不限于项目方案设计与实施、项目规划目标）、④成果编制与整理计划（包含但不限于成果出具与成果整理计划）、⑤信息安全保密方案（包含但不限于成果保密制度与保密方案、保密承诺书）、⑥培训方案（包含但不限于培训内容与形式、培训课程安排）。</w:t>
            </w:r>
          </w:p>
          <w:p>
            <w:pPr>
              <w:pStyle w:val="4"/>
              <w:ind w:firstLine="560"/>
              <w:jc w:val="both"/>
              <w:rPr>
                <w:sz w:val="20"/>
                <w:szCs w:val="20"/>
              </w:rPr>
            </w:pPr>
            <w:r>
              <w:rPr>
                <w:rFonts w:ascii="宋体" w:hAnsi="宋体" w:eastAsia="宋体" w:cs="宋体"/>
                <w:sz w:val="20"/>
                <w:szCs w:val="20"/>
              </w:rPr>
              <w:t>（二）为保障本项目顺利履约，高质量高标准完成本项目，拟投入服务团队（项目负责人、技术负责人、技术人员）需具备相关专业的职称，供应商根据自身优势，筹建完</w:t>
            </w:r>
            <w:bookmarkStart w:id="0" w:name="_GoBack"/>
            <w:bookmarkEnd w:id="0"/>
            <w:r>
              <w:rPr>
                <w:rFonts w:ascii="宋体" w:hAnsi="宋体" w:eastAsia="宋体" w:cs="宋体"/>
                <w:sz w:val="20"/>
                <w:szCs w:val="20"/>
              </w:rPr>
              <w:t>备的调查团队和技术力量。</w:t>
            </w:r>
          </w:p>
          <w:p>
            <w:pPr>
              <w:pStyle w:val="4"/>
              <w:ind w:firstLine="560"/>
              <w:jc w:val="both"/>
              <w:rPr>
                <w:sz w:val="20"/>
                <w:szCs w:val="20"/>
              </w:rPr>
            </w:pPr>
            <w:r>
              <w:rPr>
                <w:rFonts w:ascii="宋体" w:hAnsi="宋体" w:eastAsia="宋体" w:cs="宋体"/>
                <w:color w:val="000000"/>
                <w:sz w:val="20"/>
                <w:szCs w:val="20"/>
              </w:rPr>
              <w:t>（三）</w:t>
            </w:r>
            <w:r>
              <w:rPr>
                <w:rFonts w:ascii="宋体" w:hAnsi="宋体" w:eastAsia="宋体" w:cs="宋体"/>
                <w:sz w:val="20"/>
                <w:szCs w:val="20"/>
              </w:rPr>
              <w:t>供应商近年来完成过相关的技术服务工作或具有类似履约经验。</w:t>
            </w:r>
          </w:p>
          <w:p>
            <w:pPr>
              <w:pStyle w:val="4"/>
              <w:ind w:firstLine="560"/>
              <w:jc w:val="both"/>
              <w:rPr>
                <w:sz w:val="20"/>
                <w:szCs w:val="20"/>
              </w:rPr>
            </w:pPr>
            <w:r>
              <w:rPr>
                <w:rFonts w:ascii="宋体" w:hAnsi="宋体" w:eastAsia="宋体" w:cs="宋体"/>
                <w:sz w:val="20"/>
                <w:szCs w:val="20"/>
              </w:rPr>
              <w:t>（四）供应商需在项目所在地（四川省内）设有服务机构（或服务点）或承诺成交后在项目所在地设立服务机构（或服务点）。</w:t>
            </w:r>
          </w:p>
          <w:p>
            <w:pPr>
              <w:pStyle w:val="4"/>
              <w:jc w:val="both"/>
              <w:rPr>
                <w:sz w:val="20"/>
                <w:szCs w:val="20"/>
              </w:rPr>
            </w:pPr>
            <w:r>
              <w:rPr>
                <w:rFonts w:ascii="宋体" w:hAnsi="宋体" w:eastAsia="宋体" w:cs="宋体"/>
                <w:b/>
                <w:color w:val="0A82E5"/>
                <w:sz w:val="20"/>
                <w:szCs w:val="20"/>
                <w:shd w:val="clear" w:fill="FFFFFF"/>
              </w:rPr>
              <w:t>注：本项中（一）~（四）条采购需求作为评分因素，供应商无需在（服务要求响应表/产品技术参数表）中应答。供应商需结合本项目实际情况和采购需求全部内容进行响应，分别按每条具体要求及综合评分表中对应的要求自行响应或提供。</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详见“3.2.2服务要求”。</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自合同签订之日起275日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四川省内</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1．履约验收主体：四川省林业和草原局 2．履约验收时间：供应商提出验收申请之日起5日内组织验收。 3．履约验收方式：单位内部验收。 4．履约验收程序：验收由采购人组织，供应商配合进行。 5．履约验收内容：结合采购文件要求的每项技术服务要求和商务要求，以及成交供应商的响应文件应答和承诺的条款和内容逐项核实履约情况。 6．履约验收标准： （1）技术履约内容及标准：结合采购文件要求的每项服务要求、服务内容，以及供应商的响应文件应答和承诺的条款和内容逐项核实履约情况。 （2）商务履约内容及标准：结合采购文件要求的商务要求，以及供应商的响应文件应答和承诺的条款和内容逐项核实履约情况。 （3）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 （4）验收时如发现所交付服务成果文件或其它不符合标准及本合同规定之情形，采购人应做出详尽的现场记录，或由采购人与供应商双方签署备忘录，此现场记录或备忘录可用作修改服务成果的有效证据，由此产生的时间延误与有关费用由供应商承担，验收期限相应顺延。 （5）采购人在合同约定时间内无故不进行验收工作，视同供应商已完成并验收合格。 （6）项目验收结果合格的，采购人按合同约定支付采购资金；验收结果不合格15个工作日内修改完善并申请重新验收，如3次验收均未通过，采购人有权利单方面无责终止合同，并不再支付剩余款项。由此给采购人带来的损失，采购人有权向供应商索赔。 （8）其他未尽事宜：参照《财政部关于进一步加强政府采购需求和履约验收管理的指导意见》(财库〔2016〕205号)、《政府采购需求管理办法》(财库〔2021〕22号)的和采购文件要求进行验收。符合国家有关规定、采购文件的质量要求和技术指标、供应商的响应文件及承诺以及合同条款。</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签订合同后 ，达到付款条件起 7 日内，支付合同总金额的 50.00%。</w:t>
      </w:r>
    </w:p>
    <w:p>
      <w:pPr>
        <w:pStyle w:val="4"/>
      </w:pPr>
      <w:r>
        <w:t>采购包1： 付款条件说明： 供应商完成项目服务内容中的根据国土“三调”落实林地管理边界、公益林调整矢量图层审核、“一张图”纠错调整矢量图层审核、林地审批矢量图层审核等外业抽查工作 ，达到付款条件起 7 日内，支付合同总金额的 30.00%。</w:t>
      </w:r>
    </w:p>
    <w:p>
      <w:pPr>
        <w:pStyle w:val="4"/>
      </w:pPr>
      <w:r>
        <w:t>采购包1： 付款条件说明： 供应商全面完成服务内容并通过采购人验收后，供应商提出支付申请 ，达到付款条件起 7 日内，支付合同总金额的 20.00%。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（一）违约责任： 1.采购人违约责任： （1）采购人应遵守合同并执行合同中的各项规定，保证合同的正常履行。 （2）采购人无正当理由拒收服务成果的，采购人应偿付合同总价百分之五的违约金； （3）采购人逾期支付服务合同款项的，除应及时付足合同款项外，应向供应商偿付欠款总额万分之五/天的违约金；逾期付款超过六十天的，供应商有权终止合同。 （4）采购人偿付的违约金不足以弥补供应商损失的，还应按供应商经济损失尚未弥补的部分，支付赔偿金给供应商。 2.供应商违约责任： （1）供应商必须遵守采购合同并执行合同中的各项规定，保证采购合同的正常履行。 （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 （3）供应商不能按时提供服务（成果）或逾期提供的而违约的，除应及时提供服务外，应向采购人偿付逾期提供部分服务总额的万分之五/天的违约金；逾期超过30天，采购人有权终止合同，供应商则应按合同总价的百分之十的款额向采购人偿付违约金，并须全额退还采购人已经付给供应商的服务费及其利息。 （4）供应商在履约过程中，服务经采购人验收不合格的，采购人有权要求供应商15 个工作日内修改完善，供应商三次整改仍不符合要求的，采购人有权利单方面无责终止合同，并不再支付剩余款项。由此给采购人带来的损失，采购人有权向供应商索赔。 （5）供应商应当遵守采购人的相关项目需求及相关技术要求及实质性条款，实施完成采购合同应当完全满足相关项目需求及相关技术要求及实质性条款，若供应商瑕疵履行采购合同，采购人有权向供应商要求赔偿合同总价款5%的违约金，若造成相关损失的，采购人有权要求供应商承担所有赔偿责任。 （二）解决争议的方法： 1.在执行本合同中发生的或与本合同有关的争端，双方应通过友好协商解决，经协商在60天内不能达成协议时，双方均有权向采购人所在地人民法院提起诉讼。 2.合同落款处双方通讯地址视为双方确认送达地址，适用于双方文件、函件往来、法院文书送达等。供应商地址变更应当书面告知采购人，否则采购人按照该地址送达视为有效送达。</w:t>
      </w:r>
    </w:p>
    <w:p>
      <w:pPr>
        <w:pStyle w:val="4"/>
        <w:jc w:val="left"/>
        <w:outlineLvl w:val="2"/>
      </w:pPr>
      <w:r>
        <w:rPr>
          <w:b/>
          <w:sz w:val="28"/>
        </w:rPr>
        <w:t>3.4其他要求</w:t>
      </w:r>
    </w:p>
    <w:p>
      <w:pPr>
        <w:pStyle w:val="4"/>
      </w:pPr>
    </w:p>
    <w:p>
      <w:pPr>
        <w:pStyle w:val="4"/>
      </w:pPr>
    </w:p>
    <w:p>
      <w:pPr>
        <w:pStyle w:val="4"/>
      </w:pPr>
      <w:r>
        <w:t>★（一）报价要求： 本项目总报价包括全部服务内容、评审、验收、人工、设备、交通、保险、食宿、各种税费、专利技术、技术支持与培训、质保、售后服务及相关劳务支出等所发生的全部费用以及供应商企业利润、税金和政策性文件规定及合同包含的所有风险、责任、代理费等各项应有费用以及其它应纳入的一切费用。（提供响应承诺函，格式自拟。） ★（二）保险（提供响应承诺函，格式自拟。）： 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 2.供应商应为本项目提供履约的所有人员按照国家规定购买相关保险。 3.供应商自行运输标的物或委托承运人运输的，应为该批货物购买货物运输保险及运输工具航程保险(如涉及)。 4.供应商在服务实施过程中的安全责任由供应商负全责，采购方不承担任何安全责任，也不承担如发生安全事故产生的任何责任。 注:3.3、商务要求为实质性要求。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YmI2ZjdjNDgwZTM3YTBkZDYxMjg0NzEwMTY1Y2QifQ=="/>
  </w:docVars>
  <w:rsids>
    <w:rsidRoot w:val="71253B51"/>
    <w:rsid w:val="7125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2024-04-17T07:04:00Z</dcterms:created>
  <dc:creator>友你</dc:creator>
  <cp:lastModifiedBy>友你</cp:lastModifiedBy>
  <dcterms:modified xsi:type="dcterms:W3CDTF">2024-04-17T07:06:19Z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0607AAE472064AEEABF1FC0D4C769883_11</vt:lpwstr>
  </property>
</Properties>
</file>