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i w:val="0"/>
          <w:iCs w:val="0"/>
          <w:caps w:val="0"/>
          <w:color w:val="333333"/>
          <w:spacing w:val="0"/>
          <w:sz w:val="39"/>
          <w:szCs w:val="39"/>
        </w:rPr>
      </w:pPr>
      <w:r>
        <w:rPr>
          <w:rFonts w:hint="eastAsia" w:ascii="宋体" w:hAnsi="宋体" w:eastAsia="宋体" w:cs="宋体"/>
          <w:b/>
          <w:bCs/>
          <w:i w:val="0"/>
          <w:iCs w:val="0"/>
          <w:caps w:val="0"/>
          <w:color w:val="333333"/>
          <w:spacing w:val="0"/>
          <w:sz w:val="39"/>
          <w:szCs w:val="39"/>
          <w:bdr w:val="none" w:color="auto" w:sz="0" w:space="0"/>
          <w:shd w:val="clear" w:fill="FFFFFF"/>
        </w:rPr>
        <w:t>第三章 磋商项目技术、服务、商务及其他要求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333333"/>
          <w:spacing w:val="0"/>
        </w:rPr>
      </w:pPr>
      <w:r>
        <w:rPr>
          <w:rFonts w:hint="eastAsia" w:ascii="宋体" w:hAnsi="宋体" w:eastAsia="宋体" w:cs="宋体"/>
          <w:i w:val="0"/>
          <w:iCs w:val="0"/>
          <w:caps w:val="0"/>
          <w:color w:val="333333"/>
          <w:spacing w:val="0"/>
          <w:bdr w:val="none" w:color="auto" w:sz="0" w:space="0"/>
          <w:shd w:val="clear" w:fill="FFFFFF"/>
        </w:rPr>
        <w:t>（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3.1、采购项目概况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成都市花木技术服务中心拟对2024年城市绿化日常维护（专项）-全国大学生花境竞赛项目进行采购，本项目共分为1个包。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3.2、服务内容及服务要求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3.2.1服务内容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采购包预算金额（元）: 1,990,000.00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采购包最高限价（元）: 1,990,000.00</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25"/>
        <w:gridCol w:w="1032"/>
        <w:gridCol w:w="813"/>
        <w:gridCol w:w="1451"/>
        <w:gridCol w:w="725"/>
        <w:gridCol w:w="855"/>
        <w:gridCol w:w="681"/>
        <w:gridCol w:w="725"/>
        <w:gridCol w:w="725"/>
        <w:gridCol w:w="81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578"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2959"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标的名称</w:t>
            </w:r>
          </w:p>
        </w:tc>
        <w:tc>
          <w:tcPr>
            <w:tcW w:w="1972"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数量</w:t>
            </w:r>
          </w:p>
        </w:tc>
        <w:tc>
          <w:tcPr>
            <w:tcW w:w="3156"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标的金额 （元）</w:t>
            </w:r>
          </w:p>
        </w:tc>
        <w:tc>
          <w:tcPr>
            <w:tcW w:w="1578"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计量单位</w:t>
            </w:r>
          </w:p>
        </w:tc>
        <w:tc>
          <w:tcPr>
            <w:tcW w:w="1578"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所属行业</w:t>
            </w:r>
          </w:p>
        </w:tc>
        <w:tc>
          <w:tcPr>
            <w:tcW w:w="1381"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是否涉及核心产品</w:t>
            </w:r>
          </w:p>
        </w:tc>
        <w:tc>
          <w:tcPr>
            <w:tcW w:w="1578"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是否涉及采购进口产品</w:t>
            </w:r>
          </w:p>
        </w:tc>
        <w:tc>
          <w:tcPr>
            <w:tcW w:w="1578"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是否涉及采购节能产品</w:t>
            </w:r>
          </w:p>
        </w:tc>
        <w:tc>
          <w:tcPr>
            <w:tcW w:w="1973"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全国大学生花境竞赛</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1,990,000.00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租赁和商务服务业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3.2.2服务要求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标的名称：全国大学生花境竞赛</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ascii="Calibri" w:hAnsi="Calibri" w:eastAsia="宋体" w:cs="Calibri"/>
                <w:sz w:val="21"/>
                <w:szCs w:val="21"/>
                <w:bdr w:val="none" w:color="auto" w:sz="0" w:space="0"/>
              </w:rPr>
              <w:t>一、</w:t>
            </w:r>
            <w:r>
              <w:rPr>
                <w:rFonts w:hint="default" w:ascii="Calibri" w:hAnsi="Calibri" w:eastAsia="宋体" w:cs="Calibri"/>
                <w:sz w:val="21"/>
                <w:szCs w:val="21"/>
                <w:bdr w:val="none" w:color="auto" w:sz="0" w:space="0"/>
              </w:rPr>
              <w:t>服务内容及要求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default" w:ascii="Calibri" w:hAnsi="Calibri" w:eastAsia="等线" w:cs="Calibri"/>
                <w:sz w:val="21"/>
                <w:szCs w:val="21"/>
                <w:bdr w:val="none" w:color="auto" w:sz="0" w:space="0"/>
              </w:rPr>
              <w:t>（一）</w:t>
            </w:r>
            <w:r>
              <w:rPr>
                <w:rFonts w:hint="eastAsia" w:ascii="等线" w:hAnsi="等线" w:eastAsia="等线" w:cs="等线"/>
                <w:sz w:val="21"/>
                <w:szCs w:val="21"/>
                <w:bdr w:val="none" w:color="auto" w:sz="0" w:space="0"/>
              </w:rPr>
              <w:t>服务范围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等线" w:hAnsi="等线" w:eastAsia="等线" w:cs="等线"/>
                <w:sz w:val="21"/>
                <w:szCs w:val="21"/>
                <w:bdr w:val="none" w:color="auto" w:sz="0" w:space="0"/>
              </w:rPr>
              <w:t>完成</w:t>
            </w:r>
            <w:r>
              <w:rPr>
                <w:rFonts w:hint="default" w:ascii="Calibri" w:hAnsi="Calibri" w:eastAsia="等线" w:cs="Calibri"/>
                <w:sz w:val="21"/>
                <w:szCs w:val="21"/>
                <w:bdr w:val="none" w:color="auto" w:sz="0" w:space="0"/>
              </w:rPr>
              <w:t>2024</w:t>
            </w:r>
            <w:r>
              <w:rPr>
                <w:rFonts w:hint="eastAsia" w:ascii="等线" w:hAnsi="等线" w:eastAsia="等线" w:cs="等线"/>
                <w:sz w:val="21"/>
                <w:szCs w:val="21"/>
                <w:bdr w:val="none" w:color="auto" w:sz="0" w:space="0"/>
              </w:rPr>
              <w:t>年城市绿化日常维护（专项）</w:t>
            </w:r>
            <w:r>
              <w:rPr>
                <w:rFonts w:hint="default" w:ascii="Calibri" w:hAnsi="Calibri" w:eastAsia="等线" w:cs="Calibri"/>
                <w:sz w:val="21"/>
                <w:szCs w:val="21"/>
                <w:bdr w:val="none" w:color="auto" w:sz="0" w:space="0"/>
              </w:rPr>
              <w:t>-</w:t>
            </w:r>
            <w:r>
              <w:rPr>
                <w:rFonts w:hint="eastAsia" w:ascii="等线" w:hAnsi="等线" w:eastAsia="等线" w:cs="等线"/>
                <w:sz w:val="21"/>
                <w:szCs w:val="21"/>
                <w:bdr w:val="none" w:color="auto" w:sz="0" w:space="0"/>
              </w:rPr>
              <w:t>全国大学生花境竞赛项目的整体组织策划、竞赛宣传推广、设计方案征集与评审、线上线下活动组织、设计获奖作品落地与评选、相应协调服务等内容。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default" w:ascii="Calibri" w:hAnsi="Calibri" w:eastAsia="等线" w:cs="Calibri"/>
                <w:sz w:val="21"/>
                <w:szCs w:val="21"/>
                <w:bdr w:val="none" w:color="auto" w:sz="0" w:space="0"/>
              </w:rPr>
              <w:t>（二）</w:t>
            </w:r>
            <w:r>
              <w:rPr>
                <w:rFonts w:hint="eastAsia" w:ascii="等线" w:hAnsi="等线" w:eastAsia="等线" w:cs="等线"/>
                <w:sz w:val="21"/>
                <w:szCs w:val="21"/>
                <w:bdr w:val="none" w:color="auto" w:sz="0" w:space="0"/>
              </w:rPr>
              <w:t>服务要求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等线" w:hAnsi="等线" w:eastAsia="等线" w:cs="等线"/>
                <w:sz w:val="21"/>
                <w:szCs w:val="21"/>
                <w:bdr w:val="none" w:color="auto" w:sz="0" w:space="0"/>
              </w:rPr>
              <w:t>1、竞赛宣传推广</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default" w:ascii="Calibri" w:hAnsi="Calibri" w:eastAsia="宋体" w:cs="Calibri"/>
                <w:sz w:val="21"/>
                <w:szCs w:val="21"/>
                <w:bdr w:val="none" w:color="auto" w:sz="0" w:space="0"/>
              </w:rPr>
              <w:t>制定宣传推广方案，按照本次全国大学生花境竞赛时间节点进行宣传推广，通过媒体多渠道、多平台的宣传方式对竞赛进行前中后期宣传报道；拍摄落地实施活动视频；制定宣传画册；联动2024成都世园会开展线上线下市民活动，扩大活动影响力。</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default" w:ascii="Calibri" w:hAnsi="Calibri" w:eastAsia="宋体" w:cs="Calibri"/>
                <w:sz w:val="21"/>
                <w:szCs w:val="21"/>
                <w:bdr w:val="none" w:color="auto" w:sz="0" w:space="0"/>
              </w:rPr>
              <w:t>媒体宣传平台将联动央、省、市级媒体宣传报道，成都日报电子版、成都市广播电视台、看度新闻、锦观等主流媒体平台同步宣传。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等线" w:hAnsi="等线" w:eastAsia="等线" w:cs="等线"/>
                <w:sz w:val="21"/>
                <w:szCs w:val="21"/>
                <w:bdr w:val="none" w:color="auto" w:sz="0" w:space="0"/>
              </w:rPr>
              <w:t>2、设计方案征集与评审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default" w:ascii="Calibri" w:hAnsi="Calibri" w:eastAsia="等线" w:cs="Calibri"/>
                <w:sz w:val="21"/>
                <w:szCs w:val="21"/>
                <w:bdr w:val="none" w:color="auto" w:sz="0" w:space="0"/>
              </w:rPr>
              <w:t>（1）.</w:t>
            </w:r>
            <w:r>
              <w:rPr>
                <w:rFonts w:hint="eastAsia" w:ascii="等线" w:hAnsi="等线" w:eastAsia="等线" w:cs="等线"/>
                <w:sz w:val="21"/>
                <w:szCs w:val="21"/>
                <w:bdr w:val="none" w:color="auto" w:sz="0" w:space="0"/>
              </w:rPr>
              <w:t>组织策划方案撰写</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等线" w:hAnsi="等线" w:eastAsia="等线" w:cs="等线"/>
                <w:sz w:val="21"/>
                <w:szCs w:val="21"/>
                <w:bdr w:val="none" w:color="auto" w:sz="0" w:space="0"/>
              </w:rPr>
              <w:t>针对竞赛组织机构、筹组委工作机制、经费预算、竞赛主题、奖项与奖金设置、场地条件与设计要求、时间安排、评审办法等给出清晰的策略方案。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default" w:ascii="Calibri" w:hAnsi="Calibri" w:eastAsia="等线" w:cs="Calibri"/>
                <w:sz w:val="21"/>
                <w:szCs w:val="21"/>
                <w:bdr w:val="none" w:color="auto" w:sz="0" w:space="0"/>
              </w:rPr>
              <w:t>（2）.</w:t>
            </w:r>
            <w:r>
              <w:rPr>
                <w:rFonts w:hint="eastAsia" w:ascii="等线" w:hAnsi="等线" w:eastAsia="等线" w:cs="等线"/>
                <w:sz w:val="21"/>
                <w:szCs w:val="21"/>
                <w:bdr w:val="none" w:color="auto" w:sz="0" w:space="0"/>
              </w:rPr>
              <w:t>方案征集组织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等线" w:hAnsi="等线" w:eastAsia="等线" w:cs="等线"/>
                <w:sz w:val="21"/>
                <w:szCs w:val="21"/>
                <w:bdr w:val="none" w:color="auto" w:sz="0" w:space="0"/>
              </w:rPr>
              <w:t>根据总体方案统筹、协调竞赛报名与方案征集事宜，确保比赛规格具有业内较高水平。借助相关媒体工具与行业影响力平台，发布竞赛征集通知，并有效扩大活动宣传面，保障方案征集阶段整体工作有序开展。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default" w:ascii="Calibri" w:hAnsi="Calibri" w:eastAsia="等线" w:cs="Calibri"/>
                <w:sz w:val="21"/>
                <w:szCs w:val="21"/>
                <w:bdr w:val="none" w:color="auto" w:sz="0" w:space="0"/>
              </w:rPr>
              <w:t>（3）.</w:t>
            </w:r>
            <w:r>
              <w:rPr>
                <w:rFonts w:hint="eastAsia" w:ascii="等线" w:hAnsi="等线" w:eastAsia="等线" w:cs="等线"/>
                <w:sz w:val="21"/>
                <w:szCs w:val="21"/>
                <w:bdr w:val="none" w:color="auto" w:sz="0" w:space="0"/>
              </w:rPr>
              <w:t>方案评审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等线" w:hAnsi="等线" w:eastAsia="等线" w:cs="等线"/>
                <w:sz w:val="21"/>
                <w:szCs w:val="21"/>
                <w:bdr w:val="none" w:color="auto" w:sz="0" w:space="0"/>
              </w:rPr>
              <w:t>竞赛方法征集完成后，组织方案评审。针对竞赛主题与要求，基于征集回收情况，按照大赛总体方案评审办法，邀请行业领域专家成立竞赛评审专家组，开展方案评审，确定竞赛获奖结果。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default" w:ascii="Calibri" w:hAnsi="Calibri" w:eastAsia="等线" w:cs="Calibri"/>
                <w:sz w:val="21"/>
                <w:szCs w:val="21"/>
                <w:bdr w:val="none" w:color="auto" w:sz="0" w:space="0"/>
              </w:rPr>
              <w:t>（4）.</w:t>
            </w:r>
            <w:r>
              <w:rPr>
                <w:rFonts w:hint="eastAsia" w:ascii="等线" w:hAnsi="等线" w:eastAsia="等线" w:cs="等线"/>
                <w:sz w:val="21"/>
                <w:szCs w:val="21"/>
                <w:bdr w:val="none" w:color="auto" w:sz="0" w:space="0"/>
              </w:rPr>
              <w:t>结果公布与后续事宜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等线" w:hAnsi="等线" w:eastAsia="等线" w:cs="等线"/>
                <w:sz w:val="21"/>
                <w:szCs w:val="21"/>
                <w:bdr w:val="none" w:color="auto" w:sz="0" w:space="0"/>
              </w:rPr>
              <w:t>竞赛方案评审结束后，借助相关媒体工具与行业影响力平台，发布竞赛评奖结果，并有效扩大活动宣传面。组织设计获奖组别奖状、设计获奖奖金发放事宜，协助获奖待落地建造组别与主办单位落地建造相关负责单位的对接工作，协助主办单位完成施工评选方案和嘉宾邀请事宜，保障落地建造阶段整体工作有序开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等线" w:hAnsi="等线" w:eastAsia="等线" w:cs="等线"/>
                <w:sz w:val="21"/>
                <w:szCs w:val="21"/>
                <w:bdr w:val="none" w:color="auto" w:sz="0" w:space="0"/>
              </w:rPr>
              <w:t>3、线上线下活动组织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等线" w:hAnsi="等线" w:eastAsia="等线" w:cs="等线"/>
                <w:sz w:val="21"/>
                <w:szCs w:val="21"/>
                <w:bdr w:val="none" w:color="auto" w:sz="0" w:space="0"/>
              </w:rPr>
              <w:t>（1）活动执行前准备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default" w:ascii="Calibri" w:hAnsi="Calibri" w:eastAsia="等线" w:cs="Calibri"/>
                <w:sz w:val="21"/>
                <w:szCs w:val="21"/>
                <w:bdr w:val="none" w:color="auto" w:sz="0" w:space="0"/>
              </w:rPr>
              <w:t>（1.</w:t>
            </w:r>
            <w:r>
              <w:rPr>
                <w:rFonts w:hint="eastAsia" w:ascii="等线" w:hAnsi="等线" w:eastAsia="等线" w:cs="等线"/>
                <w:sz w:val="21"/>
                <w:szCs w:val="21"/>
                <w:bdr w:val="none" w:color="auto" w:sz="0" w:space="0"/>
              </w:rPr>
              <w:t>在充分了解项目背景的基础上，策划活动各环节的表现形式，要求主题鲜明；</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default" w:ascii="Calibri" w:hAnsi="Calibri" w:eastAsia="等线" w:cs="Calibri"/>
                <w:sz w:val="21"/>
                <w:szCs w:val="21"/>
                <w:bdr w:val="none" w:color="auto" w:sz="0" w:space="0"/>
              </w:rPr>
              <w:t>（2.</w:t>
            </w:r>
            <w:r>
              <w:rPr>
                <w:rFonts w:hint="eastAsia" w:ascii="等线" w:hAnsi="等线" w:eastAsia="等线" w:cs="等线"/>
                <w:sz w:val="21"/>
                <w:szCs w:val="21"/>
                <w:bdr w:val="none" w:color="auto" w:sz="0" w:space="0"/>
              </w:rPr>
              <w:t>推荐合适的活动场地，并根据场地情况，做好场地规划以及氛围营造方面的策划设计和监督实施工作，包括但不限于展示规划、物料设计、制作、舞台音响搭建、撤场等；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default" w:ascii="Calibri" w:hAnsi="Calibri" w:eastAsia="等线" w:cs="Calibri"/>
                <w:sz w:val="21"/>
                <w:szCs w:val="21"/>
                <w:bdr w:val="none" w:color="auto" w:sz="0" w:space="0"/>
              </w:rPr>
              <w:t>（3.</w:t>
            </w:r>
            <w:r>
              <w:rPr>
                <w:rFonts w:hint="eastAsia" w:ascii="等线" w:hAnsi="等线" w:eastAsia="等线" w:cs="等线"/>
                <w:sz w:val="21"/>
                <w:szCs w:val="21"/>
                <w:bdr w:val="none" w:color="auto" w:sz="0" w:space="0"/>
              </w:rPr>
              <w:t>相关活动资料的设计、制作、运输等，包括但不限于制作指示牌、桌卡、议程单等物料；</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default" w:ascii="Calibri" w:hAnsi="Calibri" w:eastAsia="等线" w:cs="Calibri"/>
                <w:sz w:val="21"/>
                <w:szCs w:val="21"/>
                <w:bdr w:val="none" w:color="auto" w:sz="0" w:space="0"/>
              </w:rPr>
              <w:t>（4.</w:t>
            </w:r>
            <w:r>
              <w:rPr>
                <w:rFonts w:hint="eastAsia" w:ascii="等线" w:hAnsi="等线" w:eastAsia="等线" w:cs="等线"/>
                <w:sz w:val="21"/>
                <w:szCs w:val="21"/>
                <w:bdr w:val="none" w:color="auto" w:sz="0" w:space="0"/>
              </w:rPr>
              <w:t>根据项目情况，开展媒体邀请、嘉宾邀请</w:t>
            </w:r>
            <w:r>
              <w:rPr>
                <w:rFonts w:hint="default" w:ascii="Calibri" w:hAnsi="Calibri" w:eastAsia="等线" w:cs="Calibri"/>
                <w:sz w:val="21"/>
                <w:szCs w:val="21"/>
                <w:bdr w:val="none" w:color="auto" w:sz="0" w:space="0"/>
              </w:rPr>
              <w:t>(</w:t>
            </w:r>
            <w:r>
              <w:rPr>
                <w:rFonts w:hint="eastAsia" w:ascii="等线" w:hAnsi="等线" w:eastAsia="等线" w:cs="等线"/>
                <w:sz w:val="21"/>
                <w:szCs w:val="21"/>
                <w:bdr w:val="none" w:color="auto" w:sz="0" w:space="0"/>
              </w:rPr>
              <w:t>包括负责嘉宾的餐饮、住宿、交通等</w:t>
            </w:r>
            <w:r>
              <w:rPr>
                <w:rFonts w:hint="default" w:ascii="Calibri" w:hAnsi="Calibri" w:eastAsia="等线" w:cs="Calibri"/>
                <w:sz w:val="21"/>
                <w:szCs w:val="21"/>
                <w:bdr w:val="none" w:color="auto" w:sz="0" w:space="0"/>
              </w:rPr>
              <w:t>)</w:t>
            </w:r>
            <w:r>
              <w:rPr>
                <w:rFonts w:hint="eastAsia" w:ascii="等线" w:hAnsi="等线" w:eastAsia="等线" w:cs="等线"/>
                <w:sz w:val="21"/>
                <w:szCs w:val="21"/>
                <w:bdr w:val="none" w:color="auto" w:sz="0" w:space="0"/>
              </w:rPr>
              <w:t>等工作；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default" w:ascii="Calibri" w:hAnsi="Calibri" w:eastAsia="宋体" w:cs="Calibri"/>
                <w:sz w:val="21"/>
                <w:szCs w:val="21"/>
                <w:bdr w:val="none" w:color="auto" w:sz="0" w:space="0"/>
              </w:rPr>
              <w:t>（5.负责落地活动执行前的场地整理清运及部分场地恢复工作；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default" w:ascii="Calibri" w:hAnsi="Calibri" w:eastAsia="等线" w:cs="Calibri"/>
                <w:sz w:val="21"/>
                <w:szCs w:val="21"/>
                <w:bdr w:val="none" w:color="auto" w:sz="0" w:space="0"/>
              </w:rPr>
              <w:t>（6.</w:t>
            </w:r>
            <w:r>
              <w:rPr>
                <w:rFonts w:hint="eastAsia" w:ascii="等线" w:hAnsi="等线" w:eastAsia="等线" w:cs="等线"/>
                <w:sz w:val="21"/>
                <w:szCs w:val="21"/>
                <w:bdr w:val="none" w:color="auto" w:sz="0" w:space="0"/>
              </w:rPr>
              <w:t>协助采购人完成其他日常组织工作。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default" w:ascii="Calibri" w:hAnsi="Calibri" w:eastAsia="宋体" w:cs="Calibri"/>
                <w:sz w:val="21"/>
                <w:szCs w:val="21"/>
                <w:bdr w:val="none" w:color="auto" w:sz="0" w:space="0"/>
              </w:rPr>
              <w:t>（2）</w:t>
            </w:r>
            <w:r>
              <w:rPr>
                <w:rFonts w:hint="eastAsia" w:ascii="等线" w:hAnsi="等线" w:eastAsia="等线" w:cs="等线"/>
                <w:sz w:val="21"/>
                <w:szCs w:val="21"/>
                <w:bdr w:val="none" w:color="auto" w:sz="0" w:space="0"/>
              </w:rPr>
              <w:t>活动执行中服务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default" w:ascii="Calibri" w:hAnsi="Calibri" w:eastAsia="等线" w:cs="Calibri"/>
                <w:sz w:val="21"/>
                <w:szCs w:val="21"/>
                <w:bdr w:val="none" w:color="auto" w:sz="0" w:space="0"/>
              </w:rPr>
              <w:t>（1.</w:t>
            </w:r>
            <w:r>
              <w:rPr>
                <w:rFonts w:hint="eastAsia" w:ascii="等线" w:hAnsi="等线" w:eastAsia="等线" w:cs="等线"/>
                <w:sz w:val="21"/>
                <w:szCs w:val="21"/>
                <w:bdr w:val="none" w:color="auto" w:sz="0" w:space="0"/>
              </w:rPr>
              <w:t>按照采购人要求协助完成参会人员的现场组织与接待；</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default" w:ascii="Calibri" w:hAnsi="Calibri" w:eastAsia="等线" w:cs="Calibri"/>
                <w:sz w:val="21"/>
                <w:szCs w:val="21"/>
                <w:bdr w:val="none" w:color="auto" w:sz="0" w:space="0"/>
              </w:rPr>
              <w:t>（2.</w:t>
            </w:r>
            <w:r>
              <w:rPr>
                <w:rFonts w:hint="eastAsia" w:ascii="等线" w:hAnsi="等线" w:eastAsia="等线" w:cs="等线"/>
                <w:sz w:val="21"/>
                <w:szCs w:val="21"/>
                <w:bdr w:val="none" w:color="auto" w:sz="0" w:space="0"/>
              </w:rPr>
              <w:t>完成场地布置和资料摆放等工作；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default" w:ascii="Calibri" w:hAnsi="Calibri" w:eastAsia="等线" w:cs="Calibri"/>
                <w:sz w:val="21"/>
                <w:szCs w:val="21"/>
                <w:bdr w:val="none" w:color="auto" w:sz="0" w:space="0"/>
              </w:rPr>
              <w:t>（3.</w:t>
            </w:r>
            <w:r>
              <w:rPr>
                <w:rFonts w:hint="eastAsia" w:ascii="等线" w:hAnsi="等线" w:eastAsia="等线" w:cs="等线"/>
                <w:sz w:val="21"/>
                <w:szCs w:val="21"/>
                <w:bdr w:val="none" w:color="auto" w:sz="0" w:space="0"/>
              </w:rPr>
              <w:t>负责提供现场主持、礼仪、摄影、摄像、速记等会议服务；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default" w:ascii="Calibri" w:hAnsi="Calibri" w:eastAsia="等线" w:cs="Calibri"/>
                <w:sz w:val="21"/>
                <w:szCs w:val="21"/>
                <w:bdr w:val="none" w:color="auto" w:sz="0" w:space="0"/>
              </w:rPr>
              <w:t>（4.</w:t>
            </w:r>
            <w:r>
              <w:rPr>
                <w:rFonts w:hint="eastAsia" w:ascii="等线" w:hAnsi="等线" w:eastAsia="等线" w:cs="等线"/>
                <w:sz w:val="21"/>
                <w:szCs w:val="21"/>
                <w:bdr w:val="none" w:color="auto" w:sz="0" w:space="0"/>
              </w:rPr>
              <w:t>在会前按采购人要求策划活动议程及各环节活动形式的基础上，确保各项议程相关嘉宾及时到场并为嘉宾提供需求保障；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default" w:ascii="Calibri" w:hAnsi="Calibri" w:eastAsia="等线" w:cs="Calibri"/>
                <w:sz w:val="21"/>
                <w:szCs w:val="21"/>
                <w:bdr w:val="none" w:color="auto" w:sz="0" w:space="0"/>
              </w:rPr>
              <w:t>（5.</w:t>
            </w:r>
            <w:r>
              <w:rPr>
                <w:rFonts w:hint="eastAsia" w:ascii="等线" w:hAnsi="等线" w:eastAsia="等线" w:cs="等线"/>
                <w:sz w:val="21"/>
                <w:szCs w:val="21"/>
                <w:bdr w:val="none" w:color="auto" w:sz="0" w:space="0"/>
              </w:rPr>
              <w:t>负责所有流程的控制、配合、彩排及现场实施；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default" w:ascii="Calibri" w:hAnsi="Calibri" w:eastAsia="等线" w:cs="Calibri"/>
                <w:sz w:val="21"/>
                <w:szCs w:val="21"/>
                <w:bdr w:val="none" w:color="auto" w:sz="0" w:space="0"/>
              </w:rPr>
              <w:t>（6.</w:t>
            </w:r>
            <w:r>
              <w:rPr>
                <w:rFonts w:hint="eastAsia" w:ascii="等线" w:hAnsi="等线" w:eastAsia="等线" w:cs="等线"/>
                <w:sz w:val="21"/>
                <w:szCs w:val="21"/>
                <w:bdr w:val="none" w:color="auto" w:sz="0" w:space="0"/>
              </w:rPr>
              <w:t>负责符合会议标准的导播设备保障及现场维护；</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default" w:ascii="Calibri" w:hAnsi="Calibri" w:eastAsia="等线" w:cs="Calibri"/>
                <w:sz w:val="21"/>
                <w:szCs w:val="21"/>
                <w:bdr w:val="none" w:color="auto" w:sz="0" w:space="0"/>
              </w:rPr>
              <w:t>（7.</w:t>
            </w:r>
            <w:r>
              <w:rPr>
                <w:rFonts w:hint="eastAsia" w:ascii="等线" w:hAnsi="等线" w:eastAsia="等线" w:cs="等线"/>
                <w:sz w:val="21"/>
                <w:szCs w:val="21"/>
                <w:bdr w:val="none" w:color="auto" w:sz="0" w:space="0"/>
              </w:rPr>
              <w:t>负责必要的后勤接待，主要包括可能涉及到的嘉宾、学生的交通、餐饮、住宿的保障；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default" w:ascii="Calibri" w:hAnsi="Calibri" w:eastAsia="宋体" w:cs="Calibri"/>
                <w:sz w:val="21"/>
                <w:szCs w:val="21"/>
                <w:bdr w:val="none" w:color="auto" w:sz="0" w:space="0"/>
              </w:rPr>
              <w:t>（8.定制符合本次大赛主题周边。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等线" w:hAnsi="等线" w:eastAsia="等线" w:cs="等线"/>
                <w:sz w:val="21"/>
                <w:szCs w:val="21"/>
                <w:bdr w:val="none" w:color="auto" w:sz="0" w:space="0"/>
              </w:rPr>
              <w:t> </w:t>
            </w:r>
            <w:r>
              <w:rPr>
                <w:rFonts w:hint="default" w:ascii="Calibri" w:hAnsi="Calibri" w:eastAsia="宋体" w:cs="Calibri"/>
                <w:sz w:val="21"/>
                <w:szCs w:val="21"/>
                <w:bdr w:val="none" w:color="auto" w:sz="0" w:space="0"/>
              </w:rPr>
              <w:t>(</w:t>
            </w:r>
            <w:r>
              <w:rPr>
                <w:rFonts w:hint="eastAsia" w:ascii="等线" w:hAnsi="等线" w:eastAsia="等线" w:cs="等线"/>
                <w:sz w:val="21"/>
                <w:szCs w:val="21"/>
                <w:bdr w:val="none" w:color="auto" w:sz="0" w:space="0"/>
              </w:rPr>
              <w:t>3</w:t>
            </w:r>
            <w:r>
              <w:rPr>
                <w:rFonts w:hint="default" w:ascii="Calibri" w:hAnsi="Calibri" w:eastAsia="宋体" w:cs="Calibri"/>
                <w:sz w:val="21"/>
                <w:szCs w:val="21"/>
                <w:bdr w:val="none" w:color="auto" w:sz="0" w:space="0"/>
              </w:rPr>
              <w:t>)</w:t>
            </w:r>
            <w:r>
              <w:rPr>
                <w:rFonts w:hint="eastAsia" w:ascii="等线" w:hAnsi="等线" w:eastAsia="等线" w:cs="等线"/>
                <w:sz w:val="21"/>
                <w:szCs w:val="21"/>
                <w:bdr w:val="none" w:color="auto" w:sz="0" w:space="0"/>
              </w:rPr>
              <w:t>后续工作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default" w:ascii="Calibri" w:hAnsi="Calibri" w:eastAsia="等线" w:cs="Calibri"/>
                <w:sz w:val="21"/>
                <w:szCs w:val="21"/>
                <w:bdr w:val="none" w:color="auto" w:sz="0" w:space="0"/>
              </w:rPr>
              <w:t>（1.</w:t>
            </w:r>
            <w:r>
              <w:rPr>
                <w:rFonts w:hint="eastAsia" w:ascii="等线" w:hAnsi="等线" w:eastAsia="等线" w:cs="等线"/>
                <w:sz w:val="21"/>
                <w:szCs w:val="21"/>
                <w:bdr w:val="none" w:color="auto" w:sz="0" w:space="0"/>
              </w:rPr>
              <w:t>负责会后会场清理工作及撤离工作；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default" w:ascii="Calibri" w:hAnsi="Calibri" w:eastAsia="等线" w:cs="Calibri"/>
                <w:sz w:val="21"/>
                <w:szCs w:val="21"/>
                <w:bdr w:val="none" w:color="auto" w:sz="0" w:space="0"/>
              </w:rPr>
              <w:t>（2.</w:t>
            </w:r>
            <w:r>
              <w:rPr>
                <w:rFonts w:hint="eastAsia" w:ascii="等线" w:hAnsi="等线" w:eastAsia="等线" w:cs="等线"/>
                <w:sz w:val="21"/>
                <w:szCs w:val="21"/>
                <w:bdr w:val="none" w:color="auto" w:sz="0" w:space="0"/>
              </w:rPr>
              <w:t>活动影像资料的后期制作；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default" w:ascii="Calibri" w:hAnsi="Calibri" w:eastAsia="等线" w:cs="Calibri"/>
                <w:sz w:val="21"/>
                <w:szCs w:val="21"/>
                <w:bdr w:val="none" w:color="auto" w:sz="0" w:space="0"/>
              </w:rPr>
              <w:t>（3.</w:t>
            </w:r>
            <w:r>
              <w:rPr>
                <w:rFonts w:hint="eastAsia" w:ascii="等线" w:hAnsi="等线" w:eastAsia="等线" w:cs="等线"/>
                <w:sz w:val="21"/>
                <w:szCs w:val="21"/>
                <w:bdr w:val="none" w:color="auto" w:sz="0" w:space="0"/>
              </w:rPr>
              <w:t>负责所有流程性文件、相关资料的整理、交接。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等线" w:hAnsi="等线" w:eastAsia="等线" w:cs="等线"/>
                <w:sz w:val="21"/>
                <w:szCs w:val="21"/>
                <w:bdr w:val="none" w:color="auto" w:sz="0" w:space="0"/>
              </w:rPr>
              <w:t>4、设计获奖作品落地与评选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等线" w:hAnsi="等线" w:eastAsia="等线" w:cs="等线"/>
                <w:sz w:val="21"/>
                <w:szCs w:val="21"/>
                <w:bdr w:val="none" w:color="auto" w:sz="0" w:space="0"/>
              </w:rPr>
              <w:t>通过网上招募方式，邀请行业花卉企业对获奖设计作品进行建设落地，并通过专家对落地作品进行评比。</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default" w:ascii="Calibri" w:hAnsi="Calibri" w:eastAsia="宋体" w:cs="Calibri"/>
                <w:sz w:val="21"/>
                <w:szCs w:val="21"/>
                <w:bdr w:val="none" w:color="auto" w:sz="0" w:space="0"/>
              </w:rPr>
              <w:t>落地施工环节：采购方将评选出20家行业花卉企业进行线下落地施工呈现，供应商根据采购方评选出的20家企业进行颁奖，按照以下标准进行奖金颁发：</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default" w:ascii="Calibri" w:hAnsi="Calibri" w:eastAsia="宋体" w:cs="Calibri"/>
                <w:sz w:val="21"/>
                <w:szCs w:val="21"/>
                <w:bdr w:val="none" w:color="auto" w:sz="0" w:space="0"/>
              </w:rPr>
              <w:t>一等奖1名 、6万元/个；</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default" w:ascii="Calibri" w:hAnsi="Calibri" w:eastAsia="宋体" w:cs="Calibri"/>
                <w:sz w:val="21"/>
                <w:szCs w:val="21"/>
                <w:bdr w:val="none" w:color="auto" w:sz="0" w:space="0"/>
              </w:rPr>
              <w:t>二等奖3名 、5万元/个；</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default" w:ascii="Calibri" w:hAnsi="Calibri" w:eastAsia="宋体" w:cs="Calibri"/>
                <w:sz w:val="21"/>
                <w:szCs w:val="21"/>
                <w:bdr w:val="none" w:color="auto" w:sz="0" w:space="0"/>
              </w:rPr>
              <w:t>三等奖6名 、4万元/个；</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default" w:ascii="Calibri" w:hAnsi="Calibri" w:eastAsia="宋体" w:cs="Calibri"/>
                <w:sz w:val="21"/>
                <w:szCs w:val="21"/>
                <w:bdr w:val="none" w:color="auto" w:sz="0" w:space="0"/>
              </w:rPr>
              <w:t>优秀奖10名 、3.5万元/个。</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default" w:ascii="Calibri" w:hAnsi="Calibri" w:eastAsia="宋体" w:cs="Calibri"/>
                <w:sz w:val="21"/>
                <w:szCs w:val="21"/>
                <w:bdr w:val="none" w:color="auto" w:sz="0" w:space="0"/>
              </w:rPr>
              <w:t>注：奖金均为税前金额</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default" w:ascii="Calibri" w:hAnsi="Calibri" w:eastAsia="宋体" w:cs="Calibri"/>
                <w:sz w:val="21"/>
                <w:szCs w:val="21"/>
                <w:bdr w:val="none" w:color="auto" w:sz="0" w:space="0"/>
              </w:rPr>
              <w:t>5、线上活动执行与推广</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default" w:ascii="Calibri" w:hAnsi="Calibri" w:eastAsia="宋体" w:cs="Calibri"/>
                <w:sz w:val="21"/>
                <w:szCs w:val="21"/>
                <w:bdr w:val="none" w:color="auto" w:sz="0" w:space="0"/>
              </w:rPr>
              <w:t>落地评选完成后，根据采购方要求需对落地已建成作品进行线上活动推广，将2024成都世园会与本次竞赛进行结合，制定线上活动方式并完成执行。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default" w:ascii="Calibri" w:hAnsi="Calibri" w:eastAsia="宋体" w:cs="Calibri"/>
                <w:sz w:val="21"/>
                <w:szCs w:val="21"/>
                <w:bdr w:val="none" w:color="auto" w:sz="0" w:space="0"/>
              </w:rPr>
              <w:t>6、成效</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default" w:ascii="Calibri" w:hAnsi="Calibri" w:eastAsia="宋体" w:cs="Calibri"/>
                <w:sz w:val="21"/>
                <w:szCs w:val="21"/>
                <w:bdr w:val="none" w:color="auto" w:sz="0" w:space="0"/>
              </w:rPr>
              <w:t>本次大赛将面向全国范围所有风景园林及相关专业高等院校的在校大学生、研究生（含专科）公开征集设计方案，预计征集范围覆盖全国风景园林及相关专业院校学生不少于1300人，预计征集有效作品不少于260组；辐射、带动成都花卉苗木与工程在地企业，邀请参与施工建植不少于20家；媒体宣传覆盖不低于100万人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等线" w:hAnsi="等线" w:eastAsia="等线" w:cs="等线"/>
                <w:sz w:val="21"/>
                <w:szCs w:val="21"/>
                <w:bdr w:val="none" w:color="auto" w:sz="0" w:space="0"/>
              </w:rPr>
              <w:t>（三）、其他服务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default" w:ascii="Calibri" w:hAnsi="Calibri" w:eastAsia="宋体" w:cs="Calibri"/>
                <w:sz w:val="21"/>
                <w:szCs w:val="21"/>
                <w:bdr w:val="none" w:color="auto" w:sz="0" w:space="0"/>
              </w:rPr>
              <w:t>1.供应商应保证所提供的策划方案、咨询及相关服务，没有侵犯任何第三方的专利权、商标权、版权、服务标志、专用技术或知识产权。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default" w:ascii="Calibri" w:hAnsi="Calibri" w:eastAsia="宋体" w:cs="Calibri"/>
                <w:sz w:val="21"/>
                <w:szCs w:val="21"/>
                <w:bdr w:val="none" w:color="auto" w:sz="0" w:space="0"/>
              </w:rPr>
              <w:t>2.供应商应保证配置专业、充足的团队参与会前、会中和会后服务。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default" w:ascii="Calibri" w:hAnsi="Calibri" w:eastAsia="宋体" w:cs="Calibri"/>
                <w:sz w:val="21"/>
                <w:szCs w:val="21"/>
                <w:bdr w:val="none" w:color="auto" w:sz="0" w:space="0"/>
              </w:rPr>
              <w:t>3.供应商须综合考虑在本项目执行过程中可能产生的费用支出，应充分衡量和预估本项目履行中可能存在的其他导致成本增加的潜在风险因素。在不超出本项目规定服务内容前提下，采购人对合同价格不做任何调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default" w:ascii="Calibri" w:hAnsi="Calibri" w:eastAsia="宋体" w:cs="Calibri"/>
                <w:sz w:val="21"/>
                <w:szCs w:val="21"/>
                <w:bdr w:val="none" w:color="auto" w:sz="0" w:space="0"/>
              </w:rPr>
              <w:t>4.供应商在开展会议组织策划及实施工作期间应当服从主办单位的总体部署安排。</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rFonts w:hint="eastAsia" w:ascii="宋体" w:hAnsi="宋体" w:eastAsia="宋体" w:cs="宋体"/>
              </w:rPr>
            </w:pPr>
            <w:r>
              <w:rPr>
                <w:rFonts w:hint="eastAsia" w:ascii="宋体" w:hAnsi="宋体" w:eastAsia="宋体" w:cs="宋体"/>
                <w:bdr w:val="none" w:color="auto" w:sz="0" w:space="0"/>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3.2.3人员配置要求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符合技术参数与性能指标要求。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3.2.4设施设备要求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3.2.5其他要求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3.3、商务要求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3.3.1服务期限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自合同签订之日起365日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3.3.2服务地点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成都市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3.3.3考核（验收）标准和方法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严格按照《财政部关于进一步加强政府采购需求和履约验收管理的指导意见》（财库〔2016〕205 号）文件规定和采购文件约定、响应文件应答进行验收。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3.3.4支付方式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分期付款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3.3.5支付约定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合同签订生效且财政资金到账后，供应商须按照采购人内控流程向采购人出具合法有效完整的增值税普通发票及凭证资料 ，达到付款条件起 10 日内，支付合同总金额的 40.00%。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项目履约进度达到100%，供应商完成项目资料整理送审后，供应商须按照采购人内控流程向采购人出具合法有效完整的增值税普通发票及凭证资料 ，达到付款条件起 10 日内，支付合同总金额的 50.00%。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待项目结算审核完成，供应商须按照采购人内控流程向采购人出具合法有效完整的增值税普通发票及凭证资料 ，达到付款条件起 10 日内，支付合同总金额的 10.00%。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3.3.6违约责任及解决争议的方法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1、甲乙双方必须遵守本合同并执行合同中的各项规定，保证本合同的正常履行。 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 3. 乙方应当严格按照本合同约定的时间完成各项工作，若乙方违约，则需一次性向甲方支付合同总金额5%的违约金。除上述一次性赔付的违约金外，乙方还应当对因其违约行为给甲方造成的损失承担赔偿责任（包括但不限于甲方因此而支出的诉讼费、律师费及差旅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bdr w:val="none" w:color="auto" w:sz="0" w:space="0"/>
          <w:shd w:val="clear" w:fill="FFFFFF"/>
        </w:rPr>
        <w:t>3.4其他要求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iZTZlOGUzNDgwY2Q1NDliY2EzZTA5ZDZiNTYzNmMifQ=="/>
  </w:docVars>
  <w:rsids>
    <w:rsidRoot w:val="1F0A3C25"/>
    <w:rsid w:val="1F0A3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2024-03-28T03:51:00Z</dcterms:created>
  <dc:creator>只有你陪我一起唱歌</dc:creator>
  <cp:lastModifiedBy>只有你陪我一起唱歌</cp:lastModifiedBy>
  <dcterms:modified xsi:type="dcterms:W3CDTF">2024-03-28T03:52:20Z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72AC3A3C57EB4E9ABA57805919161FAF_11</vt:lpwstr>
  </property>
</Properties>
</file>