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t>招标项目技术、服务、商务及其他要求</w:t>
      </w:r>
    </w:p>
    <w:p>
      <w:pPr>
        <w:jc w:val="center"/>
        <w:rPr/>
      </w:pPr>
    </w:p>
    <w:p>
      <w:pPr>
        <w:rPr/>
      </w:pPr>
      <w:r>
        <w:t xml:space="preserve"> （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rPr/>
      </w:pPr>
      <w:r>
        <w:t xml:space="preserve"> （注：当采购包的评标方法为最低评标价法时带“★”的参数需求为实质性要求，供应商必须响应并满足的参数需求，采购人、采购代理机构应当根据项目实际需求合理设定，并明确具体要求。）</w:t>
      </w:r>
    </w:p>
    <w:p>
      <w:pPr>
        <w:rPr/>
      </w:pPr>
      <w:r>
        <w:t>3.1采购项目概况</w:t>
      </w:r>
    </w:p>
    <w:p>
      <w:r>
        <w:t>本项目共1个包，采购内容：医用液氧、医用氧、小医用氧。</w:t>
      </w:r>
    </w:p>
    <w:p>
      <w:pPr>
        <w:rPr/>
      </w:pPr>
    </w:p>
    <w:p>
      <w:pPr>
        <w:rPr/>
      </w:pPr>
      <w:r>
        <w:t>3.2采购内容</w:t>
      </w:r>
    </w:p>
    <w:p>
      <w:pPr>
        <w:rPr/>
      </w:pPr>
      <w:r>
        <w:t>3.2.1标的清单</w:t>
      </w:r>
    </w:p>
    <w:p>
      <w:pPr>
        <w:rPr/>
      </w:pPr>
      <w:bookmarkStart w:id="0" w:name="_GoBack"/>
      <w:bookmarkEnd w:id="0"/>
    </w:p>
    <w:p>
      <w:pPr>
        <w:rPr/>
      </w:pPr>
      <w:r>
        <w:t>采购包1：</w:t>
      </w:r>
    </w:p>
    <w:p>
      <w:pPr>
        <w:rPr/>
      </w:pPr>
      <w:r>
        <w:t>采购包预算金额（元）: 2,000,000.00</w:t>
      </w:r>
    </w:p>
    <w:p>
      <w:pPr>
        <w:rPr/>
      </w:pPr>
      <w:r>
        <w:t>采购包最高限价（元）: 2,000,000.00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pPr>
            <w:r>
              <w:t>序号</w:t>
            </w:r>
          </w:p>
        </w:tc>
        <w:tc>
          <w:tcPr>
            <w:tcW w:w="1271" w:type="dxa"/>
          </w:tcPr>
          <w:p>
            <w:pPr>
              <w:rPr/>
            </w:pPr>
            <w:r>
              <w:t>标的名称</w:t>
            </w:r>
          </w:p>
        </w:tc>
        <w:tc>
          <w:tcPr>
            <w:tcW w:w="848" w:type="dxa"/>
          </w:tcPr>
          <w:p>
            <w:pPr>
              <w:rPr/>
            </w:pPr>
            <w:r>
              <w:t>数量</w:t>
            </w:r>
          </w:p>
        </w:tc>
        <w:tc>
          <w:tcPr>
            <w:tcW w:w="1356" w:type="dxa"/>
          </w:tcPr>
          <w:p>
            <w:pPr>
              <w:rPr/>
            </w:pPr>
            <w:r>
              <w:t>标的金额 （元）</w:t>
            </w:r>
          </w:p>
        </w:tc>
        <w:tc>
          <w:tcPr>
            <w:tcW w:w="678" w:type="dxa"/>
          </w:tcPr>
          <w:p>
            <w:pPr>
              <w:rPr/>
            </w:pPr>
            <w:r>
              <w:t>计量单位</w:t>
            </w:r>
          </w:p>
        </w:tc>
        <w:tc>
          <w:tcPr>
            <w:tcW w:w="678" w:type="dxa"/>
          </w:tcPr>
          <w:p>
            <w:pPr>
              <w:rPr/>
            </w:pPr>
            <w:r>
              <w:t>所属行业</w:t>
            </w:r>
          </w:p>
        </w:tc>
        <w:tc>
          <w:tcPr>
            <w:tcW w:w="593" w:type="dxa"/>
          </w:tcPr>
          <w:p>
            <w:pPr>
              <w:rPr/>
            </w:pPr>
            <w:r>
              <w:t>是否涉及核心产品</w:t>
            </w:r>
          </w:p>
        </w:tc>
        <w:tc>
          <w:tcPr>
            <w:tcW w:w="678" w:type="dxa"/>
          </w:tcPr>
          <w:p>
            <w:pPr>
              <w:rPr/>
            </w:pPr>
            <w:r>
              <w:t>是否涉及采购进口产品</w:t>
            </w:r>
          </w:p>
        </w:tc>
        <w:tc>
          <w:tcPr>
            <w:tcW w:w="678" w:type="dxa"/>
          </w:tcPr>
          <w:p>
            <w:pPr>
              <w:rPr/>
            </w:pPr>
            <w:r>
              <w:t>是否涉及采购节能产品</w:t>
            </w:r>
          </w:p>
        </w:tc>
        <w:tc>
          <w:tcPr>
            <w:tcW w:w="848" w:type="dxa"/>
          </w:tcPr>
          <w:p>
            <w:pPr>
              <w:rPr/>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pPr>
            <w:r>
              <w:t>1</w:t>
            </w:r>
          </w:p>
        </w:tc>
        <w:tc>
          <w:tcPr>
            <w:tcW w:w="1271" w:type="dxa"/>
          </w:tcPr>
          <w:p>
            <w:pPr>
              <w:rPr/>
            </w:pPr>
            <w:r>
              <w:t>医用氧</w:t>
            </w:r>
          </w:p>
        </w:tc>
        <w:tc>
          <w:tcPr>
            <w:tcW w:w="848" w:type="dxa"/>
          </w:tcPr>
          <w:p>
            <w:pPr>
              <w:rPr/>
            </w:pPr>
            <w:r>
              <w:t>1.00</w:t>
            </w:r>
          </w:p>
        </w:tc>
        <w:tc>
          <w:tcPr>
            <w:tcW w:w="1356" w:type="dxa"/>
          </w:tcPr>
          <w:p>
            <w:pPr>
              <w:rPr/>
            </w:pPr>
            <w:r>
              <w:t>2,000,000.00</w:t>
            </w:r>
          </w:p>
        </w:tc>
        <w:tc>
          <w:tcPr>
            <w:tcW w:w="678" w:type="dxa"/>
          </w:tcPr>
          <w:p>
            <w:pPr>
              <w:rPr/>
            </w:pPr>
            <w:r>
              <w:t>项</w:t>
            </w:r>
          </w:p>
        </w:tc>
        <w:tc>
          <w:tcPr>
            <w:tcW w:w="678" w:type="dxa"/>
          </w:tcPr>
          <w:p>
            <w:pPr>
              <w:rPr/>
            </w:pPr>
            <w:r>
              <w:t>工业</w:t>
            </w:r>
          </w:p>
        </w:tc>
        <w:tc>
          <w:tcPr>
            <w:tcW w:w="593" w:type="dxa"/>
          </w:tcPr>
          <w:p>
            <w:pPr>
              <w:rPr/>
            </w:pPr>
            <w:r>
              <w:t>是</w:t>
            </w:r>
          </w:p>
        </w:tc>
        <w:tc>
          <w:tcPr>
            <w:tcW w:w="678" w:type="dxa"/>
          </w:tcPr>
          <w:p>
            <w:pPr>
              <w:rPr/>
            </w:pPr>
            <w:r>
              <w:t>否</w:t>
            </w:r>
          </w:p>
        </w:tc>
        <w:tc>
          <w:tcPr>
            <w:tcW w:w="678" w:type="dxa"/>
          </w:tcPr>
          <w:p>
            <w:pPr>
              <w:rPr/>
            </w:pPr>
            <w:r>
              <w:t>否</w:t>
            </w:r>
          </w:p>
        </w:tc>
        <w:tc>
          <w:tcPr>
            <w:tcW w:w="848" w:type="dxa"/>
          </w:tcPr>
          <w:p>
            <w:pPr>
              <w:rPr/>
            </w:pPr>
            <w:r>
              <w:t>否</w:t>
            </w:r>
          </w:p>
        </w:tc>
      </w:tr>
    </w:tbl>
    <w:p>
      <w:pPr>
        <w:rPr/>
      </w:pPr>
      <w:r>
        <w:t>3.3技术要求</w:t>
      </w:r>
    </w:p>
    <w:p>
      <w:pPr>
        <w:rPr/>
      </w:pPr>
    </w:p>
    <w:p>
      <w:pPr>
        <w:rPr/>
      </w:pPr>
    </w:p>
    <w:p>
      <w:pPr>
        <w:rPr/>
      </w:pPr>
    </w:p>
    <w:p>
      <w:pPr>
        <w:rPr/>
      </w:pPr>
      <w:r>
        <w:t>采购包1：</w:t>
      </w:r>
    </w:p>
    <w:p>
      <w:pPr>
        <w:rPr/>
      </w:pPr>
    </w:p>
    <w:p>
      <w:pPr>
        <w:rPr/>
      </w:pPr>
      <w:r>
        <w:t>标的名称：医用氧</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93"/>
        <w:gridCol w:w="1093"/>
        <w:gridCol w:w="633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pPr>
            <w:r>
              <w:t xml:space="preserve"> 参数性质</w:t>
            </w:r>
          </w:p>
        </w:tc>
        <w:tc>
          <w:tcPr>
            <w:tcW w:w="2769" w:type="dxa"/>
          </w:tcPr>
          <w:p>
            <w:pPr>
              <w:rPr/>
            </w:pPr>
            <w:r>
              <w:t xml:space="preserve"> 序号</w:t>
            </w:r>
          </w:p>
        </w:tc>
        <w:tc>
          <w:tcPr>
            <w:tcW w:w="2769" w:type="dxa"/>
          </w:tcPr>
          <w:p>
            <w:pPr>
              <w:rPr/>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pPr>
          </w:p>
        </w:tc>
        <w:tc>
          <w:tcPr>
            <w:tcW w:w="2769" w:type="dxa"/>
          </w:tcPr>
          <w:p>
            <w:pPr>
              <w:rPr/>
            </w:pPr>
            <w:r>
              <w:t>1</w:t>
            </w:r>
          </w:p>
        </w:tc>
        <w:tc>
          <w:tcPr>
            <w:tcW w:w="2769" w:type="dxa"/>
          </w:tcPr>
          <w:p>
            <w:pPr>
              <w:rPr/>
            </w:pPr>
            <w:r>
              <w:t>一、项目概述</w:t>
            </w:r>
          </w:p>
          <w:p>
            <w:pPr>
              <w:rPr/>
            </w:pPr>
            <w:r>
              <w:t>本项目共1个包，采购清单如下：</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20"/>
              <w:gridCol w:w="420"/>
              <w:gridCol w:w="420"/>
              <w:gridCol w:w="448"/>
              <w:gridCol w:w="593"/>
              <w:gridCol w:w="874"/>
              <w:gridCol w:w="840"/>
              <w:gridCol w:w="840"/>
              <w:gridCol w:w="420"/>
              <w:gridCol w:w="420"/>
              <w:gridCol w:w="42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rPr/>
                  </w:pPr>
                  <w:r>
                    <w:t>包号</w:t>
                  </w:r>
                </w:p>
              </w:tc>
              <w:tc>
                <w:tcPr>
                  <w:tcW w:w="173"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rPr/>
                  </w:pPr>
                  <w:r>
                    <w:t>序号</w:t>
                  </w:r>
                </w:p>
              </w:tc>
              <w:tc>
                <w:tcPr>
                  <w:tcW w:w="213"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rPr/>
                  </w:pPr>
                  <w:r>
                    <w:t>标的名称</w:t>
                  </w:r>
                </w:p>
              </w:tc>
              <w:tc>
                <w:tcPr>
                  <w:tcW w:w="197"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rPr/>
                  </w:pPr>
                  <w:r>
                    <w:t>单位</w:t>
                  </w:r>
                </w:p>
              </w:tc>
              <w:tc>
                <w:tcPr>
                  <w:tcW w:w="213"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rPr/>
                  </w:pPr>
                  <w:r>
                    <w:t>规格</w:t>
                  </w:r>
                </w:p>
              </w:tc>
              <w:tc>
                <w:tcPr>
                  <w:tcW w:w="27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rPr/>
                  </w:pPr>
                  <w:r>
                    <w:t>年需求量（预估数量）</w:t>
                  </w:r>
                </w:p>
              </w:tc>
              <w:tc>
                <w:tcPr>
                  <w:tcW w:w="307"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rPr/>
                  </w:pPr>
                  <w:r>
                    <w:t>预算单价（元）</w:t>
                  </w:r>
                </w:p>
              </w:tc>
              <w:tc>
                <w:tcPr>
                  <w:tcW w:w="307"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rPr/>
                  </w:pPr>
                  <w:r>
                    <w:t>最高单价限价（元）</w:t>
                  </w:r>
                </w:p>
              </w:tc>
              <w:tc>
                <w:tcPr>
                  <w:tcW w:w="23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rPr/>
                  </w:pPr>
                  <w:r>
                    <w:t>是否允许采购进口产品</w:t>
                  </w:r>
                </w:p>
              </w:tc>
              <w:tc>
                <w:tcPr>
                  <w:tcW w:w="23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rPr/>
                  </w:pPr>
                  <w:r>
                    <w:t>是否属于核心产品</w:t>
                  </w:r>
                </w:p>
              </w:tc>
              <w:tc>
                <w:tcPr>
                  <w:tcW w:w="23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rPr/>
                  </w:pPr>
                  <w:r>
                    <w:t>所属行业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rPr/>
                  </w:pPr>
                  <w:r>
                    <w:t>1</w:t>
                  </w:r>
                </w:p>
              </w:tc>
              <w:tc>
                <w:tcPr>
                  <w:tcW w:w="173" w:type="dxa"/>
                  <w:tcBorders>
                    <w:top w:val="nil"/>
                    <w:left w:val="nil"/>
                    <w:bottom w:val="single" w:color="000000" w:sz="4" w:space="0"/>
                    <w:right w:val="single" w:color="000000" w:sz="4" w:space="0"/>
                  </w:tcBorders>
                  <w:tcMar>
                    <w:top w:w="0" w:type="dxa"/>
                    <w:left w:w="105" w:type="dxa"/>
                    <w:bottom w:w="0" w:type="dxa"/>
                    <w:right w:w="105" w:type="dxa"/>
                  </w:tcMar>
                  <w:vAlign w:val="top"/>
                </w:tcPr>
                <w:p>
                  <w:pPr>
                    <w:rPr/>
                  </w:pPr>
                  <w:r>
                    <w:t>1</w:t>
                  </w:r>
                </w:p>
              </w:tc>
              <w:tc>
                <w:tcPr>
                  <w:tcW w:w="213" w:type="dxa"/>
                  <w:tcBorders>
                    <w:top w:val="nil"/>
                    <w:left w:val="nil"/>
                    <w:bottom w:val="single" w:color="000000" w:sz="4" w:space="0"/>
                    <w:right w:val="single" w:color="000000" w:sz="4" w:space="0"/>
                  </w:tcBorders>
                  <w:tcMar>
                    <w:top w:w="0" w:type="dxa"/>
                    <w:left w:w="105" w:type="dxa"/>
                    <w:bottom w:w="0" w:type="dxa"/>
                    <w:right w:w="105" w:type="dxa"/>
                  </w:tcMar>
                  <w:vAlign w:val="top"/>
                </w:tcPr>
                <w:p>
                  <w:pPr>
                    <w:rPr/>
                  </w:pPr>
                  <w:r>
                    <w:t>医用液氧</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rPr/>
                  </w:pPr>
                  <w:r>
                    <w:t>m³</w:t>
                  </w:r>
                </w:p>
              </w:tc>
              <w:tc>
                <w:tcPr>
                  <w:tcW w:w="213" w:type="dxa"/>
                  <w:tcBorders>
                    <w:top w:val="nil"/>
                    <w:left w:val="nil"/>
                    <w:bottom w:val="single" w:color="000000" w:sz="4" w:space="0"/>
                    <w:right w:val="single" w:color="000000" w:sz="4" w:space="0"/>
                  </w:tcBorders>
                  <w:tcMar>
                    <w:top w:w="0" w:type="dxa"/>
                    <w:left w:w="105" w:type="dxa"/>
                    <w:bottom w:w="0" w:type="dxa"/>
                    <w:right w:w="105" w:type="dxa"/>
                  </w:tcMar>
                  <w:vAlign w:val="top"/>
                </w:tcPr>
                <w:p>
                  <w:pPr>
                    <w:rPr/>
                  </w:pPr>
                  <w:r>
                    <w:t>液态</w:t>
                  </w:r>
                </w:p>
              </w:tc>
              <w:tc>
                <w:tcPr>
                  <w:tcW w:w="276" w:type="dxa"/>
                  <w:tcBorders>
                    <w:top w:val="nil"/>
                    <w:left w:val="nil"/>
                    <w:bottom w:val="single" w:color="000000" w:sz="4" w:space="0"/>
                    <w:right w:val="single" w:color="000000" w:sz="4" w:space="0"/>
                  </w:tcBorders>
                  <w:tcMar>
                    <w:top w:w="0" w:type="dxa"/>
                    <w:left w:w="105" w:type="dxa"/>
                    <w:bottom w:w="0" w:type="dxa"/>
                    <w:right w:w="105" w:type="dxa"/>
                  </w:tcMar>
                  <w:vAlign w:val="top"/>
                </w:tcPr>
                <w:p>
                  <w:pPr>
                    <w:rPr/>
                  </w:pPr>
                  <w:r>
                    <w:t>1500m³</w:t>
                  </w:r>
                </w:p>
              </w:tc>
              <w:tc>
                <w:tcPr>
                  <w:tcW w:w="307" w:type="dxa"/>
                  <w:tcBorders>
                    <w:top w:val="nil"/>
                    <w:left w:val="nil"/>
                    <w:bottom w:val="single" w:color="000000" w:sz="4" w:space="0"/>
                    <w:right w:val="single" w:color="000000" w:sz="4" w:space="0"/>
                  </w:tcBorders>
                  <w:tcMar>
                    <w:top w:w="0" w:type="dxa"/>
                    <w:left w:w="105" w:type="dxa"/>
                    <w:bottom w:w="0" w:type="dxa"/>
                    <w:right w:w="105" w:type="dxa"/>
                  </w:tcMar>
                  <w:vAlign w:val="top"/>
                </w:tcPr>
                <w:p>
                  <w:pPr>
                    <w:rPr/>
                  </w:pPr>
                  <w:r>
                    <w:t>1300</w:t>
                  </w:r>
                </w:p>
              </w:tc>
              <w:tc>
                <w:tcPr>
                  <w:tcW w:w="307" w:type="dxa"/>
                  <w:tcBorders>
                    <w:top w:val="nil"/>
                    <w:left w:val="nil"/>
                    <w:bottom w:val="single" w:color="000000" w:sz="4" w:space="0"/>
                    <w:right w:val="single" w:color="000000" w:sz="4" w:space="0"/>
                  </w:tcBorders>
                  <w:tcMar>
                    <w:top w:w="0" w:type="dxa"/>
                    <w:left w:w="105" w:type="dxa"/>
                    <w:bottom w:w="0" w:type="dxa"/>
                    <w:right w:w="105" w:type="dxa"/>
                  </w:tcMar>
                  <w:vAlign w:val="top"/>
                </w:tcPr>
                <w:p>
                  <w:pPr>
                    <w:rPr/>
                  </w:pPr>
                  <w:r>
                    <w:t>1250</w:t>
                  </w:r>
                </w:p>
              </w:tc>
              <w:tc>
                <w:tcPr>
                  <w:tcW w:w="236" w:type="dxa"/>
                  <w:tcBorders>
                    <w:top w:val="nil"/>
                    <w:left w:val="nil"/>
                    <w:bottom w:val="single" w:color="000000" w:sz="4" w:space="0"/>
                    <w:right w:val="single" w:color="000000" w:sz="4" w:space="0"/>
                  </w:tcBorders>
                  <w:tcMar>
                    <w:top w:w="0" w:type="dxa"/>
                    <w:left w:w="105" w:type="dxa"/>
                    <w:bottom w:w="0" w:type="dxa"/>
                    <w:right w:w="105" w:type="dxa"/>
                  </w:tcMar>
                  <w:vAlign w:val="top"/>
                </w:tcPr>
                <w:p>
                  <w:pPr>
                    <w:rPr/>
                  </w:pPr>
                  <w:r>
                    <w:t>否</w:t>
                  </w:r>
                </w:p>
              </w:tc>
              <w:tc>
                <w:tcPr>
                  <w:tcW w:w="236" w:type="dxa"/>
                  <w:tcBorders>
                    <w:top w:val="nil"/>
                    <w:left w:val="nil"/>
                    <w:bottom w:val="single" w:color="000000" w:sz="4" w:space="0"/>
                    <w:right w:val="single" w:color="000000" w:sz="4" w:space="0"/>
                  </w:tcBorders>
                  <w:tcMar>
                    <w:top w:w="0" w:type="dxa"/>
                    <w:left w:w="105" w:type="dxa"/>
                    <w:bottom w:w="0" w:type="dxa"/>
                    <w:right w:w="105" w:type="dxa"/>
                  </w:tcMar>
                  <w:vAlign w:val="top"/>
                </w:tcPr>
                <w:p>
                  <w:pPr>
                    <w:rPr/>
                  </w:pPr>
                  <w:r>
                    <w:t>是</w:t>
                  </w:r>
                </w:p>
              </w:tc>
              <w:tc>
                <w:tcPr>
                  <w:tcW w:w="236" w:type="dxa"/>
                  <w:tcBorders>
                    <w:top w:val="nil"/>
                    <w:left w:val="nil"/>
                    <w:bottom w:val="single" w:color="000000" w:sz="4" w:space="0"/>
                    <w:right w:val="single" w:color="000000" w:sz="4" w:space="0"/>
                  </w:tcBorders>
                  <w:tcMar>
                    <w:top w:w="0" w:type="dxa"/>
                    <w:left w:w="105" w:type="dxa"/>
                    <w:bottom w:w="0" w:type="dxa"/>
                    <w:right w:w="105" w:type="dxa"/>
                  </w:tcMar>
                  <w:vAlign w:val="top"/>
                </w:tcPr>
                <w:p>
                  <w:pPr>
                    <w:rPr/>
                  </w:pPr>
                  <w: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vMerge w:val="continue"/>
                  <w:tcBorders>
                    <w:top w:val="nil"/>
                    <w:left w:val="single" w:color="000000" w:sz="4" w:space="0"/>
                    <w:bottom w:val="single" w:color="000000" w:sz="4" w:space="0"/>
                    <w:right w:val="single" w:color="000000" w:sz="4" w:space="0"/>
                  </w:tcBorders>
                </w:tcPr>
                <w:p>
                  <w:pPr>
                    <w:rPr/>
                  </w:pPr>
                </w:p>
              </w:tc>
              <w:tc>
                <w:tcPr>
                  <w:tcW w:w="173" w:type="dxa"/>
                  <w:tcBorders>
                    <w:top w:val="nil"/>
                    <w:left w:val="nil"/>
                    <w:bottom w:val="single" w:color="000000" w:sz="4" w:space="0"/>
                    <w:right w:val="single" w:color="000000" w:sz="4" w:space="0"/>
                  </w:tcBorders>
                  <w:tcMar>
                    <w:top w:w="0" w:type="dxa"/>
                    <w:left w:w="105" w:type="dxa"/>
                    <w:bottom w:w="0" w:type="dxa"/>
                    <w:right w:w="105" w:type="dxa"/>
                  </w:tcMar>
                  <w:vAlign w:val="top"/>
                </w:tcPr>
                <w:p>
                  <w:pPr>
                    <w:rPr/>
                  </w:pPr>
                  <w:r>
                    <w:t>2</w:t>
                  </w:r>
                </w:p>
              </w:tc>
              <w:tc>
                <w:tcPr>
                  <w:tcW w:w="213" w:type="dxa"/>
                  <w:tcBorders>
                    <w:top w:val="nil"/>
                    <w:left w:val="nil"/>
                    <w:bottom w:val="single" w:color="000000" w:sz="4" w:space="0"/>
                    <w:right w:val="single" w:color="000000" w:sz="4" w:space="0"/>
                  </w:tcBorders>
                  <w:tcMar>
                    <w:top w:w="0" w:type="dxa"/>
                    <w:left w:w="105" w:type="dxa"/>
                    <w:bottom w:w="0" w:type="dxa"/>
                    <w:right w:w="105" w:type="dxa"/>
                  </w:tcMar>
                  <w:vAlign w:val="top"/>
                </w:tcPr>
                <w:p>
                  <w:pPr>
                    <w:rPr/>
                  </w:pPr>
                  <w:r>
                    <w:t>医用氧</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rPr/>
                  </w:pPr>
                  <w:r>
                    <w:t>瓶</w:t>
                  </w:r>
                </w:p>
              </w:tc>
              <w:tc>
                <w:tcPr>
                  <w:tcW w:w="213" w:type="dxa"/>
                  <w:tcBorders>
                    <w:top w:val="nil"/>
                    <w:left w:val="nil"/>
                    <w:bottom w:val="single" w:color="000000" w:sz="4" w:space="0"/>
                    <w:right w:val="single" w:color="000000" w:sz="4" w:space="0"/>
                  </w:tcBorders>
                  <w:tcMar>
                    <w:top w:w="0" w:type="dxa"/>
                    <w:left w:w="105" w:type="dxa"/>
                    <w:bottom w:w="0" w:type="dxa"/>
                    <w:right w:w="105" w:type="dxa"/>
                  </w:tcMar>
                  <w:vAlign w:val="top"/>
                </w:tcPr>
                <w:p>
                  <w:pPr>
                    <w:rPr/>
                  </w:pPr>
                  <w:r>
                    <w:t>40L/瓶</w:t>
                  </w:r>
                </w:p>
              </w:tc>
              <w:tc>
                <w:tcPr>
                  <w:tcW w:w="276" w:type="dxa"/>
                  <w:tcBorders>
                    <w:top w:val="nil"/>
                    <w:left w:val="nil"/>
                    <w:bottom w:val="single" w:color="000000" w:sz="4" w:space="0"/>
                    <w:right w:val="single" w:color="000000" w:sz="4" w:space="0"/>
                  </w:tcBorders>
                  <w:tcMar>
                    <w:top w:w="0" w:type="dxa"/>
                    <w:left w:w="105" w:type="dxa"/>
                    <w:bottom w:w="0" w:type="dxa"/>
                    <w:right w:w="105" w:type="dxa"/>
                  </w:tcMar>
                  <w:vAlign w:val="top"/>
                </w:tcPr>
                <w:p>
                  <w:pPr>
                    <w:rPr/>
                  </w:pPr>
                  <w:r>
                    <w:t>250瓶</w:t>
                  </w:r>
                </w:p>
              </w:tc>
              <w:tc>
                <w:tcPr>
                  <w:tcW w:w="307" w:type="dxa"/>
                  <w:tcBorders>
                    <w:top w:val="nil"/>
                    <w:left w:val="nil"/>
                    <w:bottom w:val="single" w:color="000000" w:sz="4" w:space="0"/>
                    <w:right w:val="single" w:color="000000" w:sz="4" w:space="0"/>
                  </w:tcBorders>
                  <w:tcMar>
                    <w:top w:w="0" w:type="dxa"/>
                    <w:left w:w="105" w:type="dxa"/>
                    <w:bottom w:w="0" w:type="dxa"/>
                    <w:right w:w="105" w:type="dxa"/>
                  </w:tcMar>
                  <w:vAlign w:val="top"/>
                </w:tcPr>
                <w:p>
                  <w:pPr>
                    <w:rPr/>
                  </w:pPr>
                  <w:r>
                    <w:t>40</w:t>
                  </w:r>
                </w:p>
              </w:tc>
              <w:tc>
                <w:tcPr>
                  <w:tcW w:w="307" w:type="dxa"/>
                  <w:tcBorders>
                    <w:top w:val="nil"/>
                    <w:left w:val="nil"/>
                    <w:bottom w:val="single" w:color="000000" w:sz="4" w:space="0"/>
                    <w:right w:val="single" w:color="000000" w:sz="4" w:space="0"/>
                  </w:tcBorders>
                  <w:tcMar>
                    <w:top w:w="0" w:type="dxa"/>
                    <w:left w:w="105" w:type="dxa"/>
                    <w:bottom w:w="0" w:type="dxa"/>
                    <w:right w:w="105" w:type="dxa"/>
                  </w:tcMar>
                  <w:vAlign w:val="top"/>
                </w:tcPr>
                <w:p>
                  <w:pPr>
                    <w:rPr/>
                  </w:pPr>
                  <w:r>
                    <w:t>38</w:t>
                  </w:r>
                </w:p>
              </w:tc>
              <w:tc>
                <w:tcPr>
                  <w:tcW w:w="236" w:type="dxa"/>
                  <w:tcBorders>
                    <w:top w:val="nil"/>
                    <w:left w:val="nil"/>
                    <w:bottom w:val="single" w:color="000000" w:sz="4" w:space="0"/>
                    <w:right w:val="single" w:color="000000" w:sz="4" w:space="0"/>
                  </w:tcBorders>
                  <w:tcMar>
                    <w:top w:w="0" w:type="dxa"/>
                    <w:left w:w="105" w:type="dxa"/>
                    <w:bottom w:w="0" w:type="dxa"/>
                    <w:right w:w="105" w:type="dxa"/>
                  </w:tcMar>
                  <w:vAlign w:val="top"/>
                </w:tcPr>
                <w:p>
                  <w:pPr>
                    <w:rPr/>
                  </w:pPr>
                  <w:r>
                    <w:t>否</w:t>
                  </w:r>
                </w:p>
              </w:tc>
              <w:tc>
                <w:tcPr>
                  <w:tcW w:w="236" w:type="dxa"/>
                  <w:tcBorders>
                    <w:top w:val="nil"/>
                    <w:left w:val="nil"/>
                    <w:bottom w:val="single" w:color="000000" w:sz="4" w:space="0"/>
                    <w:right w:val="single" w:color="000000" w:sz="4" w:space="0"/>
                  </w:tcBorders>
                  <w:tcMar>
                    <w:top w:w="0" w:type="dxa"/>
                    <w:left w:w="105" w:type="dxa"/>
                    <w:bottom w:w="0" w:type="dxa"/>
                    <w:right w:w="105" w:type="dxa"/>
                  </w:tcMar>
                  <w:vAlign w:val="top"/>
                </w:tcPr>
                <w:p>
                  <w:pPr>
                    <w:rPr/>
                  </w:pPr>
                  <w:r>
                    <w:t>否</w:t>
                  </w:r>
                </w:p>
              </w:tc>
              <w:tc>
                <w:tcPr>
                  <w:tcW w:w="236" w:type="dxa"/>
                  <w:tcBorders>
                    <w:top w:val="nil"/>
                    <w:left w:val="nil"/>
                    <w:bottom w:val="single" w:color="000000" w:sz="4" w:space="0"/>
                    <w:right w:val="single" w:color="000000" w:sz="4" w:space="0"/>
                  </w:tcBorders>
                  <w:tcMar>
                    <w:top w:w="0" w:type="dxa"/>
                    <w:left w:w="105" w:type="dxa"/>
                    <w:bottom w:w="0" w:type="dxa"/>
                    <w:right w:w="105" w:type="dxa"/>
                  </w:tcMar>
                  <w:vAlign w:val="top"/>
                </w:tcPr>
                <w:p>
                  <w:pPr>
                    <w:rPr/>
                  </w:pPr>
                  <w: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vMerge w:val="continue"/>
                  <w:tcBorders>
                    <w:top w:val="nil"/>
                    <w:left w:val="single" w:color="000000" w:sz="4" w:space="0"/>
                    <w:bottom w:val="single" w:color="000000" w:sz="4" w:space="0"/>
                    <w:right w:val="single" w:color="000000" w:sz="4" w:space="0"/>
                  </w:tcBorders>
                </w:tcPr>
                <w:p>
                  <w:pPr>
                    <w:rPr/>
                  </w:pPr>
                </w:p>
              </w:tc>
              <w:tc>
                <w:tcPr>
                  <w:tcW w:w="173" w:type="dxa"/>
                  <w:tcBorders>
                    <w:top w:val="nil"/>
                    <w:left w:val="nil"/>
                    <w:bottom w:val="single" w:color="000000" w:sz="4" w:space="0"/>
                    <w:right w:val="single" w:color="000000" w:sz="4" w:space="0"/>
                  </w:tcBorders>
                  <w:tcMar>
                    <w:top w:w="0" w:type="dxa"/>
                    <w:left w:w="105" w:type="dxa"/>
                    <w:bottom w:w="0" w:type="dxa"/>
                    <w:right w:w="105" w:type="dxa"/>
                  </w:tcMar>
                  <w:vAlign w:val="top"/>
                </w:tcPr>
                <w:p>
                  <w:pPr>
                    <w:rPr/>
                  </w:pPr>
                  <w:r>
                    <w:t>3</w:t>
                  </w:r>
                </w:p>
              </w:tc>
              <w:tc>
                <w:tcPr>
                  <w:tcW w:w="213" w:type="dxa"/>
                  <w:tcBorders>
                    <w:top w:val="nil"/>
                    <w:left w:val="nil"/>
                    <w:bottom w:val="single" w:color="000000" w:sz="4" w:space="0"/>
                    <w:right w:val="single" w:color="000000" w:sz="4" w:space="0"/>
                  </w:tcBorders>
                  <w:tcMar>
                    <w:top w:w="0" w:type="dxa"/>
                    <w:left w:w="105" w:type="dxa"/>
                    <w:bottom w:w="0" w:type="dxa"/>
                    <w:right w:w="105" w:type="dxa"/>
                  </w:tcMar>
                  <w:vAlign w:val="top"/>
                </w:tcPr>
                <w:p>
                  <w:pPr>
                    <w:rPr/>
                  </w:pPr>
                  <w:r>
                    <w:t>小医用氧</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rPr/>
                  </w:pPr>
                  <w:r>
                    <w:t>瓶</w:t>
                  </w:r>
                </w:p>
              </w:tc>
              <w:tc>
                <w:tcPr>
                  <w:tcW w:w="213" w:type="dxa"/>
                  <w:tcBorders>
                    <w:top w:val="nil"/>
                    <w:left w:val="nil"/>
                    <w:bottom w:val="single" w:color="000000" w:sz="4" w:space="0"/>
                    <w:right w:val="single" w:color="000000" w:sz="4" w:space="0"/>
                  </w:tcBorders>
                  <w:tcMar>
                    <w:top w:w="0" w:type="dxa"/>
                    <w:left w:w="105" w:type="dxa"/>
                    <w:bottom w:w="0" w:type="dxa"/>
                    <w:right w:w="105" w:type="dxa"/>
                  </w:tcMar>
                  <w:vAlign w:val="top"/>
                </w:tcPr>
                <w:p>
                  <w:pPr>
                    <w:rPr/>
                  </w:pPr>
                  <w:r>
                    <w:t>10L/瓶</w:t>
                  </w:r>
                </w:p>
              </w:tc>
              <w:tc>
                <w:tcPr>
                  <w:tcW w:w="276" w:type="dxa"/>
                  <w:tcBorders>
                    <w:top w:val="nil"/>
                    <w:left w:val="nil"/>
                    <w:bottom w:val="single" w:color="000000" w:sz="4" w:space="0"/>
                    <w:right w:val="single" w:color="000000" w:sz="4" w:space="0"/>
                  </w:tcBorders>
                  <w:tcMar>
                    <w:top w:w="0" w:type="dxa"/>
                    <w:left w:w="105" w:type="dxa"/>
                    <w:bottom w:w="0" w:type="dxa"/>
                    <w:right w:w="105" w:type="dxa"/>
                  </w:tcMar>
                  <w:vAlign w:val="top"/>
                </w:tcPr>
                <w:p>
                  <w:pPr>
                    <w:rPr/>
                  </w:pPr>
                  <w:r>
                    <w:t>1600瓶</w:t>
                  </w:r>
                </w:p>
              </w:tc>
              <w:tc>
                <w:tcPr>
                  <w:tcW w:w="307" w:type="dxa"/>
                  <w:tcBorders>
                    <w:top w:val="nil"/>
                    <w:left w:val="nil"/>
                    <w:bottom w:val="single" w:color="000000" w:sz="4" w:space="0"/>
                    <w:right w:val="single" w:color="000000" w:sz="4" w:space="0"/>
                  </w:tcBorders>
                  <w:tcMar>
                    <w:top w:w="0" w:type="dxa"/>
                    <w:left w:w="105" w:type="dxa"/>
                    <w:bottom w:w="0" w:type="dxa"/>
                    <w:right w:w="105" w:type="dxa"/>
                  </w:tcMar>
                  <w:vAlign w:val="top"/>
                </w:tcPr>
                <w:p>
                  <w:pPr>
                    <w:rPr/>
                  </w:pPr>
                  <w:r>
                    <w:t>25</w:t>
                  </w:r>
                </w:p>
              </w:tc>
              <w:tc>
                <w:tcPr>
                  <w:tcW w:w="307" w:type="dxa"/>
                  <w:tcBorders>
                    <w:top w:val="nil"/>
                    <w:left w:val="nil"/>
                    <w:bottom w:val="single" w:color="000000" w:sz="4" w:space="0"/>
                    <w:right w:val="single" w:color="000000" w:sz="4" w:space="0"/>
                  </w:tcBorders>
                  <w:tcMar>
                    <w:top w:w="0" w:type="dxa"/>
                    <w:left w:w="105" w:type="dxa"/>
                    <w:bottom w:w="0" w:type="dxa"/>
                    <w:right w:w="105" w:type="dxa"/>
                  </w:tcMar>
                  <w:vAlign w:val="top"/>
                </w:tcPr>
                <w:p>
                  <w:pPr>
                    <w:rPr/>
                  </w:pPr>
                  <w:r>
                    <w:t>23</w:t>
                  </w:r>
                </w:p>
              </w:tc>
              <w:tc>
                <w:tcPr>
                  <w:tcW w:w="236" w:type="dxa"/>
                  <w:tcBorders>
                    <w:top w:val="nil"/>
                    <w:left w:val="nil"/>
                    <w:bottom w:val="single" w:color="000000" w:sz="4" w:space="0"/>
                    <w:right w:val="single" w:color="000000" w:sz="4" w:space="0"/>
                  </w:tcBorders>
                  <w:tcMar>
                    <w:top w:w="0" w:type="dxa"/>
                    <w:left w:w="105" w:type="dxa"/>
                    <w:bottom w:w="0" w:type="dxa"/>
                    <w:right w:w="105" w:type="dxa"/>
                  </w:tcMar>
                  <w:vAlign w:val="top"/>
                </w:tcPr>
                <w:p>
                  <w:pPr>
                    <w:rPr/>
                  </w:pPr>
                  <w:r>
                    <w:t>否</w:t>
                  </w:r>
                </w:p>
              </w:tc>
              <w:tc>
                <w:tcPr>
                  <w:tcW w:w="236" w:type="dxa"/>
                  <w:tcBorders>
                    <w:top w:val="nil"/>
                    <w:left w:val="nil"/>
                    <w:bottom w:val="single" w:color="000000" w:sz="4" w:space="0"/>
                    <w:right w:val="single" w:color="000000" w:sz="4" w:space="0"/>
                  </w:tcBorders>
                  <w:tcMar>
                    <w:top w:w="0" w:type="dxa"/>
                    <w:left w:w="105" w:type="dxa"/>
                    <w:bottom w:w="0" w:type="dxa"/>
                    <w:right w:w="105" w:type="dxa"/>
                  </w:tcMar>
                  <w:vAlign w:val="top"/>
                </w:tcPr>
                <w:p>
                  <w:pPr>
                    <w:rPr/>
                  </w:pPr>
                  <w:r>
                    <w:t>否</w:t>
                  </w:r>
                </w:p>
              </w:tc>
              <w:tc>
                <w:tcPr>
                  <w:tcW w:w="236" w:type="dxa"/>
                  <w:tcBorders>
                    <w:top w:val="nil"/>
                    <w:left w:val="nil"/>
                    <w:bottom w:val="single" w:color="000000" w:sz="4" w:space="0"/>
                    <w:right w:val="single" w:color="000000" w:sz="4" w:space="0"/>
                  </w:tcBorders>
                  <w:tcMar>
                    <w:top w:w="0" w:type="dxa"/>
                    <w:left w:w="105" w:type="dxa"/>
                    <w:bottom w:w="0" w:type="dxa"/>
                    <w:right w:w="105" w:type="dxa"/>
                  </w:tcMar>
                  <w:vAlign w:val="top"/>
                </w:tcPr>
                <w:p>
                  <w:pPr>
                    <w:rPr/>
                  </w:pPr>
                  <w:r>
                    <w:t>工业</w:t>
                  </w:r>
                </w:p>
              </w:tc>
            </w:tr>
          </w:tbl>
          <w:p>
            <w:pPr>
              <w:rPr/>
            </w:pPr>
            <w:r>
              <w:t>注：1.供应商应根据上表的标的名称及所属行业准确填写中小企业声明函。2.核心产品以上表标注为准。</w:t>
            </w:r>
          </w:p>
          <w:p>
            <w:pPr>
              <w:rPr/>
            </w:pPr>
          </w:p>
          <w:p>
            <w:pPr>
              <w:rPr/>
            </w:pPr>
            <w:r>
              <w:t>★二、技术服务要求</w:t>
            </w:r>
          </w:p>
          <w:p>
            <w:pPr>
              <w:rPr/>
            </w:pPr>
            <w:r>
              <w:t>1.配送产品要求：</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20"/>
              <w:gridCol w:w="420"/>
              <w:gridCol w:w="448"/>
              <w:gridCol w:w="593"/>
              <w:gridCol w:w="1514"/>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rPr/>
                  </w:pPr>
                  <w:r>
                    <w:t>序号</w:t>
                  </w:r>
                </w:p>
              </w:tc>
              <w:tc>
                <w:tcPr>
                  <w:tcW w:w="34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rPr/>
                  </w:pPr>
                  <w:r>
                    <w:t>产品名称</w:t>
                  </w:r>
                </w:p>
              </w:tc>
              <w:tc>
                <w:tcPr>
                  <w:tcW w:w="191"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rPr/>
                  </w:pPr>
                  <w:r>
                    <w:t>单位</w:t>
                  </w:r>
                </w:p>
              </w:tc>
              <w:tc>
                <w:tcPr>
                  <w:tcW w:w="268"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rPr/>
                  </w:pPr>
                  <w:r>
                    <w:t>规格</w:t>
                  </w:r>
                </w:p>
              </w:tc>
              <w:tc>
                <w:tcPr>
                  <w:tcW w:w="1514"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rPr/>
                  </w:pPr>
                  <w:r>
                    <w:t>技术要求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rPr/>
                  </w:pPr>
                  <w:r>
                    <w:t>1</w:t>
                  </w:r>
                </w:p>
              </w:tc>
              <w:tc>
                <w:tcPr>
                  <w:tcW w:w="346" w:type="dxa"/>
                  <w:tcBorders>
                    <w:top w:val="nil"/>
                    <w:left w:val="nil"/>
                    <w:bottom w:val="single" w:color="000000" w:sz="4" w:space="0"/>
                    <w:right w:val="single" w:color="000000" w:sz="4" w:space="0"/>
                  </w:tcBorders>
                  <w:tcMar>
                    <w:top w:w="0" w:type="dxa"/>
                    <w:left w:w="105" w:type="dxa"/>
                    <w:bottom w:w="0" w:type="dxa"/>
                    <w:right w:w="105" w:type="dxa"/>
                  </w:tcMar>
                  <w:vAlign w:val="top"/>
                </w:tcPr>
                <w:p>
                  <w:pPr>
                    <w:rPr/>
                  </w:pPr>
                  <w:r>
                    <w:t>医用液氧</w:t>
                  </w:r>
                </w:p>
              </w:tc>
              <w:tc>
                <w:tcPr>
                  <w:tcW w:w="191" w:type="dxa"/>
                  <w:tcBorders>
                    <w:top w:val="nil"/>
                    <w:left w:val="nil"/>
                    <w:bottom w:val="single" w:color="000000" w:sz="4" w:space="0"/>
                    <w:right w:val="single" w:color="000000" w:sz="4" w:space="0"/>
                  </w:tcBorders>
                  <w:tcMar>
                    <w:top w:w="0" w:type="dxa"/>
                    <w:left w:w="105" w:type="dxa"/>
                    <w:bottom w:w="0" w:type="dxa"/>
                    <w:right w:w="105" w:type="dxa"/>
                  </w:tcMar>
                  <w:vAlign w:val="top"/>
                </w:tcPr>
                <w:p>
                  <w:pPr>
                    <w:rPr/>
                  </w:pPr>
                  <w:r>
                    <w:t>m³</w:t>
                  </w:r>
                </w:p>
              </w:tc>
              <w:tc>
                <w:tcPr>
                  <w:tcW w:w="268" w:type="dxa"/>
                  <w:tcBorders>
                    <w:top w:val="nil"/>
                    <w:left w:val="nil"/>
                    <w:bottom w:val="single" w:color="000000" w:sz="4" w:space="0"/>
                    <w:right w:val="single" w:color="000000" w:sz="4" w:space="0"/>
                  </w:tcBorders>
                  <w:tcMar>
                    <w:top w:w="0" w:type="dxa"/>
                    <w:left w:w="105" w:type="dxa"/>
                    <w:bottom w:w="0" w:type="dxa"/>
                    <w:right w:w="105" w:type="dxa"/>
                  </w:tcMar>
                  <w:vAlign w:val="top"/>
                </w:tcPr>
                <w:p>
                  <w:pPr>
                    <w:rPr/>
                  </w:pPr>
                  <w:r>
                    <w:t>液态</w:t>
                  </w:r>
                </w:p>
              </w:tc>
              <w:tc>
                <w:tcPr>
                  <w:tcW w:w="1514" w:type="dxa"/>
                  <w:tcBorders>
                    <w:top w:val="nil"/>
                    <w:left w:val="nil"/>
                    <w:bottom w:val="single" w:color="000000" w:sz="4" w:space="0"/>
                    <w:right w:val="single" w:color="000000" w:sz="4" w:space="0"/>
                  </w:tcBorders>
                  <w:tcMar>
                    <w:top w:w="0" w:type="dxa"/>
                    <w:left w:w="105" w:type="dxa"/>
                    <w:bottom w:w="0" w:type="dxa"/>
                    <w:right w:w="105" w:type="dxa"/>
                  </w:tcMar>
                  <w:vAlign w:val="top"/>
                </w:tcPr>
                <w:p>
                  <w:pPr>
                    <w:rPr/>
                  </w:pPr>
                  <w:r>
                    <w:t>符合《中国药典》2020版 第二部；纯度≥99.5%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rPr/>
                  </w:pPr>
                  <w:r>
                    <w:t>2</w:t>
                  </w:r>
                </w:p>
              </w:tc>
              <w:tc>
                <w:tcPr>
                  <w:tcW w:w="346" w:type="dxa"/>
                  <w:tcBorders>
                    <w:top w:val="nil"/>
                    <w:left w:val="nil"/>
                    <w:bottom w:val="single" w:color="000000" w:sz="4" w:space="0"/>
                    <w:right w:val="single" w:color="000000" w:sz="4" w:space="0"/>
                  </w:tcBorders>
                  <w:tcMar>
                    <w:top w:w="0" w:type="dxa"/>
                    <w:left w:w="105" w:type="dxa"/>
                    <w:bottom w:w="0" w:type="dxa"/>
                    <w:right w:w="105" w:type="dxa"/>
                  </w:tcMar>
                  <w:vAlign w:val="top"/>
                </w:tcPr>
                <w:p>
                  <w:pPr>
                    <w:rPr/>
                  </w:pPr>
                  <w:r>
                    <w:t>医用氧</w:t>
                  </w:r>
                </w:p>
              </w:tc>
              <w:tc>
                <w:tcPr>
                  <w:tcW w:w="191" w:type="dxa"/>
                  <w:tcBorders>
                    <w:top w:val="nil"/>
                    <w:left w:val="nil"/>
                    <w:bottom w:val="single" w:color="000000" w:sz="4" w:space="0"/>
                    <w:right w:val="single" w:color="000000" w:sz="4" w:space="0"/>
                  </w:tcBorders>
                  <w:tcMar>
                    <w:top w:w="0" w:type="dxa"/>
                    <w:left w:w="105" w:type="dxa"/>
                    <w:bottom w:w="0" w:type="dxa"/>
                    <w:right w:w="105" w:type="dxa"/>
                  </w:tcMar>
                  <w:vAlign w:val="top"/>
                </w:tcPr>
                <w:p>
                  <w:pPr>
                    <w:rPr/>
                  </w:pPr>
                  <w:r>
                    <w:t>瓶</w:t>
                  </w:r>
                </w:p>
              </w:tc>
              <w:tc>
                <w:tcPr>
                  <w:tcW w:w="268" w:type="dxa"/>
                  <w:tcBorders>
                    <w:top w:val="nil"/>
                    <w:left w:val="nil"/>
                    <w:bottom w:val="single" w:color="000000" w:sz="4" w:space="0"/>
                    <w:right w:val="single" w:color="000000" w:sz="4" w:space="0"/>
                  </w:tcBorders>
                  <w:tcMar>
                    <w:top w:w="0" w:type="dxa"/>
                    <w:left w:w="105" w:type="dxa"/>
                    <w:bottom w:w="0" w:type="dxa"/>
                    <w:right w:w="105" w:type="dxa"/>
                  </w:tcMar>
                  <w:vAlign w:val="top"/>
                </w:tcPr>
                <w:p>
                  <w:pPr>
                    <w:rPr/>
                  </w:pPr>
                  <w:r>
                    <w:t>40L/瓶</w:t>
                  </w:r>
                </w:p>
              </w:tc>
              <w:tc>
                <w:tcPr>
                  <w:tcW w:w="1514" w:type="dxa"/>
                  <w:tcBorders>
                    <w:top w:val="nil"/>
                    <w:left w:val="nil"/>
                    <w:bottom w:val="single" w:color="000000" w:sz="4" w:space="0"/>
                    <w:right w:val="single" w:color="000000" w:sz="4" w:space="0"/>
                  </w:tcBorders>
                  <w:tcMar>
                    <w:top w:w="0" w:type="dxa"/>
                    <w:left w:w="105" w:type="dxa"/>
                    <w:bottom w:w="0" w:type="dxa"/>
                    <w:right w:w="105" w:type="dxa"/>
                  </w:tcMar>
                  <w:vAlign w:val="top"/>
                </w:tcPr>
                <w:p>
                  <w:pPr>
                    <w:rPr/>
                  </w:pPr>
                  <w:r>
                    <w:t>符合《中国药典》2020版 第二部；纯度≥99.5%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rPr/>
                  </w:pPr>
                  <w:r>
                    <w:t>3</w:t>
                  </w:r>
                </w:p>
              </w:tc>
              <w:tc>
                <w:tcPr>
                  <w:tcW w:w="346" w:type="dxa"/>
                  <w:tcBorders>
                    <w:top w:val="nil"/>
                    <w:left w:val="nil"/>
                    <w:bottom w:val="single" w:color="000000" w:sz="4" w:space="0"/>
                    <w:right w:val="single" w:color="000000" w:sz="4" w:space="0"/>
                  </w:tcBorders>
                  <w:tcMar>
                    <w:top w:w="0" w:type="dxa"/>
                    <w:left w:w="105" w:type="dxa"/>
                    <w:bottom w:w="0" w:type="dxa"/>
                    <w:right w:w="105" w:type="dxa"/>
                  </w:tcMar>
                  <w:vAlign w:val="top"/>
                </w:tcPr>
                <w:p>
                  <w:pPr>
                    <w:rPr/>
                  </w:pPr>
                  <w:r>
                    <w:t>小医用氧</w:t>
                  </w:r>
                </w:p>
              </w:tc>
              <w:tc>
                <w:tcPr>
                  <w:tcW w:w="191" w:type="dxa"/>
                  <w:tcBorders>
                    <w:top w:val="nil"/>
                    <w:left w:val="nil"/>
                    <w:bottom w:val="single" w:color="000000" w:sz="4" w:space="0"/>
                    <w:right w:val="single" w:color="000000" w:sz="4" w:space="0"/>
                  </w:tcBorders>
                  <w:tcMar>
                    <w:top w:w="0" w:type="dxa"/>
                    <w:left w:w="105" w:type="dxa"/>
                    <w:bottom w:w="0" w:type="dxa"/>
                    <w:right w:w="105" w:type="dxa"/>
                  </w:tcMar>
                  <w:vAlign w:val="top"/>
                </w:tcPr>
                <w:p>
                  <w:pPr>
                    <w:rPr/>
                  </w:pPr>
                  <w:r>
                    <w:t>瓶</w:t>
                  </w:r>
                </w:p>
              </w:tc>
              <w:tc>
                <w:tcPr>
                  <w:tcW w:w="268" w:type="dxa"/>
                  <w:tcBorders>
                    <w:top w:val="nil"/>
                    <w:left w:val="nil"/>
                    <w:bottom w:val="single" w:color="000000" w:sz="4" w:space="0"/>
                    <w:right w:val="single" w:color="000000" w:sz="4" w:space="0"/>
                  </w:tcBorders>
                  <w:tcMar>
                    <w:top w:w="0" w:type="dxa"/>
                    <w:left w:w="105" w:type="dxa"/>
                    <w:bottom w:w="0" w:type="dxa"/>
                    <w:right w:w="105" w:type="dxa"/>
                  </w:tcMar>
                  <w:vAlign w:val="top"/>
                </w:tcPr>
                <w:p>
                  <w:pPr>
                    <w:rPr/>
                  </w:pPr>
                  <w:r>
                    <w:t>10L/瓶</w:t>
                  </w:r>
                </w:p>
              </w:tc>
              <w:tc>
                <w:tcPr>
                  <w:tcW w:w="1514" w:type="dxa"/>
                  <w:tcBorders>
                    <w:top w:val="nil"/>
                    <w:left w:val="nil"/>
                    <w:bottom w:val="single" w:color="000000" w:sz="4" w:space="0"/>
                    <w:right w:val="single" w:color="000000" w:sz="4" w:space="0"/>
                  </w:tcBorders>
                  <w:tcMar>
                    <w:top w:w="0" w:type="dxa"/>
                    <w:left w:w="105" w:type="dxa"/>
                    <w:bottom w:w="0" w:type="dxa"/>
                    <w:right w:w="105" w:type="dxa"/>
                  </w:tcMar>
                  <w:vAlign w:val="top"/>
                </w:tcPr>
                <w:p>
                  <w:pPr>
                    <w:rPr/>
                  </w:pPr>
                  <w:r>
                    <w:t>符合《中国药典》2020版 第二部；纯度≥99.5%</w:t>
                  </w:r>
                </w:p>
              </w:tc>
            </w:tr>
          </w:tbl>
          <w:p>
            <w:pPr>
              <w:rPr/>
            </w:pPr>
            <w:r>
              <w:t>2.钢瓶装气态氧工作压力：12.50±0.5Mpa。</w:t>
            </w:r>
          </w:p>
          <w:p>
            <w:pPr>
              <w:rPr/>
            </w:pPr>
            <w:r>
              <w:t>3.供应商需提供满足临床使用数量的各种钢瓶及周转瓶，并且负责气瓶和气瓶流量表维护保养及设备检定，并将检测报告递交采购人存档，费用均已包含在供应商投标报价中，采购人不再另行支付费用。（提供承诺函）</w:t>
            </w:r>
          </w:p>
          <w:p>
            <w:pPr>
              <w:rPr/>
            </w:pPr>
            <w:r>
              <w:t>4.采购人东区和西区的液氧站设备维护保养，故障维修，压力表、安全阀检定更换，储罐年度检定等均由液氧供应商按规定的巡检周期和检定周期实施，费用均已包含在供应商投标报价中，采购人不再另行支付费用。（提供承诺函）</w:t>
            </w:r>
          </w:p>
          <w:p>
            <w:pPr>
              <w:rPr/>
            </w:pPr>
            <w:r>
              <w:t>5.采购人液氧站设备出现故障，供应商应满足在3小时内响应处理意见，在通过电话不能解决的情况下,24小时内赶到现场维修。</w:t>
            </w:r>
          </w:p>
          <w:p>
            <w:pPr>
              <w:rPr/>
            </w:pPr>
            <w:r>
              <w:t>6.为保障医院的氧气正常供应及安全，供应商供应配送上岗人员应持有《道路运输从业人员从业资格证》（从业资格类别包含：道路危险货物运输驾驶员、道路危险货物运输押运人员）。</w:t>
            </w:r>
          </w:p>
          <w:p>
            <w:pPr>
              <w:rPr/>
            </w:pPr>
            <w:r>
              <w:t>7.液氧站维保内容包含：</w:t>
            </w:r>
          </w:p>
          <w:tbl>
            <w:tblPr>
              <w:tblStyle w:val="2"/>
              <w:tblW w:w="0" w:type="auto"/>
              <w:tblInd w:w="1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34"/>
              <w:gridCol w:w="821"/>
              <w:gridCol w:w="1260"/>
              <w:gridCol w:w="443"/>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34"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rPr/>
                  </w:pPr>
                  <w:r>
                    <w:t>维保部位</w:t>
                  </w:r>
                </w:p>
              </w:tc>
              <w:tc>
                <w:tcPr>
                  <w:tcW w:w="415"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rPr/>
                  </w:pPr>
                  <w:r>
                    <w:t>维保数量</w:t>
                  </w:r>
                </w:p>
              </w:tc>
              <w:tc>
                <w:tcPr>
                  <w:tcW w:w="1260"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rPr/>
                  </w:pPr>
                  <w:r>
                    <w:t>维保服务的主要工作内容</w:t>
                  </w:r>
                </w:p>
              </w:tc>
              <w:tc>
                <w:tcPr>
                  <w:tcW w:w="443"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rPr/>
                  </w:pPr>
                  <w:r>
                    <w:t>维护频率</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34"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rPr/>
                  </w:pPr>
                  <w:r>
                    <w:t>液氧站</w:t>
                  </w:r>
                </w:p>
              </w:tc>
              <w:tc>
                <w:tcPr>
                  <w:tcW w:w="415"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rPr/>
                  </w:pPr>
                  <w:r>
                    <w:t>西区：4.99m³储罐4台；东区：4.99m³储罐1台。</w:t>
                  </w:r>
                </w:p>
              </w:tc>
              <w:tc>
                <w:tcPr>
                  <w:tcW w:w="1260" w:type="dxa"/>
                  <w:tcBorders>
                    <w:top w:val="nil"/>
                    <w:left w:val="nil"/>
                    <w:bottom w:val="single" w:color="000000" w:sz="4" w:space="0"/>
                    <w:right w:val="single" w:color="000000" w:sz="4" w:space="0"/>
                  </w:tcBorders>
                  <w:tcMar>
                    <w:top w:w="0" w:type="dxa"/>
                    <w:left w:w="105" w:type="dxa"/>
                    <w:bottom w:w="0" w:type="dxa"/>
                    <w:right w:w="105" w:type="dxa"/>
                  </w:tcMar>
                  <w:vAlign w:val="top"/>
                </w:tcPr>
                <w:p>
                  <w:pPr>
                    <w:rPr/>
                  </w:pPr>
                  <w:r>
                    <w:t>检查各阀门是否有泄漏。</w:t>
                  </w:r>
                </w:p>
              </w:tc>
              <w:tc>
                <w:tcPr>
                  <w:tcW w:w="443" w:type="dxa"/>
                  <w:tcBorders>
                    <w:top w:val="nil"/>
                    <w:left w:val="nil"/>
                    <w:bottom w:val="single" w:color="000000" w:sz="4" w:space="0"/>
                    <w:right w:val="single" w:color="000000" w:sz="4" w:space="0"/>
                  </w:tcBorders>
                  <w:tcMar>
                    <w:top w:w="0" w:type="dxa"/>
                    <w:left w:w="105" w:type="dxa"/>
                    <w:bottom w:w="0" w:type="dxa"/>
                    <w:right w:w="105" w:type="dxa"/>
                  </w:tcMar>
                  <w:vAlign w:val="top"/>
                </w:tcPr>
                <w:p>
                  <w:pPr>
                    <w:rPr/>
                  </w:pPr>
                  <w:r>
                    <w:t>1次/月</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34" w:type="dxa"/>
                  <w:vMerge w:val="continue"/>
                  <w:tcBorders>
                    <w:top w:val="nil"/>
                    <w:left w:val="single" w:color="000000" w:sz="4" w:space="0"/>
                    <w:bottom w:val="single" w:color="000000" w:sz="4" w:space="0"/>
                    <w:right w:val="single" w:color="000000" w:sz="4" w:space="0"/>
                  </w:tcBorders>
                </w:tcPr>
                <w:p>
                  <w:pPr>
                    <w:rPr/>
                  </w:pPr>
                </w:p>
              </w:tc>
              <w:tc>
                <w:tcPr>
                  <w:tcW w:w="415" w:type="dxa"/>
                  <w:vMerge w:val="continue"/>
                  <w:tcBorders>
                    <w:top w:val="nil"/>
                    <w:left w:val="nil"/>
                    <w:bottom w:val="single" w:color="000000" w:sz="4" w:space="0"/>
                    <w:right w:val="single" w:color="000000" w:sz="4" w:space="0"/>
                  </w:tcBorders>
                </w:tcPr>
                <w:p>
                  <w:pPr>
                    <w:rPr/>
                  </w:pPr>
                </w:p>
              </w:tc>
              <w:tc>
                <w:tcPr>
                  <w:tcW w:w="1260" w:type="dxa"/>
                  <w:tcBorders>
                    <w:top w:val="nil"/>
                    <w:left w:val="nil"/>
                    <w:bottom w:val="single" w:color="000000" w:sz="4" w:space="0"/>
                    <w:right w:val="single" w:color="000000" w:sz="4" w:space="0"/>
                  </w:tcBorders>
                  <w:tcMar>
                    <w:top w:w="0" w:type="dxa"/>
                    <w:left w:w="105" w:type="dxa"/>
                    <w:bottom w:w="0" w:type="dxa"/>
                    <w:right w:w="105" w:type="dxa"/>
                  </w:tcMar>
                  <w:vAlign w:val="top"/>
                </w:tcPr>
                <w:p>
                  <w:pPr>
                    <w:rPr/>
                  </w:pPr>
                  <w:r>
                    <w:t>检查低温调压阀及低温仪表是否工作正常，是否在有效期内，并出具合格的检验报告，合计13只（半年检定一次）</w:t>
                  </w:r>
                </w:p>
              </w:tc>
              <w:tc>
                <w:tcPr>
                  <w:tcW w:w="443" w:type="dxa"/>
                  <w:tcBorders>
                    <w:top w:val="nil"/>
                    <w:left w:val="nil"/>
                    <w:bottom w:val="single" w:color="000000" w:sz="4" w:space="0"/>
                    <w:right w:val="single" w:color="000000" w:sz="4" w:space="0"/>
                  </w:tcBorders>
                  <w:tcMar>
                    <w:top w:w="0" w:type="dxa"/>
                    <w:left w:w="105" w:type="dxa"/>
                    <w:bottom w:w="0" w:type="dxa"/>
                    <w:right w:w="105" w:type="dxa"/>
                  </w:tcMar>
                  <w:vAlign w:val="top"/>
                </w:tcPr>
                <w:p>
                  <w:pPr>
                    <w:rPr/>
                  </w:pPr>
                  <w:r>
                    <w:t>1次/半年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34" w:type="dxa"/>
                  <w:vMerge w:val="continue"/>
                  <w:tcBorders>
                    <w:top w:val="nil"/>
                    <w:left w:val="single" w:color="000000" w:sz="4" w:space="0"/>
                    <w:bottom w:val="single" w:color="000000" w:sz="4" w:space="0"/>
                    <w:right w:val="single" w:color="000000" w:sz="4" w:space="0"/>
                  </w:tcBorders>
                </w:tcPr>
                <w:p>
                  <w:pPr>
                    <w:rPr/>
                  </w:pPr>
                </w:p>
              </w:tc>
              <w:tc>
                <w:tcPr>
                  <w:tcW w:w="415" w:type="dxa"/>
                  <w:vMerge w:val="continue"/>
                  <w:tcBorders>
                    <w:top w:val="nil"/>
                    <w:left w:val="nil"/>
                    <w:bottom w:val="single" w:color="000000" w:sz="4" w:space="0"/>
                    <w:right w:val="single" w:color="000000" w:sz="4" w:space="0"/>
                  </w:tcBorders>
                </w:tcPr>
                <w:p>
                  <w:pPr>
                    <w:rPr/>
                  </w:pPr>
                </w:p>
              </w:tc>
              <w:tc>
                <w:tcPr>
                  <w:tcW w:w="1260" w:type="dxa"/>
                  <w:tcBorders>
                    <w:top w:val="nil"/>
                    <w:left w:val="nil"/>
                    <w:bottom w:val="single" w:color="000000" w:sz="4" w:space="0"/>
                    <w:right w:val="single" w:color="000000" w:sz="4" w:space="0"/>
                  </w:tcBorders>
                  <w:tcMar>
                    <w:top w:w="0" w:type="dxa"/>
                    <w:left w:w="105" w:type="dxa"/>
                    <w:bottom w:w="0" w:type="dxa"/>
                    <w:right w:w="105" w:type="dxa"/>
                  </w:tcMar>
                  <w:vAlign w:val="top"/>
                </w:tcPr>
                <w:p>
                  <w:pPr>
                    <w:rPr/>
                  </w:pPr>
                  <w:r>
                    <w:t>检查低温安全阀是否工作正常，是否在有效期内，并出具合格的检验报告，合计25只（一年检定一次）。</w:t>
                  </w:r>
                </w:p>
              </w:tc>
              <w:tc>
                <w:tcPr>
                  <w:tcW w:w="443" w:type="dxa"/>
                  <w:tcBorders>
                    <w:top w:val="nil"/>
                    <w:left w:val="nil"/>
                    <w:bottom w:val="single" w:color="000000" w:sz="4" w:space="0"/>
                    <w:right w:val="single" w:color="000000" w:sz="4" w:space="0"/>
                  </w:tcBorders>
                  <w:tcMar>
                    <w:top w:w="0" w:type="dxa"/>
                    <w:left w:w="105" w:type="dxa"/>
                    <w:bottom w:w="0" w:type="dxa"/>
                    <w:right w:w="105" w:type="dxa"/>
                  </w:tcMar>
                  <w:vAlign w:val="top"/>
                </w:tcPr>
                <w:p>
                  <w:pPr>
                    <w:rPr/>
                  </w:pPr>
                  <w:r>
                    <w:t>1次/年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34" w:type="dxa"/>
                  <w:vMerge w:val="continue"/>
                  <w:tcBorders>
                    <w:top w:val="nil"/>
                    <w:left w:val="single" w:color="000000" w:sz="4" w:space="0"/>
                    <w:bottom w:val="single" w:color="000000" w:sz="4" w:space="0"/>
                    <w:right w:val="single" w:color="000000" w:sz="4" w:space="0"/>
                  </w:tcBorders>
                </w:tcPr>
                <w:p>
                  <w:pPr>
                    <w:rPr/>
                  </w:pPr>
                </w:p>
              </w:tc>
              <w:tc>
                <w:tcPr>
                  <w:tcW w:w="415" w:type="dxa"/>
                  <w:vMerge w:val="continue"/>
                  <w:tcBorders>
                    <w:top w:val="nil"/>
                    <w:left w:val="nil"/>
                    <w:bottom w:val="single" w:color="000000" w:sz="4" w:space="0"/>
                    <w:right w:val="single" w:color="000000" w:sz="4" w:space="0"/>
                  </w:tcBorders>
                </w:tcPr>
                <w:p>
                  <w:pPr>
                    <w:rPr/>
                  </w:pPr>
                </w:p>
              </w:tc>
              <w:tc>
                <w:tcPr>
                  <w:tcW w:w="1260" w:type="dxa"/>
                  <w:tcBorders>
                    <w:top w:val="nil"/>
                    <w:left w:val="nil"/>
                    <w:bottom w:val="single" w:color="000000" w:sz="4" w:space="0"/>
                    <w:right w:val="single" w:color="000000" w:sz="4" w:space="0"/>
                  </w:tcBorders>
                  <w:tcMar>
                    <w:top w:w="0" w:type="dxa"/>
                    <w:left w:w="105" w:type="dxa"/>
                    <w:bottom w:w="0" w:type="dxa"/>
                    <w:right w:w="105" w:type="dxa"/>
                  </w:tcMar>
                  <w:vAlign w:val="top"/>
                </w:tcPr>
                <w:p>
                  <w:pPr>
                    <w:rPr/>
                  </w:pPr>
                  <w:r>
                    <w:t>检查恒压阀是否工作正常，共计5只。</w:t>
                  </w:r>
                </w:p>
              </w:tc>
              <w:tc>
                <w:tcPr>
                  <w:tcW w:w="443" w:type="dxa"/>
                  <w:tcBorders>
                    <w:top w:val="nil"/>
                    <w:left w:val="nil"/>
                    <w:bottom w:val="single" w:color="000000" w:sz="4" w:space="0"/>
                    <w:right w:val="single" w:color="000000" w:sz="4" w:space="0"/>
                  </w:tcBorders>
                  <w:tcMar>
                    <w:top w:w="0" w:type="dxa"/>
                    <w:left w:w="105" w:type="dxa"/>
                    <w:bottom w:w="0" w:type="dxa"/>
                    <w:right w:w="105" w:type="dxa"/>
                  </w:tcMar>
                  <w:vAlign w:val="top"/>
                </w:tcPr>
                <w:p>
                  <w:pPr>
                    <w:rPr/>
                  </w:pPr>
                  <w:r>
                    <w:t>1次 /月</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34" w:type="dxa"/>
                  <w:vMerge w:val="continue"/>
                  <w:tcBorders>
                    <w:top w:val="nil"/>
                    <w:left w:val="single" w:color="000000" w:sz="4" w:space="0"/>
                    <w:bottom w:val="single" w:color="000000" w:sz="4" w:space="0"/>
                    <w:right w:val="single" w:color="000000" w:sz="4" w:space="0"/>
                  </w:tcBorders>
                </w:tcPr>
                <w:p>
                  <w:pPr>
                    <w:rPr/>
                  </w:pPr>
                </w:p>
              </w:tc>
              <w:tc>
                <w:tcPr>
                  <w:tcW w:w="415" w:type="dxa"/>
                  <w:vMerge w:val="continue"/>
                  <w:tcBorders>
                    <w:top w:val="nil"/>
                    <w:left w:val="nil"/>
                    <w:bottom w:val="single" w:color="000000" w:sz="4" w:space="0"/>
                    <w:right w:val="single" w:color="000000" w:sz="4" w:space="0"/>
                  </w:tcBorders>
                </w:tcPr>
                <w:p>
                  <w:pPr>
                    <w:rPr/>
                  </w:pPr>
                </w:p>
              </w:tc>
              <w:tc>
                <w:tcPr>
                  <w:tcW w:w="1260" w:type="dxa"/>
                  <w:tcBorders>
                    <w:top w:val="nil"/>
                    <w:left w:val="nil"/>
                    <w:bottom w:val="single" w:color="000000" w:sz="4" w:space="0"/>
                    <w:right w:val="single" w:color="000000" w:sz="4" w:space="0"/>
                  </w:tcBorders>
                  <w:tcMar>
                    <w:top w:w="0" w:type="dxa"/>
                    <w:left w:w="105" w:type="dxa"/>
                    <w:bottom w:w="0" w:type="dxa"/>
                    <w:right w:w="105" w:type="dxa"/>
                  </w:tcMar>
                  <w:vAlign w:val="top"/>
                </w:tcPr>
                <w:p>
                  <w:pPr>
                    <w:rPr/>
                  </w:pPr>
                  <w:r>
                    <w:t>检查防爆阀组是否工作正常，防爆阀是否在有效期内，并出具合格的检验报告，合计10只（一年检定一次）</w:t>
                  </w:r>
                </w:p>
              </w:tc>
              <w:tc>
                <w:tcPr>
                  <w:tcW w:w="443" w:type="dxa"/>
                  <w:tcBorders>
                    <w:top w:val="nil"/>
                    <w:left w:val="nil"/>
                    <w:bottom w:val="single" w:color="000000" w:sz="4" w:space="0"/>
                    <w:right w:val="single" w:color="000000" w:sz="4" w:space="0"/>
                  </w:tcBorders>
                  <w:tcMar>
                    <w:top w:w="0" w:type="dxa"/>
                    <w:left w:w="105" w:type="dxa"/>
                    <w:bottom w:w="0" w:type="dxa"/>
                    <w:right w:w="105" w:type="dxa"/>
                  </w:tcMar>
                  <w:vAlign w:val="top"/>
                </w:tcPr>
                <w:p>
                  <w:pPr>
                    <w:rPr/>
                  </w:pPr>
                  <w:r>
                    <w:t>1次/年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34" w:type="dxa"/>
                  <w:vMerge w:val="continue"/>
                  <w:tcBorders>
                    <w:top w:val="nil"/>
                    <w:left w:val="single" w:color="000000" w:sz="4" w:space="0"/>
                    <w:bottom w:val="single" w:color="000000" w:sz="4" w:space="0"/>
                    <w:right w:val="single" w:color="000000" w:sz="4" w:space="0"/>
                  </w:tcBorders>
                </w:tcPr>
                <w:p>
                  <w:pPr>
                    <w:rPr/>
                  </w:pPr>
                </w:p>
              </w:tc>
              <w:tc>
                <w:tcPr>
                  <w:tcW w:w="415" w:type="dxa"/>
                  <w:vMerge w:val="continue"/>
                  <w:tcBorders>
                    <w:top w:val="nil"/>
                    <w:left w:val="nil"/>
                    <w:bottom w:val="single" w:color="000000" w:sz="4" w:space="0"/>
                    <w:right w:val="single" w:color="000000" w:sz="4" w:space="0"/>
                  </w:tcBorders>
                </w:tcPr>
                <w:p>
                  <w:pPr>
                    <w:rPr/>
                  </w:pPr>
                </w:p>
              </w:tc>
              <w:tc>
                <w:tcPr>
                  <w:tcW w:w="1260" w:type="dxa"/>
                  <w:tcBorders>
                    <w:top w:val="nil"/>
                    <w:left w:val="nil"/>
                    <w:bottom w:val="single" w:color="000000" w:sz="4" w:space="0"/>
                    <w:right w:val="single" w:color="000000" w:sz="4" w:space="0"/>
                  </w:tcBorders>
                  <w:tcMar>
                    <w:top w:w="0" w:type="dxa"/>
                    <w:left w:w="105" w:type="dxa"/>
                    <w:bottom w:w="0" w:type="dxa"/>
                    <w:right w:w="105" w:type="dxa"/>
                  </w:tcMar>
                  <w:vAlign w:val="top"/>
                </w:tcPr>
                <w:p>
                  <w:pPr>
                    <w:rPr/>
                  </w:pPr>
                  <w:r>
                    <w:t>液氧站正常维修。</w:t>
                  </w:r>
                </w:p>
              </w:tc>
              <w:tc>
                <w:tcPr>
                  <w:tcW w:w="443" w:type="dxa"/>
                  <w:tcBorders>
                    <w:top w:val="nil"/>
                    <w:left w:val="nil"/>
                    <w:bottom w:val="single" w:color="000000" w:sz="4" w:space="0"/>
                    <w:right w:val="single" w:color="000000" w:sz="4" w:space="0"/>
                  </w:tcBorders>
                  <w:tcMar>
                    <w:top w:w="0" w:type="dxa"/>
                    <w:left w:w="105" w:type="dxa"/>
                    <w:bottom w:w="0" w:type="dxa"/>
                    <w:right w:w="105" w:type="dxa"/>
                  </w:tcMar>
                  <w:vAlign w:val="top"/>
                </w:tcPr>
                <w:p>
                  <w:pPr>
                    <w:rPr/>
                  </w:pPr>
                  <w:r>
                    <w:t>不限次数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34" w:type="dxa"/>
                  <w:vMerge w:val="continue"/>
                  <w:tcBorders>
                    <w:top w:val="nil"/>
                    <w:left w:val="single" w:color="000000" w:sz="4" w:space="0"/>
                    <w:bottom w:val="single" w:color="000000" w:sz="4" w:space="0"/>
                    <w:right w:val="single" w:color="000000" w:sz="4" w:space="0"/>
                  </w:tcBorders>
                </w:tcPr>
                <w:p>
                  <w:pPr>
                    <w:rPr/>
                  </w:pPr>
                </w:p>
              </w:tc>
              <w:tc>
                <w:tcPr>
                  <w:tcW w:w="415" w:type="dxa"/>
                  <w:vMerge w:val="continue"/>
                  <w:tcBorders>
                    <w:top w:val="nil"/>
                    <w:left w:val="nil"/>
                    <w:bottom w:val="single" w:color="000000" w:sz="4" w:space="0"/>
                    <w:right w:val="single" w:color="000000" w:sz="4" w:space="0"/>
                  </w:tcBorders>
                </w:tcPr>
                <w:p>
                  <w:pPr>
                    <w:rPr/>
                  </w:pPr>
                </w:p>
              </w:tc>
              <w:tc>
                <w:tcPr>
                  <w:tcW w:w="1260" w:type="dxa"/>
                  <w:tcBorders>
                    <w:top w:val="nil"/>
                    <w:left w:val="nil"/>
                    <w:bottom w:val="single" w:color="000000" w:sz="4" w:space="0"/>
                    <w:right w:val="single" w:color="000000" w:sz="4" w:space="0"/>
                  </w:tcBorders>
                  <w:tcMar>
                    <w:top w:w="0" w:type="dxa"/>
                    <w:left w:w="105" w:type="dxa"/>
                    <w:bottom w:w="0" w:type="dxa"/>
                    <w:right w:w="105" w:type="dxa"/>
                  </w:tcMar>
                  <w:vAlign w:val="top"/>
                </w:tcPr>
                <w:p>
                  <w:pPr>
                    <w:rPr/>
                  </w:pPr>
                  <w:r>
                    <w:t>检查液氧站调压阀组是否正常工作。</w:t>
                  </w:r>
                </w:p>
              </w:tc>
              <w:tc>
                <w:tcPr>
                  <w:tcW w:w="443" w:type="dxa"/>
                  <w:tcBorders>
                    <w:top w:val="nil"/>
                    <w:left w:val="nil"/>
                    <w:bottom w:val="single" w:color="000000" w:sz="4" w:space="0"/>
                    <w:right w:val="single" w:color="000000" w:sz="4" w:space="0"/>
                  </w:tcBorders>
                  <w:tcMar>
                    <w:top w:w="0" w:type="dxa"/>
                    <w:left w:w="105" w:type="dxa"/>
                    <w:bottom w:w="0" w:type="dxa"/>
                    <w:right w:w="105" w:type="dxa"/>
                  </w:tcMar>
                  <w:vAlign w:val="top"/>
                </w:tcPr>
                <w:p>
                  <w:pPr>
                    <w:rPr/>
                  </w:pPr>
                  <w:r>
                    <w:t>不限次数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34" w:type="dxa"/>
                  <w:vMerge w:val="continue"/>
                  <w:tcBorders>
                    <w:top w:val="nil"/>
                    <w:left w:val="single" w:color="000000" w:sz="4" w:space="0"/>
                    <w:bottom w:val="single" w:color="000000" w:sz="4" w:space="0"/>
                    <w:right w:val="single" w:color="000000" w:sz="4" w:space="0"/>
                  </w:tcBorders>
                </w:tcPr>
                <w:p>
                  <w:pPr>
                    <w:rPr/>
                  </w:pPr>
                </w:p>
              </w:tc>
              <w:tc>
                <w:tcPr>
                  <w:tcW w:w="415" w:type="dxa"/>
                  <w:vMerge w:val="continue"/>
                  <w:tcBorders>
                    <w:top w:val="nil"/>
                    <w:left w:val="nil"/>
                    <w:bottom w:val="single" w:color="000000" w:sz="4" w:space="0"/>
                    <w:right w:val="single" w:color="000000" w:sz="4" w:space="0"/>
                  </w:tcBorders>
                </w:tcPr>
                <w:p>
                  <w:pPr>
                    <w:rPr/>
                  </w:pPr>
                </w:p>
              </w:tc>
              <w:tc>
                <w:tcPr>
                  <w:tcW w:w="1260" w:type="dxa"/>
                  <w:tcBorders>
                    <w:top w:val="nil"/>
                    <w:left w:val="nil"/>
                    <w:bottom w:val="single" w:color="000000" w:sz="4" w:space="0"/>
                    <w:right w:val="single" w:color="000000" w:sz="4" w:space="0"/>
                  </w:tcBorders>
                  <w:tcMar>
                    <w:top w:w="0" w:type="dxa"/>
                    <w:left w:w="105" w:type="dxa"/>
                    <w:bottom w:w="0" w:type="dxa"/>
                    <w:right w:w="105" w:type="dxa"/>
                  </w:tcMar>
                  <w:vAlign w:val="top"/>
                </w:tcPr>
                <w:p>
                  <w:pPr>
                    <w:rPr/>
                  </w:pPr>
                  <w:r>
                    <w:t>空温气化器及管道结冰情况，并及时处理。</w:t>
                  </w:r>
                </w:p>
              </w:tc>
              <w:tc>
                <w:tcPr>
                  <w:tcW w:w="443" w:type="dxa"/>
                  <w:tcBorders>
                    <w:top w:val="nil"/>
                    <w:left w:val="nil"/>
                    <w:bottom w:val="single" w:color="000000" w:sz="4" w:space="0"/>
                    <w:right w:val="single" w:color="000000" w:sz="4" w:space="0"/>
                  </w:tcBorders>
                  <w:tcMar>
                    <w:top w:w="0" w:type="dxa"/>
                    <w:left w:w="105" w:type="dxa"/>
                    <w:bottom w:w="0" w:type="dxa"/>
                    <w:right w:w="105" w:type="dxa"/>
                  </w:tcMar>
                  <w:vAlign w:val="top"/>
                </w:tcPr>
                <w:p>
                  <w:pPr>
                    <w:rPr/>
                  </w:pPr>
                  <w:r>
                    <w:t>不限次数</w:t>
                  </w:r>
                </w:p>
              </w:tc>
            </w:tr>
          </w:tbl>
          <w:p>
            <w:pPr>
              <w:rPr/>
            </w:pPr>
          </w:p>
          <w:p>
            <w:pPr>
              <w:rPr/>
            </w:pPr>
          </w:p>
          <w:p>
            <w:pPr>
              <w:rPr/>
            </w:pPr>
          </w:p>
          <w:p>
            <w:pPr>
              <w:rPr/>
            </w:pPr>
          </w:p>
          <w:p>
            <w:pPr>
              <w:rPr/>
            </w:pPr>
            <w:r>
              <w:t xml:space="preserve"> </w:t>
            </w:r>
          </w:p>
        </w:tc>
      </w:tr>
    </w:tbl>
    <w:p>
      <w:pPr>
        <w:rPr/>
      </w:pPr>
      <w:r>
        <w:t>3.4商务要求</w:t>
      </w:r>
    </w:p>
    <w:p>
      <w:pPr>
        <w:rPr/>
      </w:pPr>
      <w:r>
        <w:t>3.4.1交货时间</w:t>
      </w:r>
    </w:p>
    <w:p>
      <w:pPr>
        <w:rPr/>
      </w:pPr>
    </w:p>
    <w:p>
      <w:pPr>
        <w:rPr/>
      </w:pPr>
    </w:p>
    <w:p>
      <w:pPr>
        <w:rPr/>
      </w:pPr>
    </w:p>
    <w:p>
      <w:pPr>
        <w:rPr/>
      </w:pPr>
      <w:r>
        <w:t>采购包1：</w:t>
      </w:r>
    </w:p>
    <w:p>
      <w:pPr>
        <w:rPr/>
      </w:pPr>
      <w:r>
        <w:t xml:space="preserve"> 自合同签订之日起365日</w:t>
      </w:r>
    </w:p>
    <w:p>
      <w:pPr>
        <w:rPr/>
      </w:pPr>
      <w:r>
        <w:t>3.4.2交货地点</w:t>
      </w:r>
    </w:p>
    <w:p>
      <w:pPr>
        <w:rPr/>
      </w:pPr>
    </w:p>
    <w:p>
      <w:pPr>
        <w:rPr/>
      </w:pPr>
    </w:p>
    <w:p>
      <w:pPr>
        <w:rPr/>
      </w:pPr>
    </w:p>
    <w:p>
      <w:pPr>
        <w:rPr/>
      </w:pPr>
      <w:r>
        <w:t>采购包1：</w:t>
      </w:r>
    </w:p>
    <w:p>
      <w:pPr>
        <w:rPr/>
      </w:pPr>
      <w:r>
        <w:t>成都市第五人民医院</w:t>
      </w:r>
    </w:p>
    <w:p>
      <w:pPr>
        <w:rPr/>
      </w:pPr>
      <w:r>
        <w:t>3.4.3支付方式</w:t>
      </w:r>
    </w:p>
    <w:p>
      <w:pPr>
        <w:rPr/>
      </w:pPr>
    </w:p>
    <w:p>
      <w:pPr>
        <w:rPr/>
      </w:pPr>
    </w:p>
    <w:p>
      <w:pPr>
        <w:rPr/>
      </w:pPr>
    </w:p>
    <w:p>
      <w:pPr>
        <w:rPr/>
      </w:pPr>
      <w:r>
        <w:t>采购包1：</w:t>
      </w:r>
    </w:p>
    <w:p>
      <w:pPr>
        <w:rPr/>
      </w:pPr>
      <w:r>
        <w:t>分期付款</w:t>
      </w:r>
    </w:p>
    <w:p>
      <w:pPr>
        <w:rPr/>
      </w:pPr>
      <w:r>
        <w:t>3.4.4支付约定</w:t>
      </w:r>
    </w:p>
    <w:p>
      <w:pPr>
        <w:rPr/>
      </w:pPr>
    </w:p>
    <w:p>
      <w:pPr>
        <w:rPr/>
      </w:pPr>
    </w:p>
    <w:p>
      <w:pPr>
        <w:rPr/>
      </w:pPr>
    </w:p>
    <w:p>
      <w:pPr>
        <w:rPr/>
      </w:pPr>
      <w:r>
        <w:t>采购包1： 付款条件说明： 供应商当月配送完成后，提供全额发票及相关凭证资料送交采购人 ，达到付款条件起 14 日内，支付合同总金额的 8.30%。</w:t>
      </w:r>
    </w:p>
    <w:p>
      <w:pPr>
        <w:rPr/>
      </w:pPr>
      <w:r>
        <w:t>采购包1： 付款条件说明： 供应商当月配送完成后，提供全额发票及相关凭证资料送交采购人 ，达到付款条件起 14 日内，支付合同总金额的 8.30%。</w:t>
      </w:r>
    </w:p>
    <w:p>
      <w:pPr>
        <w:rPr/>
      </w:pPr>
      <w:r>
        <w:t>采购包1： 付款条件说明： 供应商当月配送完成后，提供全额发票及相关凭证资料送交采购人 ，达到付款条件起 14 日内，支付合同总金额的 8.30%。</w:t>
      </w:r>
    </w:p>
    <w:p>
      <w:pPr>
        <w:rPr/>
      </w:pPr>
      <w:r>
        <w:t>采购包1： 付款条件说明： 供应商当月配送完成后，提供全额发票及相关凭证资料送交采购人 ，达到付款条件起 14 日内，支付合同总金额的 8.30%。</w:t>
      </w:r>
    </w:p>
    <w:p>
      <w:pPr>
        <w:rPr/>
      </w:pPr>
      <w:r>
        <w:t>采购包1： 付款条件说明： 供应商当月配送完成后，提供全额发票及相关凭证资料送交采购人 ，达到付款条件起 14 日内，支付合同总金额的 8.30%。</w:t>
      </w:r>
    </w:p>
    <w:p>
      <w:pPr>
        <w:rPr/>
      </w:pPr>
      <w:r>
        <w:t>采购包1： 付款条件说明： 供应商当月配送完成后，提供全额发票及相关凭证资料送交采购人 ，达到付款条件起 14 日内，支付合同总金额的 8.30%。</w:t>
      </w:r>
    </w:p>
    <w:p>
      <w:pPr>
        <w:rPr/>
      </w:pPr>
      <w:r>
        <w:t>采购包1： 付款条件说明： 供应商当月配送完成后，提供全额发票及相关凭证资料送交采购人 ，达到付款条件起 14 日内，支付合同总金额的 8.30%。</w:t>
      </w:r>
    </w:p>
    <w:p>
      <w:pPr>
        <w:rPr/>
      </w:pPr>
      <w:r>
        <w:t>采购包1： 付款条件说明： 供应商当月配送完成后，提供全额发票及相关凭证资料送交采购人 ，达到付款条件起 14 日内，支付合同总金额的 8.30%。</w:t>
      </w:r>
    </w:p>
    <w:p>
      <w:pPr>
        <w:rPr/>
      </w:pPr>
      <w:r>
        <w:t>采购包1： 付款条件说明： 供应商当月配送完成后，提供全额发票及相关凭证资料送交采购人 ，达到付款条件起 14 日内，支付合同总金额的 8.30%。</w:t>
      </w:r>
    </w:p>
    <w:p>
      <w:pPr>
        <w:rPr/>
      </w:pPr>
      <w:r>
        <w:t>采购包1： 付款条件说明： 供应商当月配送完成后，提供全额发票及相关凭证资料送交采购人 ，达到付款条件起 14 日内，支付合同总金额的 8.30%。</w:t>
      </w:r>
    </w:p>
    <w:p>
      <w:pPr>
        <w:rPr/>
      </w:pPr>
      <w:r>
        <w:t>采购包1： 付款条件说明： 供应商当月配送完成后，提供全额发票及相关凭证资料送交采购人 ，达到付款条件起 14 日内，支付合同总金额的 8.30%。</w:t>
      </w:r>
    </w:p>
    <w:p>
      <w:pPr>
        <w:rPr/>
      </w:pPr>
      <w:r>
        <w:t>采购包1： 付款条件说明： 供应商当月配送完成后，提供全额发票及相关凭证资料送交采购人 ，达到付款条件起 14 日内，支付合同总金额的 8.70%。</w:t>
      </w:r>
    </w:p>
    <w:p>
      <w:pPr>
        <w:rPr/>
      </w:pPr>
      <w:r>
        <w:t>3.4.5验收标准和方法</w:t>
      </w:r>
    </w:p>
    <w:p>
      <w:pPr>
        <w:rPr/>
      </w:pPr>
    </w:p>
    <w:p>
      <w:pPr>
        <w:rPr/>
      </w:pPr>
    </w:p>
    <w:p>
      <w:pPr>
        <w:rPr/>
      </w:pPr>
    </w:p>
    <w:p>
      <w:pPr>
        <w:rPr/>
      </w:pPr>
      <w:r>
        <w:t>采购包1：</w:t>
      </w:r>
    </w:p>
    <w:p>
      <w:pPr>
        <w:rPr/>
      </w:pPr>
      <w:r>
        <w:t>1、验收主体：都市第五人民医院。 2、 邀请验收对象：其他采购人相关科室工作人员 3、履约验收时间：2025年6月 4、验收方式：单位内部验收 5、验收程序：分期验收 6、验收内容及标准： 1.技术履约内容及标准：按照本项目的“技术、服务要求”及投标人的响应情况执行。 2.商务履约内容及标准：按照本项目的“商务要求”及投标人的响应情况执行。 7、其他事项：无</w:t>
      </w:r>
    </w:p>
    <w:p>
      <w:pPr>
        <w:rPr/>
      </w:pPr>
      <w:r>
        <w:t>3.4.6包装方式及运输</w:t>
      </w:r>
    </w:p>
    <w:p>
      <w:pPr>
        <w:rPr/>
      </w:pPr>
    </w:p>
    <w:p>
      <w:pPr>
        <w:rPr/>
      </w:pPr>
    </w:p>
    <w:p>
      <w:pPr>
        <w:rPr/>
      </w:pPr>
    </w:p>
    <w:p>
      <w:pPr>
        <w:rPr/>
      </w:pPr>
      <w:r>
        <w:t>采购包1：</w:t>
      </w:r>
    </w:p>
    <w:p>
      <w:pPr>
        <w:rPr/>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rPr/>
      </w:pPr>
      <w:r>
        <w:t>3.4.7质量保修范围和保修期</w:t>
      </w:r>
    </w:p>
    <w:p>
      <w:pPr>
        <w:rPr/>
      </w:pPr>
    </w:p>
    <w:p>
      <w:pPr>
        <w:rPr/>
      </w:pPr>
    </w:p>
    <w:p>
      <w:pPr>
        <w:rPr/>
      </w:pPr>
    </w:p>
    <w:p>
      <w:pPr>
        <w:rPr/>
      </w:pPr>
      <w:r>
        <w:t>采购包1：</w:t>
      </w:r>
    </w:p>
    <w:p>
      <w:pPr>
        <w:rPr/>
      </w:pPr>
      <w:r>
        <w:t>质量保证期：提供的每批次气体质保期为12个月。供应商对所供产品出现问题均应在2小时内响应，如需现场服务，供应商应在24小时内到达现场排除故障，保证正常使用。</w:t>
      </w:r>
    </w:p>
    <w:p>
      <w:pPr>
        <w:rPr/>
      </w:pPr>
      <w:r>
        <w:t>3.4.8违约责任与解决争议的方法</w:t>
      </w:r>
    </w:p>
    <w:p>
      <w:pPr>
        <w:rPr/>
      </w:pPr>
    </w:p>
    <w:p>
      <w:pPr>
        <w:rPr/>
      </w:pPr>
    </w:p>
    <w:p>
      <w:pPr>
        <w:rPr/>
      </w:pPr>
    </w:p>
    <w:p>
      <w:pPr>
        <w:rPr/>
      </w:pPr>
      <w:r>
        <w:t>采购包1：</w:t>
      </w:r>
    </w:p>
    <w:p>
      <w:pPr>
        <w:rPr/>
      </w:pPr>
      <w:r>
        <w:t>1.采供双方一方违约，不执行、不遵守合同约定条款，且在守约方发出书面或者电话通知后的15天内仍未采取弥补措施的，守约方有权单方面解除合同，并要求违约方承担合同价款20%的违约金，如违约金金额低于实际损失的，违约方必须另外予以补偿。解除合同的通知（或信息）到达合同约定地址或联系电话时发生效力。 2.合同期内如供应商不能履行合同条款，包括供应商提供的产品不符合合同约定质量标准及供应商未在约定时间内送货而停气，由此造成的损失及责任由供应商承担。</w:t>
      </w:r>
    </w:p>
    <w:p>
      <w:pPr>
        <w:rPr/>
      </w:pPr>
      <w:r>
        <w:t>3.5其他要求</w:t>
      </w:r>
    </w:p>
    <w:p>
      <w:pPr>
        <w:rPr/>
      </w:pPr>
    </w:p>
    <w:p>
      <w:pPr>
        <w:rPr/>
      </w:pPr>
    </w:p>
    <w:p>
      <w:pPr>
        <w:rPr/>
      </w:pPr>
      <w:r>
        <w:t>（注：因系统固化原因，“3.4商务要求”无法准确描述，如有描述不一致的，以“3.5其他要求”内容为准。） ★一、商务要求： （一）合同期限 1.合同期限：合同签订生效后一年或者据实结算金额累计达到预算总金额，满足其中一项情形，合同自动终止。 （二）付款方法和条件 1.按实际送货量×中标单价金额，据实结算。供应商当月配送完成后，提供全额发票及相关凭证资料送交采购人，采购人收到发票及凭证资料后10个工作日内支付。 （三）质量和售后服务 1.供应商保证所供产品为合格产品，并完全符合行业规定的质量、技术标准、及性能要求。 2.质量保证期：提供的每批次气体质保期为12个月。供应商对所供产品出现问题均应在2小时内响应，如需现场服务，供应商应在24小时内到达现场排除故障，保证正常使用。 3.供应商需指定专人作为服务联系人。 4.人员培训：投标人委派专业技术人员到采购人指定的地点对采购人的相关人员进行使用操作、使用安全注意事项等进行现场培训，要求使采购人的操作人员能熟练进行产品使用操作流程，工程技术人员能熟练独立工作，同时能完成一般常见故障的维修工作。 （四）产品计量与验收 1.产品计量：以双方签字的产品交付记录为基本依据，液氧计量按体积单位立方米计，供应商配送和回收气瓶时双方须当面点清数量并签字。 2.产品验收：供应商供应给采购人的气体产品品质严格按合同所定义标准，供应商对每批次产品出具对应的合格证，检查是否泄漏，采购人收到瓶装气时应当场对气瓶进行检查，验收确认后收货。采购人有权拒收并退回外观损伤、附件不全等可能存在安全隐患的气瓶，并要求供应商及时更换。 （五）交货日期和地点 1.供应商满足全年365天响应，采购人提前1日通知供应商供货，供应商自接到采购人通知并确定后及时将气体送到采购人指定地点，双方签字确认的送货单为收货凭证；交货地址：成都市第五人民医院（东区和西区，采购人指定送货地址），收货人：采购人指定人员，交货时间：24小时内。 2.紧急配送：采购人如有特殊情况需要紧急供货，供应商需在4小时内送货到现场，提供液氧应急供应设施，并且派人员协助采购人保障气体供应直至特殊情况解除。 （六）气瓶安全与管理 1.按照监管部门要求，供应商盛装气体的气瓶符合（TSG 23-2021）《气瓶安全技术监察规程》，双方均不接收不符合规范的气瓶作为周转使用或充装气体。 （七）安全责任 1.供应商按照合同约定及相关法规为采购人提供气体产品，采购人为供应商气体产品运输和装卸提供安全便利的通道，气体产品及钢瓶交付前安全责任由供应商承担，交付后安全责任由采购人承担，采购人按照国家相关规定及产品的安全技术说明书操作、搬运、使用、储存。 2.供应商按照相关法规为采购人提供合格气瓶盛装的气体产品，供应商工作人员在采购人现场送货时须遵守采购人相关安全和管理规定，如有违章作业和野蛮装卸，采购人可以向供应商管理人员进行投诉和要求整改，严重时可以向有关部门进行投诉。 （八）违约责任 1.采供双方一方违约，不执行、不遵守合同约定条款，且在守约方发出书面或者电话通知后的15天内仍未采取弥补措施的，守约方有权单方面解除合同，并要求违约方承担合同价款20%的违约金，如违约金金额低于实际损失的，违约方必须另外予以补偿。解除合同的通知（或信息）到达合同约定地址或联系电话时发生效力。 2.合同期内如供应商不能履行合同条款，包括供应商提供的产品不符合合同约定质量标准及供应商未在约定时间内送货而停气，由此造成的损失及责任由供应商承担。二、说明（本说明无需供应商进行响应，不纳入评分表中“商务要求”评分）：针对招标文件第二章2.4.9中“投标人应按照客户端操作要求，对应招标文件的每项实质性要求，逐一如实响应”，除招标文件中的明确要求进行单独响应或承诺的实质性要求外，对于其他实质性要求，供应商在《投标（响应）函》中以“我单位完全接受和理解本项目采购文件规定的实质性要求”进行承诺即视为逐一如实响应。三、其他要求 ：除商务和技术、服务要求外，投标人还应当为落实本项目提供相应的配送服务方案、应急处置方案、售后服务及培训方案。具体要求详见综合评分明细表。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quot;times new roman&quot;">
    <w:altName w:val="Segoe Print"/>
    <w:panose1 w:val="00000000000000000000"/>
    <w:charset w:val="00"/>
    <w:family w:val="auto"/>
    <w:pitch w:val="default"/>
    <w:sig w:usb0="00000000" w:usb1="00000000" w:usb2="00000000" w:usb3="00000000" w:csb0="00000000" w:csb1="00000000"/>
  </w:font>
  <w:font w:name="方正仿宋">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times new roman, times, 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zNDliZTA2MGZkZDYyZjY0ZDY1NzZhNTE3YjM4MGUifQ=="/>
  </w:docVars>
  <w:rsids>
    <w:rsidRoot w:val="70BA1D99"/>
    <w:rsid w:val="541F6411"/>
    <w:rsid w:val="70BA1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uiPriority w:val="0"/>
    <w:tblPr>
      <w:tblCellMar>
        <w:top w:w="0" w:type="dxa"/>
        <w:left w:w="108" w:type="dxa"/>
        <w:bottom w:w="0" w:type="dxa"/>
        <w:right w:w="108" w:type="dxa"/>
      </w:tblCellMar>
    </w:tblPr>
  </w:style>
  <w:style w:type="paragraph" w:customStyle="1" w:styleId="4">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2024-03-28T08:40:00Z</dcterms:created>
  <dc:creator>AB</dc:creator>
  <cp:lastModifiedBy>AB</cp:lastModifiedBy>
  <dcterms:modified xsi:type="dcterms:W3CDTF">2024-03-28T08:42:50Z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0F7D5AAD9FC7466E9E83C45BA32D0B1B_13</vt:lpwstr>
  </property>
</Properties>
</file>