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hint="eastAsia" w:ascii="Calibri" w:hAnsi="Calibri" w:eastAsia="宋体" w:cs="Times New Roman"/>
          <w:lang w:val="en-US" w:eastAsia="zh-Hans"/>
        </w:rPr>
      </w:pPr>
      <w:r>
        <w:rPr>
          <w:rFonts w:hint="eastAsia" w:ascii="Calibri" w:hAnsi="Calibri" w:eastAsia="宋体" w:cs="Times New Roman"/>
          <w:b/>
          <w:sz w:val="36"/>
          <w:lang w:val="en-US" w:eastAsia="zh-Hans"/>
        </w:rPr>
        <w:t>招标项目技术、服务、商务及其他要求</w:t>
      </w:r>
    </w:p>
    <w:p>
      <w:pPr>
        <w:ind w:firstLine="480"/>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ind w:firstLine="480"/>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（注：当采购包的评标方法为最低评标价法时带“★”的参数需求为实质性要求，供应商必须响应并满足的参数需求，采购人、采购代理机构应当根据项目实际需求合理设定，并明确具体要求。）</w:t>
      </w:r>
    </w:p>
    <w:p>
      <w:pPr>
        <w:outlineLvl w:val="2"/>
        <w:rPr>
          <w:rFonts w:hint="eastAsia" w:ascii="Calibri" w:hAnsi="Calibri" w:eastAsia="宋体" w:cs="Times New Roman"/>
          <w:lang w:val="en-US" w:eastAsia="zh-Hans"/>
        </w:rPr>
      </w:pPr>
      <w:r>
        <w:rPr>
          <w:rFonts w:hint="eastAsia" w:ascii="Calibri" w:hAnsi="Calibri" w:eastAsia="宋体" w:cs="Times New Roman"/>
          <w:b/>
          <w:sz w:val="28"/>
          <w:lang w:val="en-US" w:eastAsia="zh-Hans"/>
        </w:rPr>
        <w:t>3.1采购项目概况</w:t>
      </w:r>
    </w:p>
    <w:p>
      <w:pPr>
        <w:ind w:firstLine="480"/>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成都金沙遗址博物馆，国家一级博物馆，位于四川省成都市青羊区金沙遗址路2号，项目用地面积456亩，建筑面积约45000平米；本次招标内容为博物馆测绘服务，需对博物馆进行综合测绘，完善博物馆基础资料的汇总和归档。测绘内容包含基础资料测绘、25个考古发掘点位的考古测绘、实景三维点云模型测量。</w:t>
      </w:r>
    </w:p>
    <w:p>
      <w:pPr>
        <w:outlineLvl w:val="2"/>
        <w:rPr>
          <w:rFonts w:hint="eastAsia" w:ascii="Calibri" w:hAnsi="Calibri" w:eastAsia="宋体" w:cs="Times New Roman"/>
          <w:lang w:val="en-US" w:eastAsia="zh-Hans"/>
        </w:rPr>
      </w:pPr>
      <w:r>
        <w:rPr>
          <w:rFonts w:hint="eastAsia" w:ascii="Calibri" w:hAnsi="Calibri" w:eastAsia="宋体" w:cs="Times New Roman"/>
          <w:b/>
          <w:sz w:val="28"/>
          <w:lang w:val="en-US" w:eastAsia="zh-Hans"/>
        </w:rPr>
        <w:t>3.2服务内容及服务要求</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3.2.1服务内容</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采购包预算金额（元）: 3,000,000.00</w:t>
      </w: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采购包最高限价（元）: 3,000,000.00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序号</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数量</w:t>
            </w:r>
          </w:p>
        </w:tc>
        <w:tc>
          <w:tcPr>
            <w:tcW w:w="1356"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标的金额 （元）</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计量单位</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所属行业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是否涉及核心产品</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是否涉及采购进口产品</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是否涉及采购节能产品</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综合提升改造项目测绘服务</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3,000,000.00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项</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其他未列明行业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bl>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3.2.2服务要求</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标的名称：综合提升改造项目测绘服务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300"/>
        <w:gridCol w:w="2301"/>
        <w:gridCol w:w="39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（一）测绘技术要求</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1、法律依据：</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（1）《中华人民共和国测绘法》；</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（2）《中华人民共和国民法典》；</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2、技术依据：</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（1）《土地利用现状分类》（GB/T21010-2017）；</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（2）《地籍调查规程》（TD/T1001-2012）；</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（3）《中华人民共和国行政区划代码》（GB/T 2260-2007）；</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（4）《全球定位系统（GPS）测量规范》（GB/T 18314-2009）；</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（5）《城市测量规范》（CJJ/T8-2011）；</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（6）《土地勘测定界规程》（TD/T 1008-2007）；</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（7）《工程测量标准》（GB 50026-2020）；</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（8）《全球定位系统实时动态测量（RTK）技术规范》（CH-T 2009-2010）；</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（9）《卫星定位城市测量技术标准》（CJJ/T73-2019）；</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（10）《国家基本比例尺地图图式第 1 部分:1:500 1:1000 1:2 000 地形图图式》（GB/T 20257.1-2017）；</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（11）《数字测绘成果质量检查与验收》（GB/T 18316-2008）；</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（12）《测绘成果质量检查与验收》（GB/T 24356-2009）；</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（13）《四川省勘测定界技术要则》；</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（14）《四川省测绘管理条例》；</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（15）《成都市不动产权籍调查实施细则》；</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（16）《成都市不动产登记数据库标准（试行）》；</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（17）《土地权属争议调查处理办法》（2003 年国土资源部第 17 号令）；</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注：若国家发布有最新技术规范或标准的，按最新的技术规范或标准执行。</w:t>
            </w:r>
          </w:p>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（二）测绘服务内容</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1、馆区基础资料测绘：1：500地形图测绘、馆区区范围内地下管线（包括给水、排水、电力、通信、燃气等）探测、馆区现状建筑平面图立面图；</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2、1：500地形图测绘、1：500地籍图测绘、验测建筑平面位置、验测建筑高程高度等；</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3、考古图纸数字化、实景三维点云模型。</w:t>
            </w:r>
          </w:p>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（三）测绘服务要求</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1、本次测绘要求对博物馆现状地形、建筑、景观、地下管网进行测绘，并进行PDF图纸比对，完成现状测绘报告。</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2、供应商必须严格按照技术要求和相关法律法规要求独立、客观、公正地进行测绘，并对测绘结果承担法律责任；</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3、在获取测绘宗地所需相关材料后依法定测绘程序20个工作日内，完成测绘成果报告；</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4、测绘时应由专业人员到现场进行实地踏勘、拍摄照片、留取测绘证据、存档备查。</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5、供应商在执业过程中应遵守职业道德，在工作中应注意保密原则，不得对外披露、泄露被测绘宗地的任何信息。（提供承诺函）</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6、测绘成果单独成册，报告一式两份，并提交全部成果电子版刻盘文件，满足馆区存档需要和便于管理及后期使用。</w:t>
            </w:r>
          </w:p>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（四）考古图纸数字化</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1、法律依据：</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（1）《中华人民共和国文物保护法》；</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（2）《中华人民共和国文物保护法实施条例》；</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（3）《中华人民共和国测绘法》；</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（4）《四川省&lt;中华人民共和国文物保护法&gt;实施办法》（2018年修订）；</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（5）《成都市文物保护管理条例》（2020年修订）；</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（6）《成都市人民政府办公厅关于进一步加强文物安全工作的实施意见》（成办发〔2019〕13号）。</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2、技术依据：</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（1）《田野考古制图》WW/T0035-2012</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（2）《田野考古工作规程》（2009年）</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（3）《考古调查、勘探、发掘经费预算定额管理办法》（1990年 国家文物局[90]文物字第248号]）</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（4）《考古发掘管理办法》（国家文物局 1998年第2号令）</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（5）《全球定位系统（GPS）测量规范》（GB/T 18314-2009）；</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（6）《城市测量规范》（CJJ/T8-2011）；</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（7）《工程测量标准》（GB 50026-2020）；</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（8）《全球定位系统实时动态测量（RTK）技术规范》（CH-T 2009-2010）；</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（9）《卫星定位城市测量技术标准》（CJJ/T73-2019）；</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（10）《数字测绘成果质量检查与验收》（GB/T 18316-2008）；</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（11）《测绘成果质量检查与验收》（GB/T 24356-2009）；</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注：若国家发布有最新技术规范或标准的，按最新的技术规范或标准执行。</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（五）考古图纸数字化服务内容：</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考古图纸数字化：金沙遗址范围内25个考古发掘点位的考古图纸数字化，具体包括：</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1.定位各考古发掘点位的地理坐标；</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2.各考古发掘点位的平面图及重要遗迹剖面的数字化。</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3.各考古发掘点位的图纸坐标系与国家坐标系统一；</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4.考古调查和勘探（如涉及）</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（六）考古图纸数字化服务要求：</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1.金沙遗址范围内25个考古发掘点位根据采购人实际需求确定，供应商应无条件配合。</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2.定位各考古发掘点位的地理坐标，根据以往考古资料定位出金沙遗址范围各发掘点位，并测量其地理坐标。</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3.各考古发掘点位的平面图及重要遗迹剖面的数字化，需对墓葬、窑、房址、灰坑等考古遗迹进行分类分层绘制。</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4.各考古发掘点位的图纸坐标系与国家坐标系统一，将以往纸质图纸配准到国家坐标系下。（以往图纸部分尚未确定坐标系，全部由中标供应商根据考古资料及现场定位进行配准）</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5.根据采购人实际需求，会对金沙遗址范围进行考古调查及勘探，对勘探出的遗迹要详细测量和准确记录，采用数字化技术及时记录、存储和处理所获数据。（如涉及相关报批手续，中标供应商必须无条件配合，且负责相关资料编制）</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（七）预估工作量：</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本项目预估工作量如下表：</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30"/>
              <w:gridCol w:w="450"/>
              <w:gridCol w:w="650"/>
              <w:gridCol w:w="650"/>
              <w:gridCol w:w="650"/>
              <w:gridCol w:w="8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序号</w:t>
                  </w:r>
                </w:p>
              </w:tc>
              <w:tc>
                <w:tcPr>
                  <w:tcW w:w="3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测绘类型</w:t>
                  </w:r>
                </w:p>
              </w:tc>
              <w:tc>
                <w:tcPr>
                  <w:tcW w:w="65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类别</w:t>
                  </w:r>
                </w:p>
              </w:tc>
              <w:tc>
                <w:tcPr>
                  <w:tcW w:w="55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计费项目</w:t>
                  </w:r>
                </w:p>
              </w:tc>
              <w:tc>
                <w:tcPr>
                  <w:tcW w:w="35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计量单位</w:t>
                  </w:r>
                </w:p>
              </w:tc>
              <w:tc>
                <w:tcPr>
                  <w:tcW w:w="30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预估工程量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1</w:t>
                  </w:r>
                </w:p>
              </w:tc>
              <w:tc>
                <w:tcPr>
                  <w:tcW w:w="346"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馆区基础数据测量</w:t>
                  </w:r>
                </w:p>
              </w:tc>
              <w:tc>
                <w:tcPr>
                  <w:tcW w:w="659"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地形数据采集</w:t>
                  </w:r>
                </w:p>
              </w:tc>
              <w:tc>
                <w:tcPr>
                  <w:tcW w:w="555"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1：500地形图</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幅</w:t>
                  </w:r>
                </w:p>
              </w:tc>
              <w:tc>
                <w:tcPr>
                  <w:tcW w:w="301"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2</w:t>
                  </w:r>
                </w:p>
              </w:tc>
              <w:tc>
                <w:tcPr>
                  <w:tcW w:w="346" w:type="dxa"/>
                  <w:vMerge w:val="continue"/>
                  <w:tcBorders>
                    <w:top w:val="nil"/>
                    <w:left w:val="nil"/>
                    <w:bottom w:val="single" w:color="000000" w:sz="4" w:space="0"/>
                    <w:right w:val="single" w:color="000000" w:sz="4" w:space="0"/>
                  </w:tcBorders>
                </w:tcPr>
                <w:p>
                  <w:pPr>
                    <w:rPr>
                      <w:rFonts w:ascii="Calibri" w:hAnsi="Calibri" w:eastAsia="宋体" w:cs="Times New Roman"/>
                    </w:rPr>
                  </w:pPr>
                </w:p>
              </w:tc>
              <w:tc>
                <w:tcPr>
                  <w:tcW w:w="659"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地形数据采集</w:t>
                  </w:r>
                </w:p>
              </w:tc>
              <w:tc>
                <w:tcPr>
                  <w:tcW w:w="555"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1：500数字高程</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幅</w:t>
                  </w:r>
                </w:p>
              </w:tc>
              <w:tc>
                <w:tcPr>
                  <w:tcW w:w="301"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3</w:t>
                  </w:r>
                </w:p>
              </w:tc>
              <w:tc>
                <w:tcPr>
                  <w:tcW w:w="346" w:type="dxa"/>
                  <w:vMerge w:val="continue"/>
                  <w:tcBorders>
                    <w:top w:val="nil"/>
                    <w:left w:val="nil"/>
                    <w:bottom w:val="single" w:color="000000" w:sz="4" w:space="0"/>
                    <w:right w:val="single" w:color="000000" w:sz="4" w:space="0"/>
                  </w:tcBorders>
                </w:tcPr>
                <w:p>
                  <w:pPr>
                    <w:rPr>
                      <w:rFonts w:ascii="Calibri" w:hAnsi="Calibri" w:eastAsia="宋体" w:cs="Times New Roman"/>
                    </w:rPr>
                  </w:pPr>
                </w:p>
              </w:tc>
              <w:tc>
                <w:tcPr>
                  <w:tcW w:w="659"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细部点测量</w:t>
                  </w:r>
                </w:p>
              </w:tc>
              <w:tc>
                <w:tcPr>
                  <w:tcW w:w="555"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树径20公分以上大树点位</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点、棵</w:t>
                  </w:r>
                </w:p>
              </w:tc>
              <w:tc>
                <w:tcPr>
                  <w:tcW w:w="301"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2500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4</w:t>
                  </w:r>
                </w:p>
              </w:tc>
              <w:tc>
                <w:tcPr>
                  <w:tcW w:w="346" w:type="dxa"/>
                  <w:vMerge w:val="continue"/>
                  <w:tcBorders>
                    <w:top w:val="nil"/>
                    <w:left w:val="nil"/>
                    <w:bottom w:val="single" w:color="000000" w:sz="4" w:space="0"/>
                    <w:right w:val="single" w:color="000000" w:sz="4" w:space="0"/>
                  </w:tcBorders>
                </w:tcPr>
                <w:p>
                  <w:pPr>
                    <w:rPr>
                      <w:rFonts w:ascii="Calibri" w:hAnsi="Calibri" w:eastAsia="宋体" w:cs="Times New Roman"/>
                    </w:rPr>
                  </w:pPr>
                </w:p>
              </w:tc>
              <w:tc>
                <w:tcPr>
                  <w:tcW w:w="659"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地下管线探测</w:t>
                  </w:r>
                </w:p>
              </w:tc>
              <w:tc>
                <w:tcPr>
                  <w:tcW w:w="555"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盲探管线（金属管）</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平方米</w:t>
                  </w:r>
                </w:p>
              </w:tc>
              <w:tc>
                <w:tcPr>
                  <w:tcW w:w="301"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260000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5</w:t>
                  </w:r>
                </w:p>
              </w:tc>
              <w:tc>
                <w:tcPr>
                  <w:tcW w:w="346" w:type="dxa"/>
                  <w:vMerge w:val="continue"/>
                  <w:tcBorders>
                    <w:top w:val="nil"/>
                    <w:left w:val="nil"/>
                    <w:bottom w:val="single" w:color="000000" w:sz="4" w:space="0"/>
                    <w:right w:val="single" w:color="000000" w:sz="4" w:space="0"/>
                  </w:tcBorders>
                </w:tcPr>
                <w:p>
                  <w:pPr>
                    <w:rPr>
                      <w:rFonts w:ascii="Calibri" w:hAnsi="Calibri" w:eastAsia="宋体" w:cs="Times New Roman"/>
                    </w:rPr>
                  </w:pPr>
                </w:p>
              </w:tc>
              <w:tc>
                <w:tcPr>
                  <w:tcW w:w="659"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管线测量</w:t>
                  </w:r>
                </w:p>
              </w:tc>
              <w:tc>
                <w:tcPr>
                  <w:tcW w:w="555"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管线测量（其他）</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千米</w:t>
                  </w:r>
                </w:p>
              </w:tc>
              <w:tc>
                <w:tcPr>
                  <w:tcW w:w="301"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25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6</w:t>
                  </w:r>
                </w:p>
              </w:tc>
              <w:tc>
                <w:tcPr>
                  <w:tcW w:w="346" w:type="dxa"/>
                  <w:vMerge w:val="continue"/>
                  <w:tcBorders>
                    <w:top w:val="nil"/>
                    <w:left w:val="nil"/>
                    <w:bottom w:val="single" w:color="000000" w:sz="4" w:space="0"/>
                    <w:right w:val="single" w:color="000000" w:sz="4" w:space="0"/>
                  </w:tcBorders>
                </w:tcPr>
                <w:p>
                  <w:pPr>
                    <w:rPr>
                      <w:rFonts w:ascii="Calibri" w:hAnsi="Calibri" w:eastAsia="宋体" w:cs="Times New Roman"/>
                    </w:rPr>
                  </w:pPr>
                </w:p>
              </w:tc>
              <w:tc>
                <w:tcPr>
                  <w:tcW w:w="659"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工程测图</w:t>
                  </w:r>
                </w:p>
              </w:tc>
              <w:tc>
                <w:tcPr>
                  <w:tcW w:w="555"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房屋平面测量</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平方米</w:t>
                  </w:r>
                </w:p>
              </w:tc>
              <w:tc>
                <w:tcPr>
                  <w:tcW w:w="301"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42000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7</w:t>
                  </w:r>
                </w:p>
              </w:tc>
              <w:tc>
                <w:tcPr>
                  <w:tcW w:w="346" w:type="dxa"/>
                  <w:vMerge w:val="continue"/>
                  <w:tcBorders>
                    <w:top w:val="nil"/>
                    <w:left w:val="nil"/>
                    <w:bottom w:val="single" w:color="000000" w:sz="4" w:space="0"/>
                    <w:right w:val="single" w:color="000000" w:sz="4" w:space="0"/>
                  </w:tcBorders>
                </w:tcPr>
                <w:p>
                  <w:pPr>
                    <w:rPr>
                      <w:rFonts w:ascii="Calibri" w:hAnsi="Calibri" w:eastAsia="宋体" w:cs="Times New Roman"/>
                    </w:rPr>
                  </w:pPr>
                </w:p>
              </w:tc>
              <w:tc>
                <w:tcPr>
                  <w:tcW w:w="659"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工程测图</w:t>
                  </w:r>
                </w:p>
              </w:tc>
              <w:tc>
                <w:tcPr>
                  <w:tcW w:w="555"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房屋立面测量</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平方米</w:t>
                  </w:r>
                </w:p>
              </w:tc>
              <w:tc>
                <w:tcPr>
                  <w:tcW w:w="301"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40000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8</w:t>
                  </w:r>
                </w:p>
              </w:tc>
              <w:tc>
                <w:tcPr>
                  <w:tcW w:w="346" w:type="dxa"/>
                  <w:vMerge w:val="continue"/>
                  <w:tcBorders>
                    <w:top w:val="nil"/>
                    <w:left w:val="nil"/>
                    <w:bottom w:val="single" w:color="000000" w:sz="4" w:space="0"/>
                    <w:right w:val="single" w:color="000000" w:sz="4" w:space="0"/>
                  </w:tcBorders>
                </w:tcPr>
                <w:p>
                  <w:pPr>
                    <w:rPr>
                      <w:rFonts w:ascii="Calibri" w:hAnsi="Calibri" w:eastAsia="宋体" w:cs="Times New Roman"/>
                    </w:rPr>
                  </w:pPr>
                </w:p>
              </w:tc>
              <w:tc>
                <w:tcPr>
                  <w:tcW w:w="659"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界限测绘</w:t>
                  </w:r>
                </w:p>
              </w:tc>
              <w:tc>
                <w:tcPr>
                  <w:tcW w:w="555"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1：500地籍测绘</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幅</w:t>
                  </w:r>
                </w:p>
              </w:tc>
              <w:tc>
                <w:tcPr>
                  <w:tcW w:w="301"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9</w:t>
                  </w:r>
                </w:p>
              </w:tc>
              <w:tc>
                <w:tcPr>
                  <w:tcW w:w="346" w:type="dxa"/>
                  <w:vMerge w:val="continue"/>
                  <w:tcBorders>
                    <w:top w:val="nil"/>
                    <w:left w:val="nil"/>
                    <w:bottom w:val="single" w:color="000000" w:sz="4" w:space="0"/>
                    <w:right w:val="single" w:color="000000" w:sz="4" w:space="0"/>
                  </w:tcBorders>
                </w:tcPr>
                <w:p>
                  <w:pPr>
                    <w:rPr>
                      <w:rFonts w:ascii="Calibri" w:hAnsi="Calibri" w:eastAsia="宋体" w:cs="Times New Roman"/>
                    </w:rPr>
                  </w:pPr>
                </w:p>
              </w:tc>
              <w:tc>
                <w:tcPr>
                  <w:tcW w:w="659"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工程测图</w:t>
                  </w:r>
                </w:p>
              </w:tc>
              <w:tc>
                <w:tcPr>
                  <w:tcW w:w="555"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验测建筑高程高度</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高度点</w:t>
                  </w:r>
                </w:p>
              </w:tc>
              <w:tc>
                <w:tcPr>
                  <w:tcW w:w="301"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25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10</w:t>
                  </w:r>
                </w:p>
              </w:tc>
              <w:tc>
                <w:tcPr>
                  <w:tcW w:w="346" w:type="dxa"/>
                  <w:vMerge w:val="continue"/>
                  <w:tcBorders>
                    <w:top w:val="nil"/>
                    <w:left w:val="nil"/>
                    <w:bottom w:val="single" w:color="000000" w:sz="4" w:space="0"/>
                    <w:right w:val="single" w:color="000000" w:sz="4" w:space="0"/>
                  </w:tcBorders>
                </w:tcPr>
                <w:p>
                  <w:pPr>
                    <w:rPr>
                      <w:rFonts w:ascii="Calibri" w:hAnsi="Calibri" w:eastAsia="宋体" w:cs="Times New Roman"/>
                    </w:rPr>
                  </w:pPr>
                </w:p>
              </w:tc>
              <w:tc>
                <w:tcPr>
                  <w:tcW w:w="659"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工程测图</w:t>
                  </w:r>
                </w:p>
              </w:tc>
              <w:tc>
                <w:tcPr>
                  <w:tcW w:w="555"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验测平面位置</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边</w:t>
                  </w:r>
                </w:p>
              </w:tc>
              <w:tc>
                <w:tcPr>
                  <w:tcW w:w="301"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11</w:t>
                  </w:r>
                </w:p>
              </w:tc>
              <w:tc>
                <w:tcPr>
                  <w:tcW w:w="346" w:type="dxa"/>
                  <w:vMerge w:val="continue"/>
                  <w:tcBorders>
                    <w:top w:val="nil"/>
                    <w:left w:val="nil"/>
                    <w:bottom w:val="single" w:color="000000" w:sz="4" w:space="0"/>
                    <w:right w:val="single" w:color="000000" w:sz="4" w:space="0"/>
                  </w:tcBorders>
                </w:tcPr>
                <w:p>
                  <w:pPr>
                    <w:rPr>
                      <w:rFonts w:ascii="Calibri" w:hAnsi="Calibri" w:eastAsia="宋体" w:cs="Times New Roman"/>
                    </w:rPr>
                  </w:pPr>
                </w:p>
              </w:tc>
              <w:tc>
                <w:tcPr>
                  <w:tcW w:w="659"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房屋建筑面积测绘</w:t>
                  </w:r>
                </w:p>
              </w:tc>
              <w:tc>
                <w:tcPr>
                  <w:tcW w:w="555"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产权面积</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平方米</w:t>
                  </w:r>
                </w:p>
              </w:tc>
              <w:tc>
                <w:tcPr>
                  <w:tcW w:w="301"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42000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12</w:t>
                  </w:r>
                </w:p>
              </w:tc>
              <w:tc>
                <w:tcPr>
                  <w:tcW w:w="346" w:type="dxa"/>
                  <w:vMerge w:val="continue"/>
                  <w:tcBorders>
                    <w:top w:val="nil"/>
                    <w:left w:val="nil"/>
                    <w:bottom w:val="single" w:color="000000" w:sz="4" w:space="0"/>
                    <w:right w:val="single" w:color="000000" w:sz="4" w:space="0"/>
                  </w:tcBorders>
                </w:tcPr>
                <w:p>
                  <w:pPr>
                    <w:rPr>
                      <w:rFonts w:ascii="Calibri" w:hAnsi="Calibri" w:eastAsia="宋体" w:cs="Times New Roman"/>
                    </w:rPr>
                  </w:pPr>
                </w:p>
              </w:tc>
              <w:tc>
                <w:tcPr>
                  <w:tcW w:w="659"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房屋建筑面积测绘</w:t>
                  </w:r>
                </w:p>
              </w:tc>
              <w:tc>
                <w:tcPr>
                  <w:tcW w:w="555"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规划面积</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平方米</w:t>
                  </w:r>
                </w:p>
              </w:tc>
              <w:tc>
                <w:tcPr>
                  <w:tcW w:w="301"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40000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13</w:t>
                  </w:r>
                </w:p>
              </w:tc>
              <w:tc>
                <w:tcPr>
                  <w:tcW w:w="346"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仿宋" w:hAnsi="仿宋" w:eastAsia="仿宋" w:cs="仿宋"/>
                      <w:sz w:val="24"/>
                      <w:lang w:val="en-US" w:eastAsia="zh-Hans"/>
                    </w:rPr>
                    <w:t>考古图纸数字化</w:t>
                  </w:r>
                </w:p>
              </w:tc>
              <w:tc>
                <w:tcPr>
                  <w:tcW w:w="659"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通过梳理往年考古资料定位各考古发掘点位的地理坐标</w:t>
                  </w:r>
                </w:p>
              </w:tc>
              <w:tc>
                <w:tcPr>
                  <w:tcW w:w="555"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坐标定位</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楷体" w:hAnsi="楷体" w:eastAsia="楷体" w:cs="楷体"/>
                      <w:sz w:val="24"/>
                      <w:lang w:val="en-US" w:eastAsia="zh-Hans"/>
                    </w:rPr>
                    <w:t>个</w:t>
                  </w:r>
                </w:p>
              </w:tc>
              <w:tc>
                <w:tcPr>
                  <w:tcW w:w="301"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25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14</w:t>
                  </w:r>
                </w:p>
              </w:tc>
              <w:tc>
                <w:tcPr>
                  <w:tcW w:w="346" w:type="dxa"/>
                  <w:vMerge w:val="continue"/>
                  <w:tcBorders>
                    <w:top w:val="nil"/>
                    <w:left w:val="nil"/>
                    <w:bottom w:val="single" w:color="000000" w:sz="4" w:space="0"/>
                    <w:right w:val="single" w:color="000000" w:sz="4" w:space="0"/>
                  </w:tcBorders>
                </w:tcPr>
                <w:p>
                  <w:pPr>
                    <w:rPr>
                      <w:rFonts w:ascii="Calibri" w:hAnsi="Calibri" w:eastAsia="宋体" w:cs="Times New Roman"/>
                    </w:rPr>
                  </w:pPr>
                </w:p>
              </w:tc>
              <w:tc>
                <w:tcPr>
                  <w:tcW w:w="659"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各考古发掘点位的平面图（墓葬、窑、房址、灰坑等考古遗迹进行分类分层绘制）</w:t>
                  </w:r>
                </w:p>
              </w:tc>
              <w:tc>
                <w:tcPr>
                  <w:tcW w:w="555"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平面图及遗迹分层绘制</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楷体" w:hAnsi="楷体" w:eastAsia="楷体" w:cs="楷体"/>
                      <w:sz w:val="24"/>
                      <w:lang w:val="en-US" w:eastAsia="zh-Hans"/>
                    </w:rPr>
                    <w:t>个</w:t>
                  </w:r>
                </w:p>
              </w:tc>
              <w:tc>
                <w:tcPr>
                  <w:tcW w:w="301"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25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15</w:t>
                  </w:r>
                </w:p>
              </w:tc>
              <w:tc>
                <w:tcPr>
                  <w:tcW w:w="346" w:type="dxa"/>
                  <w:vMerge w:val="continue"/>
                  <w:tcBorders>
                    <w:top w:val="nil"/>
                    <w:left w:val="nil"/>
                    <w:bottom w:val="single" w:color="000000" w:sz="4" w:space="0"/>
                    <w:right w:val="single" w:color="000000" w:sz="4" w:space="0"/>
                  </w:tcBorders>
                </w:tcPr>
                <w:p>
                  <w:pPr>
                    <w:rPr>
                      <w:rFonts w:ascii="Calibri" w:hAnsi="Calibri" w:eastAsia="宋体" w:cs="Times New Roman"/>
                    </w:rPr>
                  </w:pPr>
                </w:p>
              </w:tc>
              <w:tc>
                <w:tcPr>
                  <w:tcW w:w="659"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重要遗迹剖面的数字化</w:t>
                  </w:r>
                </w:p>
              </w:tc>
              <w:tc>
                <w:tcPr>
                  <w:tcW w:w="555"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剖面图绘制</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楷体" w:hAnsi="楷体" w:eastAsia="楷体" w:cs="楷体"/>
                      <w:sz w:val="24"/>
                      <w:lang w:val="en-US" w:eastAsia="zh-Hans"/>
                    </w:rPr>
                    <w:t>项</w:t>
                  </w:r>
                </w:p>
              </w:tc>
              <w:tc>
                <w:tcPr>
                  <w:tcW w:w="301"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16</w:t>
                  </w:r>
                </w:p>
              </w:tc>
              <w:tc>
                <w:tcPr>
                  <w:tcW w:w="346" w:type="dxa"/>
                  <w:vMerge w:val="continue"/>
                  <w:tcBorders>
                    <w:top w:val="nil"/>
                    <w:left w:val="nil"/>
                    <w:bottom w:val="single" w:color="000000" w:sz="4" w:space="0"/>
                    <w:right w:val="single" w:color="000000" w:sz="4" w:space="0"/>
                  </w:tcBorders>
                </w:tcPr>
                <w:p>
                  <w:pPr>
                    <w:rPr>
                      <w:rFonts w:ascii="Calibri" w:hAnsi="Calibri" w:eastAsia="宋体" w:cs="Times New Roman"/>
                    </w:rPr>
                  </w:pPr>
                </w:p>
              </w:tc>
              <w:tc>
                <w:tcPr>
                  <w:tcW w:w="659"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各考古发掘点位的图纸坐标系与国家坐标系统一</w:t>
                  </w:r>
                </w:p>
              </w:tc>
              <w:tc>
                <w:tcPr>
                  <w:tcW w:w="555"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图纸配准</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楷体" w:hAnsi="楷体" w:eastAsia="楷体" w:cs="楷体"/>
                      <w:sz w:val="24"/>
                      <w:lang w:val="en-US" w:eastAsia="zh-Hans"/>
                    </w:rPr>
                    <w:t>项</w:t>
                  </w:r>
                </w:p>
              </w:tc>
              <w:tc>
                <w:tcPr>
                  <w:tcW w:w="301"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25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17</w:t>
                  </w:r>
                </w:p>
              </w:tc>
              <w:tc>
                <w:tcPr>
                  <w:tcW w:w="3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实景三维点云模型测量</w:t>
                  </w:r>
                </w:p>
              </w:tc>
              <w:tc>
                <w:tcPr>
                  <w:tcW w:w="659"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工程测量</w:t>
                  </w:r>
                </w:p>
              </w:tc>
              <w:tc>
                <w:tcPr>
                  <w:tcW w:w="555"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left"/>
                    <w:rPr>
                      <w:rFonts w:hint="eastAsia" w:ascii="Calibri" w:hAnsi="Calibri" w:eastAsia="宋体" w:cs="Times New Roman"/>
                      <w:lang w:val="en-US" w:eastAsia="zh-Hans"/>
                    </w:rPr>
                  </w:pPr>
                  <w:r>
                    <w:rPr>
                      <w:rFonts w:hint="eastAsia" w:ascii="宋体" w:hAnsi="宋体" w:eastAsia="宋体" w:cs="宋体"/>
                      <w:sz w:val="22"/>
                      <w:lang w:val="en-US" w:eastAsia="zh-Hans"/>
                    </w:rPr>
                    <w:t>实景三维点云模型测量</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平方米</w:t>
                  </w:r>
                </w:p>
              </w:tc>
              <w:tc>
                <w:tcPr>
                  <w:tcW w:w="301" w:type="dxa"/>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2"/>
                      <w:lang w:val="en-US" w:eastAsia="zh-Hans"/>
                    </w:rPr>
                    <w:t>260000</w:t>
                  </w:r>
                </w:p>
              </w:tc>
            </w:tr>
          </w:tbl>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注：本表为预估工作量，实际工作量如有变动，本项目合同总价不变。</w:t>
            </w:r>
          </w:p>
        </w:tc>
      </w:tr>
    </w:tbl>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3.2.3人员配置要求</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无</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3.2.4设施设备配置要求</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无</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3.2.5其他要求</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无</w:t>
      </w:r>
    </w:p>
    <w:p>
      <w:pPr>
        <w:outlineLvl w:val="2"/>
        <w:rPr>
          <w:rFonts w:hint="eastAsia" w:ascii="Calibri" w:hAnsi="Calibri" w:eastAsia="宋体" w:cs="Times New Roman"/>
          <w:lang w:val="en-US" w:eastAsia="zh-Hans"/>
        </w:rPr>
      </w:pPr>
      <w:r>
        <w:rPr>
          <w:rFonts w:hint="eastAsia" w:ascii="Calibri" w:hAnsi="Calibri" w:eastAsia="宋体" w:cs="Times New Roman"/>
          <w:b/>
          <w:sz w:val="28"/>
          <w:lang w:val="en-US" w:eastAsia="zh-Hans"/>
        </w:rPr>
        <w:t>3.3商务要求</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3.3.1服务期限</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自合同签订之日起60日</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3.3.2服务地点</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采购人指定地点</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3.3.3考核（验收）标准和方法</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严格按照政府采购相关法律法规以及《财政部关于进一步加强政府采购需求和履约验收管理的指导意见》(财库〔2016〕205号)的要求，招标文件的相关要求及中标人的投标文件及承诺以及合同约定标准进行验收。</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3.3.4支付方式</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分期付款</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3.3.5.支付约定</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 付款条件说明： 合同签订后,采购人在收到投标人开具合法合规的增值税发票后（若开具的发票不合格，导致采购人迟延付款的，采购人不构成违约，投标人不得暂停履行合同义务） ，达到付款条件起 14 日内，支付合同总金额的 30.00%。</w:t>
      </w: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 付款条件说明： 提交全部测绘成果后,采购人在收到投标人开具合法合规的增值税发票后（若开具的发票不合格，导致采购人迟延付款的，采购人不构成违约，投标人不得暂停履行合同义务） ，达到付款条件起 14 日内，支付合同总金额的 50.00%。</w:t>
      </w: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 付款条件说明： 提供完成所有的测绘成果报告并经采购人验收合格后,采购人在收到投标人开具合法合规的增值税发票后（若开具的发票不合格，导致采购人迟延付款的，采购人不构成违约，投标人不得暂停履行合同义务） ，达到付款条件起 14 日内，支付合同总金额的 20.00%。</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3.3.6违约责任与解决争议的方法</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（一）违约责任： 1、甲乙双方必须遵守本合同并执行合同中的各项规定，保证本合同的正常履行。 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 （二）解决争议的方法 在协议执行期间，若发生任何争议或者未尽事宜，甲、乙双方应友好协商解决，若友好协商不能解决，任何一方可向甲方所在地的有管辖权的人民法院起诉。</w:t>
      </w:r>
    </w:p>
    <w:p>
      <w:pPr>
        <w:jc w:val="left"/>
        <w:outlineLvl w:val="2"/>
        <w:rPr>
          <w:rFonts w:hint="eastAsia" w:ascii="Calibri" w:hAnsi="Calibri" w:eastAsia="宋体" w:cs="Times New Roman"/>
          <w:lang w:val="en-US" w:eastAsia="zh-Hans"/>
        </w:rPr>
      </w:pPr>
      <w:r>
        <w:rPr>
          <w:rFonts w:hint="eastAsia" w:ascii="Calibri" w:hAnsi="Calibri" w:eastAsia="宋体" w:cs="Times New Roman"/>
          <w:b/>
          <w:sz w:val="28"/>
          <w:lang w:val="en-US" w:eastAsia="zh-Hans"/>
        </w:rPr>
        <w:t>3.4其他要求</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1.招标文件中“3.3商务要求”为实质性要求，供应商必须响应并满足的参数需求。 2.中标人在服务期内，非因采购人原因造成采购合同终止的，因此产生的所有经济损失由供应商承担，如给采购人造成的经济损失的，采购人将依法追究其法律责任。 未约定的合同条款将在合同文本中约定，最终合同条款以合同文本为准。 3.招标文件第二章2.4.9中“二、投标人应按照客户端操作要求，对应招标文件的每项实质性要求，逐一如实响应；未如实响应或者响应内容不符合招标文件对应项的要求的，其投标文件作无效处理。”，除招标文件中的明确要求进行单独响应或承诺的实质性要求外，对于其他实质性要求，供应商在《投标(响应) 函》中以“我单位完全接受和理解本项目采购文件规定的实质性要求”进行承诺即视为响应。</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jYjNhNTBjMTgyNjY3OGVmZmE4Yzg5NjAwMzk0ZmUifQ=="/>
  </w:docVars>
  <w:rsids>
    <w:rsidRoot w:val="429034A0"/>
    <w:rsid w:val="42903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2024-03-05T06:46:00Z</dcterms:created>
  <dc:creator>1233211234567</dc:creator>
  <cp:lastModifiedBy>1233211234567</cp:lastModifiedBy>
  <dcterms:modified xsi:type="dcterms:W3CDTF">2024-03-05T06:47:18Z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B7AC9A3B389A45578994E2CF11C416CD_11</vt:lpwstr>
  </property>
</Properties>
</file>