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</w:pPr>
      <w:bookmarkStart w:id="0" w:name="_Toc217446094"/>
      <w:bookmarkStart w:id="1" w:name="_Toc217446095"/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一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项目概述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成都市产品质量监督检验研究院拟采购一批家具检测设备，本项目共计1个包。</w:t>
      </w:r>
    </w:p>
    <w:bookmarkEnd w:id="1"/>
    <w:p>
      <w:pPr>
        <w:wordWrap w:val="0"/>
        <w:adjustRightInd w:val="0"/>
        <w:snapToGrid w:val="0"/>
        <w:spacing w:line="500" w:lineRule="exact"/>
        <w:ind w:firstLine="482" w:firstLineChars="200"/>
        <w:outlineLvl w:val="1"/>
        <w:rPr>
          <w:rFonts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二、执行标准、规范</w:t>
      </w:r>
    </w:p>
    <w:p>
      <w:pPr>
        <w:wordWrap w:val="0"/>
        <w:adjustRightInd w:val="0"/>
        <w:snapToGrid w:val="0"/>
        <w:spacing w:line="500" w:lineRule="exact"/>
        <w:ind w:firstLine="480" w:firstLineChars="200"/>
        <w:rPr>
          <w:rFonts w:ascii="仿宋" w:hAnsi="仿宋" w:eastAsia="仿宋" w:cs="仿宋"/>
          <w:b w:val="0"/>
          <w:bCs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 w:val="0"/>
          <w:bCs/>
          <w:color w:val="auto"/>
          <w:kern w:val="0"/>
          <w:sz w:val="24"/>
          <w:szCs w:val="24"/>
          <w:highlight w:val="none"/>
        </w:rPr>
        <w:t>按照《中华人民共和国产品质量法》等相关标准执行。</w:t>
      </w:r>
    </w:p>
    <w:p>
      <w:pPr>
        <w:wordWrap w:val="0"/>
        <w:adjustRightInd w:val="0"/>
        <w:snapToGrid w:val="0"/>
        <w:spacing w:line="500" w:lineRule="exact"/>
        <w:ind w:firstLine="482" w:firstLineChars="200"/>
        <w:outlineLvl w:val="1"/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b/>
          <w:color w:val="auto"/>
          <w:kern w:val="0"/>
          <w:sz w:val="24"/>
          <w:szCs w:val="24"/>
          <w:highlight w:val="none"/>
        </w:rPr>
        <w:t>★三、采购清单</w:t>
      </w:r>
    </w:p>
    <w:tbl>
      <w:tblPr>
        <w:tblStyle w:val="4"/>
        <w:tblW w:w="499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3218"/>
        <w:gridCol w:w="1035"/>
        <w:gridCol w:w="794"/>
        <w:gridCol w:w="1791"/>
        <w:gridCol w:w="2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bookmarkStart w:id="2" w:name="_Toc3312"/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标的名称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是否核心产品</w:t>
            </w:r>
          </w:p>
        </w:tc>
        <w:tc>
          <w:tcPr>
            <w:tcW w:w="1272" w:type="pct"/>
            <w:noWrap w:val="0"/>
            <w:vAlign w:val="center"/>
          </w:tcPr>
          <w:p>
            <w:pPr>
              <w:wordWrap w:val="0"/>
              <w:adjustRightInd w:val="0"/>
              <w:snapToGrid w:val="0"/>
              <w:jc w:val="center"/>
              <w:rPr>
                <w:rFonts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highlight w:val="none"/>
              </w:rPr>
              <w:t>所属行业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/>
              </w:rPr>
              <w:t>合页、铰链配件耐久试验机（多工位）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工业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床垫耐久性试验机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气相色谱质谱联用仪（顶空）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12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8立方米VOC气候舱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9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161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eastAsia="zh-CN"/>
              </w:rPr>
              <w:t>12立方米VOC气候舱</w:t>
            </w:r>
          </w:p>
        </w:tc>
        <w:tc>
          <w:tcPr>
            <w:tcW w:w="52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台</w:t>
            </w:r>
          </w:p>
        </w:tc>
        <w:tc>
          <w:tcPr>
            <w:tcW w:w="39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90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是</w:t>
            </w:r>
          </w:p>
        </w:tc>
        <w:tc>
          <w:tcPr>
            <w:tcW w:w="127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4"/>
                <w:highlight w:val="none"/>
              </w:rPr>
            </w:pPr>
          </w:p>
        </w:tc>
      </w:tr>
    </w:tbl>
    <w:p>
      <w:pPr>
        <w:keepNext/>
        <w:keepLines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482" w:firstLineChars="200"/>
        <w:textAlignment w:val="auto"/>
        <w:outlineLvl w:val="1"/>
        <w:rPr>
          <w:rFonts w:hint="default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四、</w:t>
      </w:r>
      <w:bookmarkEnd w:id="2"/>
      <w:r>
        <w:rPr>
          <w:rFonts w:hint="eastAsia" w:ascii="仿宋" w:hAnsi="仿宋" w:eastAsia="仿宋" w:cs="仿宋"/>
          <w:b/>
          <w:color w:val="auto"/>
          <w:kern w:val="2"/>
          <w:sz w:val="24"/>
          <w:szCs w:val="24"/>
          <w:highlight w:val="none"/>
          <w:lang w:val="en-US" w:eastAsia="zh-CN" w:bidi="ar-SA"/>
        </w:rPr>
        <w:t>技术参数要求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（一）合页、铰链配件耐久试验机（多工位）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1.设备用途：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用于测试家具抽屉耐久性测试。满足QB/T 2189-2013 家具五金 杯状暗铰链。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2.技术参数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 在耐久性试验中，具有缓冲功能，可设置自动频率模式和自动角度模式；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▲2.2 速度：角度：±2°；质量：额定值±1%；尺寸：±1mm；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 设备需要一个满足试验强度的测试框架，在外加负荷情况下不应变形；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▲2.4 试验中最大开启角度可满足0°~135°，每个循坏中门的开启和关闭时间2~3s，可满足最大频率6次/min；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 控制系统：触摸屏加PLC伺服电机综合控制系统，具有停/断电记忆功能；高度调节传动系统；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2.6 测试工位不少于4工位。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★3.配置要求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3.1设备主机一台；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3.2设备全套技术资料。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4.3质量保证期≥一年。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4.4设备安装调试后，需提供具有国家认可计量实验室提供计量合格证书，具体计量项目需根据涉及规程、标准、响应参数而定，如有分歧需按照使用方提出的合理需求为准。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（二）床垫耐久性试验机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1.设备用途：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用于测试覆盖床垫所有力学性能项目，满足QB/T 1952.2-2023软体家具 弹簧软床垫中关于床垫力学性能项目要求。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2.技术参数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2.1自动化综合试验机，测试通道由伺服电机和气缸加载系统组成；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▲2.2专用操作系统，可单独执行某项测试，也可以选择所有的测试项目一次性装夹设定、滚压、边压、软硬度、厚度和厚度损失可全自动完成，并给出图形化描述的测试结果报告；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2.3所有参数设置和测试结果具有停/断电自动记忆功能，避免已测数据丢失；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2.4包含以下功能要求组件：①滚压耐久组件；②软硬度及厚度测量组件；③边压耐久组件；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▲2.5滚压耐久组件：伺服控制，垂直加载高度10~400mm，水平加载行程±250mm，加载位移精度±0.5mm，加载力1400N，可加载速度10-20次/分钟；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▲2.6软硬度及厚度测量组件：伺服控制，垂直加载高度10~400mm，加载位移精度±0.5mm，加载力0-1000N，可加载速度50-500mm/min；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▲2.7边压耐久组件：气缸加载，垂直加载高度10~400mm，加载力300-1500N，±3%，可加载速度8-20次/分钟；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2.8滚筒两端采用浮动式安装结构，可自由融合床垫变形；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2.9有效工作台面积：≥2.0×2.4米。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★3.配置要求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 设备主机一台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 该设备全套技术资料；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3.3 控制系统一套；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4.3质量保证期≥一年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4.4设备安装调试后，需提供具有国家认可计量实验室提供计量合格证书，具体计量项目需根据涉及规程、标准、响应参数而定，如有分歧需按照使用方提出的合理需求为准。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（三）气相色谱质谱联用仪（顶空）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1.工作条件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1.1电源电压：220 V±10%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1.2温度：18℃～28℃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1.3湿度：40%～70%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2.气相色谱仪部分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2.1 柱箱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2.1.1操作温度范围：室温以上3℃～450℃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▲2.1.2可设定升温速率：≥250℃/min，支持程序降温（无需升级）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▲2.1.3程序升温的阶数：≥31阶32平台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2.1.4温度设定精度：0.1℃；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2.1.5控温精度：设定值(K) ± 1% (可校准至0.01℃)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2.1.6温度稳定性：周围温度每变化1℃，柱温箱温度变化小于0.01℃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2.1.7冷却速度：从450℃降到 50℃ ≤3.5min（210s）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2.1.8最大运行时间：9999.99分钟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▲2.1.9气相色谱主机采用不小于7英寸的彩色触摸屏进行操控。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（须提供主机彩色触摸屏的图片证明。）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▲2.1.10主机具有“参数锁定”和“显示屏锁定功能”，从而避免误操作和意外操作。这些功能均可在主机彩色触摸屏上进行设置。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（须提供“参数锁定功能”和“显示屏锁定功能”的主机触摸屏界面截图。）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▲2.1.11主机具有载气漏气检查功能，可在主机显示屏上显示漏气检查的结果。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（须提供主机触摸屏界面显示“载气漏气检查”的截图。）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▲2.1.12主机触摸屏支持显示配置至少3条流路通道。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（须提供主机触摸屏界面显示“至少3条流路通道”的截图。）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▲2.1.13柱温箱可升级配置氢气传感器，其具有氢气漏气报警功能，可实时监控泄漏，确保安全使用。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（须提供显示“氢气漏气报警功能”的主机触摸屏界面截图证明。）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▲2.1.14具有一键设置柱温箱降温速率功能，可依据不同色谱柱自由设置降温速率，有效延长色谱柱使用寿命。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（须提供“一键设置柱温箱降温速率”的主机触摸屏界面截图证明。）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▲2.1.15柱温箱内置耐高温智能灯，柱箱门开启时自动点亮，照亮柱箱内空间方便安装和更换色谱柱。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（须提供安装智能灯的柱箱内部图片证明。）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2.2 流路系统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2.2.1支持双柱双流路系统，且两根色谱柱长度不受限制。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2.2.2两个柱流量控制系统均采用流量控制单元。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2.2.3具有室温补偿和自动环境补偿功能。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▲2.2.4具有恒线速度控制功能。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（须提供软件截图。）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2.2.5支持色谱柱柱后反吹，具有专为反吹设计的图示化控制软件。同时可实现不泄真空更换色谱柱功能。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（须提供反吹软件图示化界面的截图。）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2.2.6可配合双柱系统、在无需人为干预的情况下实现两根色谱柱的切换使用，最大提升分析效率。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2.3 分流/不分流进样口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2.3.1压力、流量和分流比可通过流量控制系统进行数字化设定。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2.3.2配备全自动电子流量控制系统，具备室温补偿和自动环境补偿功能。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▲2.3.3支持恒流，恒压，程序增加流速，程序升压及压力脉冲等操作模式，同时具有恒线速度控制功能。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（须提供软件截图。）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2.3.4进样口标配“智能锁”功能，仪器自动感知最佳气密位置。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（须提供“智能锁”技术的图片。）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2.3.5最高温度：≥450℃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2.3.6压力设定范围：0 ～ 1015kPa（相当于0～147psi）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2.3.7压力控制精度：0.001psi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2.3.8压力程序比率设定范围：-400 ～ 400kPa/min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2.3.9压力程序的阶数：≥7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2.3.10分流比设定范围：0 ～ 9000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2.3.11流量设定范围：0 ～ 1280mL/min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2.3.12隔垫吹扫流量设置范围：0 ～ 200ml/min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2.3.13仪器主机最多可同时安装3个SPL进样口。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（须提供“同时安装3个SPL进样口的安装位置图示”的证明材料</w:t>
      </w:r>
      <w:r>
        <w:rPr>
          <w:rFonts w:hint="eastAsia" w:ascii="Times New Roman" w:hAnsi="Times New Roman" w:eastAsia="宋体" w:cs="Times New Roman"/>
          <w:b/>
          <w:bCs/>
          <w:color w:val="auto"/>
          <w:kern w:val="2"/>
          <w:sz w:val="18"/>
          <w:szCs w:val="24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2.4 自动进样器单元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2.4.1样品位：≥150位样品盘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2.4.2进样量范围：0.1~150 uL，10μL 注射器以0.1μL 步进；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（需提供证明文件）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2.4.3交叉污染：小于10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-4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(使用4种溶剂清洗, 测定正己烷中1% 联苯)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2.4.4具有样品优先模式：当进行样品批处理进样时, 可对某样品进行优先进样设定, 而后继续完成批处理设定。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2.4.5可升级双塔双柱进样系统。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2.4.6可升级样品架冷却和加热功能。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（需提供样品架冷却和加热的图片证明）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2.4.7保留时间重复性：&lt;0.001min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2.4.8峰面积重复性：&lt;1% RSD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2.5  顶空进样器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2.5.1室温+10℃至225℃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2.5.2加热：电子加热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▲2.5.3样品瓶数量：≥20位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▲2.5.4加热孔数量：≥6个样品瓶位旋转托盘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2.5.5 载气控制：通过GC内置的AFC电子控制（0.5 ～ 0.9 MPa， 流向AFC）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2.5.6 样品瓶加压控制：通过GC内置的APC电子控制（0.2 ～ 0.5 MPa）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3.质谱部分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3.1 基本性能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3.1.1质量数范围: 1.5 ～ 1080 u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3.1.2灵敏度: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▲3.1.2.1 EI Scan(氦气)：1pg，八氟萘 OFN ，m/z 272，S/N ≥ 6000；须采用30米毛细柱进行验收。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3.1.2.2 EI Scan（氢气）：1pg，八氟萘 OFN，m/z 272，S/N≥300；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3.1.2.3 IDL（SIM）：IDL ≤10 fg（100 fg，OFN， 8次连续进样，m/z 272，峰面积RSD 3.4%）。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▲3.1.2.4 IDL（高速扫描Scan）：IDL ≤500 fg（1pg，OFN，8次连续进样，m/z 272，扫描速度20,000 u/sec）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3.1.2.5分辨率：单位分辨率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3.1.2.6质量稳定性：≤±0.1u/48小时 (恒温)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▲3.1.2.7最大扫描速度：18,000 u/sec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3.2 离子源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3.2.1离子源材质：屏蔽板设计的整体惰性化高灵敏度离子源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3.2.2离子化能量：10 ～ 180eV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3.2.3离子源温度：独立控温，140 ～ 300℃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3.2.4灯丝电流：5 ～ 200μA（发射电流）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3.2.5双灯丝设计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3.2.6 GCMS 接口温度：50 ～ 300℃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▲3.2.7 EI/CI 复合离子源，无需更换离子源，即可获得EI质谱图和PCI质谱图；同时满足高灵敏度的EI模式下，实际目标物浓度10 ng/mL的痕量分析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3.3 质量分析器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▲3.3.1 配备预四极的高精度全金属四极杆。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▲3.3.2 预四极可转动可清洗打磨，主四极杆可清洗打磨，预四极杆有效避免主四极杆，以检测器的污染。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▲3.3.3 四极杆具有自动优化加速功能：对于高质量端离子的自动电场补偿技术，提升离子通过四极杆的速度，以提升全质量范围的信号质量，在高速扫描时保证数据灵敏度和质谱图正确性。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（须提供此技术的证明材料。）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3.3.4 四极杆以不控温为优，无需控温即可实现0.1amu/48h稳定。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3.4 扫描功能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3.4.1扫描功能：支持全扫描模式(Scan)、选择离子扫描模式(SIM)以及Scan/SIM同时扫描模式。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3.4.2在SIM模式下，最大支持64通道×128 组。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3.5 检测系统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3.5.1二次电子倍增管，配备偏转透镜和±10kV转换打拿。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（须提供此技术的证明材料）。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3.5.2离轴连续打拿电子倍增器。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3.5.3动态范围：5×106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3.6 真空系统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▲3.6.1高真空：双入口差动式涡轮分子泵排气系统，200L/sec +200L/sec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（须提供涡轮分子泵抽力的证明图片）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3.6.2低真空：30L/min（60Hz）机械泵。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3.6.3标准配备皮拉尼真空规、离子规（软件直接监测高真空和低真空）。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3.6.4柱流量最大可达15mL/min（He），可直接连接最大0.53mm内径的色谱柱。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3.6.5支持双柱双流路系统（Twin Line system），两个柱流量控制系统均采用流量控制单元。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3.6.6支持使用氢气、氮气作为载气，无需更换任何部件。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3.6.7机械泵：110L/min，适用于（EI/PCI/NCI全部机型）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3.7 其他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3.7.1多种附件可供选择，可配置DI直接进样装置、自动液体进样器、多功能自动进样器等。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▲3.7.2可根据用户的分析需求，量身定制专业的分析系统。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3.7.3支持氦气节省模块，实现待机时氦气零消耗。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（须提供此技术的证明材料。）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4.数据处理系统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 支持中/英文工作站，一套软件即可安装成中文，亦可安装成英文。支持全中文的样品名、文件名、序列名等输入。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（须同时提供中文和英文工作站的界面截图。）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▲4.2 提供农药残留、邻苯二甲酸酯、多环芳烃等3个版本SIM分析方法包，涵盖至少12个方法条件、540种以上化合物的中英文名称、CAS号和保留指数、1700个SIM参数、11个分组，应对食品、纺织品、环境、玩具检测中的11个国家/行业标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4.3支持不停机进样口维护功能（用户无需停止真空系统即可进行进样口的维护）。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4.4快速进样口维护功能：与质谱联机时可以在不卸真空的情况下更换进样垫和衬管，进行进样口维护。配备生态学模式，有效降低耗电量与装置的运行成本，并可在批处理完成后自动运行。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4.5支持智能钟功能。系统启动后真空状态、调谐结果自动判定，无需人为确认即可直接开始分析工作，序列运行、维护时间直观显示，便于用户合理工作时间，提升工作效率。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（须提供软件界面截图证明。）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★5.配置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5.1 主机一台（包括EI源）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5.2 数据处理系统一套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5.3 150位自动进样器一套（包括样品瓶200个，进样针2根）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5.4 控制输出装置一套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5.5 NIST标准谱库一套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5.6 安装工具包一套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 xml:space="preserve">5.7 </w:t>
      </w:r>
      <w:r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质谱柱一根，填料：5%苯基/ 95%二甲基聚硅氧烷，规格30m×0.25mm×0.25um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5.8 He专用过滤器（除氧，除湿，除烃）一套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5.9 1L 泵油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5.10耗材包一套（包括分流不分流衬管十支，进样隔垫50个，石墨压环10个）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u w:val="none"/>
          <w:lang w:val="en-US" w:eastAsia="zh-CN" w:bidi="ar-SA"/>
        </w:rPr>
        <w:t>5.11 全自动顶空进样器一套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6.售后服务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6.1 中标仪器厂商为用户提供4人的仪器培训。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6.2质保期≥2年，安装验收后2年内，全机保修。中标仪器厂商负责工作站软件终身升级。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6.3 如果仪器出现故障，在接到维修服务的请求后，仪器公司工程师应在24小时内作出应答，进行电话指导、网上诊断协助排除故障。必要时，在72小时内到达现场。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6.4提供配套的调试工具和其他专用工具，提供全套仪器操作说明书。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6.5 终身提供应用工程师上门培训服务，包括且不局限于方法开发，技术指导等。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6.6计量要求：设备安装调试后，需提供具有国家认可计量实验室提供计量合格证书，具体计量项目需根据涉及规程、标准、响应参数而定，如有分歧需按照使用方提出的合理需求为准。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（四）8立方米VOC气候舱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1.设备满足的标准：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GB/T 31107-2014家具中挥发性有机化合物检测用气候舱通用技术条件、GB/T 35607-2017绿色产品评价 家具、QB/T 1952.1-2023软体家具 沙发、 QB/T1952.2-2023软体家具 弹簧软床垫等标准。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2.主要技术参数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2.1内胆尺寸：舱内体积8m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±2%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▲2.2温度控制范围：＋15～＋40℃(试验运行时无负荷、有试样时）。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2.3湿度控制范围：30～80％（at＋20℃～＋30℃）（无负荷、有试样时）。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2.4温湿度波动度：±0.5℃／±3%（测试点在（23℃，45%）、无负荷、无试样时）。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2.5温湿度偏差：±0.5℃／±3%（测试点在（23℃，45%）、无负荷、无试样时）。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2.6温湿度均匀度：±1℃／±2%（测试点在（23℃，45%）、无负荷、无试样时）。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▲2.7空气流速可调范围（0.1～0.3）m/s。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▲2.8空气交换率可调范围（0.2～2）次/h，控制精度±1.5％F.S，配有质量电子流量计；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▲2.9设备密闭性：测试舱密闭性应满足在1kPa正压（表压）时，舱内空气泄漏率VL≤0.5%×舱容/min，或者舱内空气泄漏率VL≤5%×供气率Vs。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default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▲2.10测试舱内本底浓度：空载时，甲醛本底浓度≤6 ug /m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，TVOC本底浓度≤20 ug /m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，单体VOC本底浓度≤2 ug /m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vertAlign w:val="superscript"/>
          <w:lang w:val="en-US" w:eastAsia="zh-CN" w:bidi="ar-SA"/>
        </w:rPr>
        <w:t>3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（提供国家认可的计量实验室出具的计量证书复印件）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2.11设备平均回收率：80%~120%（甲苯或正十二烷）。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2.12设备运行时，测试舱内相对于外界压力：10±5Pa。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2.13设备供电电压(380±38)V、供电频率(50±0.5)Hz。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2.14设备工作时噪声不大于65dB，检测点距离设备2米之内。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▲2.15设备具有高温清洁功能，换气量≥4次，清洗温度最高为240℃，配有快速降温系统，从室温升温到240℃和从240℃降温到（室温+15℃）时间不超过2h，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并提供节能快速降温设计方案供评审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2.16设备外观：涂镀层应平整光滑，色泽均匀，边与边之间缝隙均匀细小，无露底、起层、鼓泡、斑痕、较深划痕等缺陷。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2.17测试舱内壁采用304不锈钢整体焊接，不锈钢厚度不小于2mm，舱内壁和门表面经过电解抛光处理，表面粗糙度小于0.2um，内壁外观应平整光滑，色泽均匀，不得有鼓泡、划痕，所有的边、角均制成一定弧度，可用水洗清洁，内壁板之间的搭接处采用无缝满焊，焊接处及周围抛光、无变形，密封材料和其它与测试舱内空气接触的器件，应不产生、不吸附挥发性有机化合物(VOC)和甲醛，对检测无干扰，且满足测试舱内背景要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▲2.18测试舱门密封条采用氟橡胶密封条，能耐250℃高温，连续高温250℃下密封材料结构完整，不塌陷，密封材料需经过无害化处理，无甲醛、VOC释放，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并提供第三方检测机构出具的密封条VOC释放量检测合格报告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2.19环境舱内不产生任何液态水，舱大门上带有隔热玻璃的观察窗，观察窗上有照明灯，可以直接观察到测试舱内样品状态，制冷方式采用全封闭式活塞压缩机，冷媒采用环保冷媒，并根据环境温度自动配置压缩机制冷冷量，实现最低能耗控制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2.20测试舱内空气循环方式：采用变频风机配置不锈钢风叶，舱定部设置有多孔板结构的风道，空气从顶部轴流叶片吸风，经过顶部挡风板四周排入测试舱空间，形成自上而下的垂直气流。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2.21测试舱湿度控制采用干湿空气平衡调节法，由冷干除湿机、加湿装置、分流控制系统等组成，加湿装置设置有自动恒温控制装置，可根据测试温湿度自行调整加湿水箱的温度。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2.22测试舱体及门采用阻燃库板，保温层厚度不小于150mm，绝热效果良好，在高温清洗时舱外壁温度小于室温+15℃，无灼伤危险；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2.23测试舱控制系统采用8英寸彩色工控机触摸屏和plc控制器，能连续和实时监控、记录舱内的温度、相对湿度、压力、空气交换率、时间等控制参数，可实现动态数据显示和历史数据保存和查询、故障记录、报警设置等功能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2.24设备配备安全保护系统：制冷系统高低压保护、过流保护，加热器超温保护，电机过流保护，缺水保护，空气压缩机过热、过流、超压保护，电源欠相、相序保护，电源过流、短路保护。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2.25供气系统包括无油静音空气压缩机、冷冻除湿机、空气净化装置，净化装置包含但不限于微粒过滤器、多级活性炭吸附过滤器，膜过滤装置，正常状态下空气净化装置使用周期不少于12个月。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2.26设备配有4个采样口，采样管配置TA测试管标准接头，并有伴热保温功能，并提供测试舱采样口设计图纸供评审，采样口配置有对应的2个堵头和2个甲醛采样转换器。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★3.主要配置部件包含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3.1保温库体1套；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3.2制冷控温机组1套；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3.3控湿系统1套；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3.4清洁气源1套；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3.5控制系统1套；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3.6高温清洗和降温系统1套；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3.7样品架一套；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4.3质量保证期≥一年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（五）12立方米VOC气候舱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1.适用标准：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GB/T 31107-2014家具中挥发性有机化合物检测用气候舱通用技术条件、GB/T 35607-2017绿色产品评价 家具、QB/T 1952.1-2023软体家具 沙发、 QB/T1952.2-2023软体家具 弹簧软床垫。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2.主要技术参数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▲2.1内胆尺寸：舱内体积12立方米±2%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2.2含2个取样口、内部风机、电子温度湿度传感器、压力传感器、排气口及压力调节阀、采样平台。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2.3温度指标温度范围：20～30℃,温度偏差:±0.5℃,温度波动度:±0.3℃,温度稳定时间：常温下≤0.5小时；湿度指标湿度范围：40～60%R.H. (23～25℃ ),湿度偏差:±2%R.H,波动度:±2.5% R.H,温湿度稳定时间：常温下≤0.5小时,控湿方式：干湿空气混合。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▲2.4制冷方式：采用半导体制冷片,要求整机节能低耗不可使用压缩机及制冷剂。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2.5设备噪音距离设备5m测量，小于70dBA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2.6压力(手动调节，控制器显示）:10±5pa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▲2.7背景：任何单个目标VOC浓度应低于2ug/ m³；TVOC含量应低于20ug/ m³，甲醛本底浓度≤6µg/ m³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（提供国家认可的计量实验室出具的计量证书复印件）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2.8含洁净气源：调节范围0.2～2次，调节精度±3%，测量精度±0.01m³/h；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2.9风速：0.1m/s～0.3 m/s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2.10温度传感器：测试舱热电偶：pt100+K ；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2.11湿度传感器：电子湿度传感器，测量范围:0~100%RH 测量精度:±2%RH。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2.12压力变送器：量程可选：10-100 Pa，输出：4~20 mA。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2.13质量流量控制器： 0-5V 输入输出，50L/min 空气标定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▲2.14冷冻系统：半导体电子制冷，不使用压缩机及制冷剂，耗能≤4.0kw/H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（需提供具有能耗检测资质的检测机构出具的检测报告）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2.15电控系统（PLC/计算机双模式同步控制，模块数据采集），显示部分：运行时间、温度湿度、压力、流量显示，设备电源：380v 、50Hz。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2.16保护装置：a)制冷系统低温保护b)电机过流保护c)缺水保护d)电源欠相、相序保护e)电源过流、短路保护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2.17结构：a)门密封结构：聚四氟包覆弹性体结构b)流量控制器保护c)舱内防积聚、沉降的圆弧或斜角设计d)气源进口除水雾设计e)关键零部件，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提供配件清单和品牌名称、型号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2.18设备安装调试后，需提供具有国家认可计量实验室提供计量合格证书，具体计量项目需根据涉及标准、响应参数而定，如有分歧需按照使用方提出的合理需求为准。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★3.设备配置：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12立方米箱体一台、24立方米气源一套、样品架1件，工具包1套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4.售后服务及培训要求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4.1生产厂家需在国内直接设有服务中心</w:t>
      </w: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（</w:t>
      </w:r>
      <w:bookmarkStart w:id="3" w:name="_GoBack"/>
      <w:bookmarkEnd w:id="3"/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提供证明材料，包括厂家服务中心工程师名单、联系方法）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4.2生产厂家工程师到采购人指定现场培训至少2人，直至2人完全能独立操作安装调试设备。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4.3质量保证期两年以上。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>4.4技术资料：仪器操作手册，维护手册。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textAlignment w:val="auto"/>
        <w:outlineLvl w:val="1"/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val="en-US" w:eastAsia="zh-CN"/>
        </w:rPr>
        <w:t>★五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highlight w:val="none"/>
        </w:rPr>
        <w:t>商务要求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default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（一）交货安装时间：</w:t>
      </w:r>
      <w:r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合同签订之日起90日内。 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（二）交货地点：</w:t>
      </w:r>
      <w:r>
        <w:rPr>
          <w:rFonts w:hint="eastAsia" w:ascii="宋体" w:hAnsi="宋体" w:eastAsia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 xml:space="preserve">采购人指定地点。 </w:t>
      </w:r>
    </w:p>
    <w:p>
      <w:pPr>
        <w:pStyle w:val="6"/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adjustRightInd w:val="0"/>
        <w:snapToGrid/>
        <w:spacing w:line="50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仿宋"/>
          <w:b/>
          <w:bCs/>
          <w:color w:val="auto"/>
          <w:sz w:val="24"/>
          <w:szCs w:val="24"/>
          <w:highlight w:val="none"/>
          <w:lang w:val="en-US" w:eastAsia="zh-CN"/>
        </w:rPr>
        <w:t>（三）付款方式：</w:t>
      </w:r>
      <w:r>
        <w:rPr>
          <w:rFonts w:hint="eastAsia" w:ascii="仿宋" w:hAnsi="仿宋" w:eastAsia="仿宋" w:cs="仿宋"/>
          <w:b w:val="0"/>
          <w:bCs/>
          <w:color w:val="auto"/>
          <w:sz w:val="24"/>
          <w:szCs w:val="24"/>
          <w:highlight w:val="none"/>
          <w:lang w:val="en-US" w:eastAsia="zh-CN"/>
        </w:rPr>
        <w:t>签订合同后，在收到中标人发票后10个工作日内支付合同金额的40%为预付款，经采购人验收合格后，中标人提供完善的发票后10个工作日内，采购人支付合同金额剩余的60%。</w:t>
      </w:r>
      <w:r>
        <w:rPr>
          <w:rFonts w:hint="eastAsia" w:ascii="仿宋" w:hAnsi="仿宋" w:eastAsia="仿宋" w:cs="仿宋"/>
          <w:color w:val="auto"/>
          <w:kern w:val="2"/>
          <w:sz w:val="24"/>
          <w:szCs w:val="24"/>
          <w:highlight w:val="no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1"/>
          <w:numId w:val="0"/>
        </w:numPr>
        <w:kinsoku/>
        <w:wordWrap w:val="0"/>
        <w:overflowPunct/>
        <w:topLinePunct/>
        <w:autoSpaceDE/>
        <w:autoSpaceDN/>
        <w:bidi w:val="0"/>
        <w:adjustRightInd w:val="0"/>
        <w:snapToGrid w:val="0"/>
        <w:spacing w:line="500" w:lineRule="exact"/>
        <w:ind w:left="0" w:leftChars="0" w:firstLine="482" w:firstLineChars="200"/>
        <w:textAlignment w:val="auto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(四)履约验收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1.验收标准和方法：本项目将按照政府采购相关法律法规以及《财政部关于进一步加强政府采购需求和履约验收管理的指导意见》(财库〔2016〕205号)相关要求进行验收。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2.存在国家强制规定或行业标准的遵照相关规定执行；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3.履约验收程序：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（1）验收组织方式：自行验收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（2）是否邀请本项目的其他供应商：否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（3）是否邀请专家：否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（4）是否邀请服务对象：否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（5）是否邀请第三方检测机构：否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（6）履约验收程序：一次性验收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（7）履约验收时间：供应商提出验收申请之日起30日内组织验收。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（8）验收组织的其他事项：无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（9）技术履约验收内容：依据《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》、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《合同》等进行验收。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（10）商务履约验收内容：依据《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招标文件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》、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投标文件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和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《合同》等进行验收。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（11）履约验收标准：按照《财政部关于进一步加强政府采购需求和履约验收管理的指导意见》(财库〔2016〕205号)文件及相关法律法规的要求进行验收。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 w:val="0"/>
        <w:overflowPunct/>
        <w:autoSpaceDE/>
        <w:autoSpaceDN/>
        <w:bidi w:val="0"/>
        <w:adjustRightInd w:val="0"/>
        <w:snapToGrid w:val="0"/>
        <w:spacing w:beforeAutospacing="0" w:afterAutospacing="0" w:line="500" w:lineRule="exact"/>
        <w:ind w:left="0" w:right="0" w:firstLine="480" w:firstLineChars="200"/>
        <w:jc w:val="both"/>
        <w:textAlignment w:val="auto"/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（12）履约验收其他事项：无。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2" w:firstLineChars="200"/>
        <w:jc w:val="both"/>
        <w:textAlignment w:val="auto"/>
        <w:outlineLvl w:val="1"/>
        <w:rPr>
          <w:rFonts w:hint="default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24"/>
          <w:highlight w:val="none"/>
          <w:lang w:val="en-US" w:eastAsia="zh-CN" w:bidi="ar-SA"/>
        </w:rPr>
        <w:t>六、业绩和方案要求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（一）实施服务方案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投标人提供实施服务方案，包含针对本项目的1.实施服务方案，2.配送方案、3.货物质量及保证措施、4.项目实施进度安排。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（二）售后服务方案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投标人提供售后服务方案，包含1.投标人提供完善售后服务机制承诺；2.提供售后服务保障措施；3.提供售后人员配置安排计划。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kern w:val="2"/>
          <w:sz w:val="24"/>
          <w:szCs w:val="24"/>
          <w:highlight w:val="none"/>
          <w:lang w:val="en-US" w:eastAsia="zh-CN" w:bidi="ar-SA"/>
        </w:rPr>
        <w:t>（三）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  <w:t>履约能力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48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投标人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提供自202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年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月1日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含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</w:rPr>
        <w:t>以来</w:t>
      </w:r>
      <w:r>
        <w:rPr>
          <w:rFonts w:hint="eastAsia" w:ascii="仿宋" w:hAnsi="仿宋" w:eastAsia="仿宋" w:cs="仿宋"/>
          <w:color w:val="auto"/>
          <w:sz w:val="24"/>
          <w:szCs w:val="24"/>
          <w:highlight w:val="none"/>
          <w:lang w:val="en-US" w:eastAsia="zh-CN"/>
        </w:rPr>
        <w:t>与本项目类似的业绩。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0MjcwYzMzYTk3ODdhZjIxNDJhMTdjMzNjOGNkZjEifQ=="/>
  </w:docVars>
  <w:rsids>
    <w:rsidRoot w:val="00000000"/>
    <w:rsid w:val="080B2E6F"/>
    <w:rsid w:val="2BB668F8"/>
    <w:rsid w:val="4CEA2347"/>
    <w:rsid w:val="639F3861"/>
    <w:rsid w:val="7FC5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eastAsia="宋体"/>
      <w:sz w:val="18"/>
    </w:rPr>
  </w:style>
  <w:style w:type="table" w:styleId="4">
    <w:name w:val="Table Grid"/>
    <w:basedOn w:val="3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2024-04-17T08:05:00Z</dcterms:created>
  <dc:creator>admin</dc:creator>
  <cp:lastModifiedBy>ZYZB</cp:lastModifiedBy>
  <dcterms:modified xsi:type="dcterms:W3CDTF">2024-04-25T03:23:18Z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1AAF2AC71CA748A2A1DEF0E4CFA806BB_12</vt:lpwstr>
  </property>
</Properties>
</file>