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第三章 采购项目技术、服务、商务及其他要求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bdr w:val="none" w:color="auto" w:sz="0" w:space="0"/>
          <w:shd w:val="clear" w:fill="FFFFFF"/>
        </w:rPr>
        <w:t>（带“★”的参数需求为实质性要求，供应商必须响应并满足的参数需求，采购人、采购代理机构应当根据项目实际需求合理设定，并明确具体要求。）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3.1项目概况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本项目拟采购公务车辆（纯电动轿车）3辆。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3.2采购内容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3.2.1标的清单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采购包预算金额（元）: 480,000.00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采购包最高限价（元）: 480,000.00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184"/>
        <w:gridCol w:w="850"/>
        <w:gridCol w:w="1432"/>
        <w:gridCol w:w="716"/>
        <w:gridCol w:w="716"/>
        <w:gridCol w:w="650"/>
        <w:gridCol w:w="716"/>
        <w:gridCol w:w="716"/>
        <w:gridCol w:w="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标的金额 （元）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是否涉及核心产品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是否涉及采购进口产品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是否涉及采购节能产品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是否涉及采购环境标志产品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轿车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480,000.00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3.3技术参数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标的名称：轿车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车身结构：新能源轿车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能源类型：纯电动；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长×宽×高(mm)：≥4790x1840x1495；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轴距(mm)：≥2768；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纯电续航（CLTC）：≥500km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驱动形式：前置前驱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电池类型：磷酸铁锂电池；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轮胎尺寸：≥ R17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对外放电功能：支持；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中控屏幕：≥12寸；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主副驾座椅调节功能：电动调节；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远程控制功能:车门控制、车辆启动、空调控制；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车辆其他配置 ：双温区自动空调、热泵空调；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供应商提交报价需包含充电桩3台。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3.4商务要求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3.4.1交货时间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自合同签订之日起成交人于采购合同签订后的15日内交付采购标的，采购人于验收合格后30日内付清货款。日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3.4.2交货地点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采购人指定地点（成都市内）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3.4.3支付方式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一次付清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3.4.4支付约定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 付款条件说明： 安装调试完毕配送至采购人指定地点，且项目验收合格 ，达到付款条件起 30 日内，支付合同总金额的 100.00%。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3.4.5验收标准和方法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根据双方约定的车型、品牌、技术参数、性能指标及商务履约验收内容，经双方相关人员组织验收交付。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3.4.6包装方式及运输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3.4.7质量保修范围和保修期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3年或10万公里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3.4.8违约责任与解决争议的方法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1.质保期内车辆出现质量问题，且经过3次免费维修仍不能达到合同约定的质量标准，则视作成交供应商不能交付货物，采购人有权单方解除合同，采购人无需向成交供应商支付任何费用，成交供应商应将已支付的费用退还给采购人，成交供应商还应按合同总金额的20%向采购人支付违约金，如该违约金不足以弥补因此给采购人造成损失的，采购人有权就此继续向成交供应商追偿; 2.因货物的质量问题发生争议，由质量技术监督部门或其指定的质量鉴定机构进行质量鉴定。货物符合标准的，鉴定费由甲方承担；货物不符合质量标准的，鉴定费由乙方承担; 3.合同履行期间，若双方发生争议，可协商或由有关部门调解解决，协商或调解不成的，由当事人依法维护其合法权益。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3.5其他要求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MDNiMjFiNzNlMjk3NGJhM2Q3MmQwMzlhMzc4ZDQifQ=="/>
    <w:docVar w:name="KSO_WPS_MARK_KEY" w:val="f2cab1ba-cb3c-43ca-be57-61052c850472"/>
  </w:docVars>
  <w:rsids>
    <w:rsidRoot w:val="1D5B26FA"/>
    <w:rsid w:val="1D5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2024-04-22T03:44:00Z</dcterms:created>
  <dc:creator>Administrator</dc:creator>
  <cp:lastModifiedBy>Administrator</cp:lastModifiedBy>
  <dcterms:modified xsi:type="dcterms:W3CDTF">2024-04-22T03:44:44Z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815F1E37995C4042B921AD1D12B1F261_11</vt:lpwstr>
  </property>
</Properties>
</file>