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</w:pPr>
      <w:r>
        <w:t xml:space="preserve"> </w:t>
      </w:r>
    </w:p>
    <w:p>
      <w:pPr>
        <w:pStyle w:val="4"/>
        <w:jc w:val="center"/>
        <w:outlineLvl w:val="1"/>
      </w:pPr>
      <w:r>
        <w:rPr>
          <w:b/>
          <w:sz w:val="36"/>
        </w:rPr>
        <w:t>第三章 磋商项目技术、服务、商务及其他要求</w:t>
      </w:r>
    </w:p>
    <w:p>
      <w:pPr>
        <w:pStyle w:val="4"/>
        <w:ind w:firstLine="480"/>
      </w:pPr>
      <w:r>
        <w:t xml:space="preserve"> 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>
      <w:pPr>
        <w:pStyle w:val="4"/>
        <w:outlineLvl w:val="2"/>
      </w:pPr>
      <w:r>
        <w:rPr>
          <w:b/>
          <w:sz w:val="28"/>
        </w:rPr>
        <w:t>3.1、采购项目概况</w:t>
      </w:r>
    </w:p>
    <w:p>
      <w:pPr>
        <w:pStyle w:val="4"/>
        <w:ind w:firstLine="480"/>
      </w:pPr>
    </w:p>
    <w:p>
      <w:pPr>
        <w:pStyle w:val="4"/>
      </w:pPr>
    </w:p>
    <w:p>
      <w:pPr>
        <w:pStyle w:val="4"/>
      </w:pPr>
      <w:r>
        <w:t>成都市金牛区人民政府沙河源街道办事处2024年健康体检服务采购项目，共1个包。</w:t>
      </w:r>
    </w:p>
    <w:p>
      <w:pPr>
        <w:pStyle w:val="4"/>
        <w:outlineLvl w:val="2"/>
      </w:pPr>
      <w:r>
        <w:rPr>
          <w:b/>
          <w:sz w:val="28"/>
        </w:rPr>
        <w:t>3.2、服务内容及服务要求</w:t>
      </w:r>
    </w:p>
    <w:p>
      <w:pPr>
        <w:pStyle w:val="4"/>
        <w:outlineLvl w:val="3"/>
      </w:pPr>
      <w:r>
        <w:rPr>
          <w:b/>
          <w:sz w:val="24"/>
        </w:rPr>
        <w:t>3.2.1服务内容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采购包预算金额（元）: 529,047.68</w:t>
      </w:r>
    </w:p>
    <w:p>
      <w:pPr>
        <w:pStyle w:val="4"/>
      </w:pPr>
      <w:r>
        <w:t>采购包最高限价（元）: 529,047.68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678" w:type="dxa"/>
          </w:tcPr>
          <w:p>
            <w:pPr>
              <w:pStyle w:val="4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678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</w:pPr>
            <w:r>
              <w:t>成都市金牛区人民政府沙河源街道办事处2024年健康体检服务采购项目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529,047.68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项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其他未列明行业</w:t>
            </w:r>
          </w:p>
        </w:tc>
        <w:tc>
          <w:tcPr>
            <w:tcW w:w="593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</w:pPr>
            <w:r>
              <w:t>是</w:t>
            </w:r>
          </w:p>
        </w:tc>
        <w:tc>
          <w:tcPr>
            <w:tcW w:w="848" w:type="dxa"/>
          </w:tcPr>
          <w:p>
            <w:pPr>
              <w:pStyle w:val="4"/>
            </w:pPr>
            <w:r>
              <w:t>否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3.2.2服务要求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p>
      <w:pPr>
        <w:pStyle w:val="4"/>
      </w:pPr>
      <w:r>
        <w:t>标的名称：成都市金牛区人民政府沙河源街道办事处2024年健康体检服务采购项目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850"/>
        <w:gridCol w:w="482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>
            <w:pPr>
              <w:pStyle w:val="4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1、供应商应该具有独立的体检场所、能做到检患分离，避免交叉感染。（提供简图）并在体检中心内部设有餐厅并准备早餐，统一安排体检人员在检后用餐。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2、体检工作结束后，供应商要认真做好资料的收集和整理,制定体检人员汇总表（包括姓名、单位、联系电话）及实际体检人员名单明细表。体检人员汇总表、签字表及体检报告（包括本人的体检结果和总检医师的健康情况分析及指导建议），在体检工作结束后10个工作日内由供应商统一送采购人，再由采购人转发给体检人员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3、对异常结果凡需进一步检查确诊的，由供应商向本人提出并给予安排，进一步检查的费用由需复检本人自行承担，费用不计入体检经费内。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4、供应商应落实保密制度，对有可疑肿瘤或其它危害身体健康较大的疾病，先由体检医生报告医疗机构体检工作小组，再由体检工作小组通知采购人具体承办人员，体检医生不宜将病情直接告知体检对象或其他人员，以免造成不必要的担忧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5、供应商应控制每天的体检人数在适当的范围内，并提供体检专场，以确保服务流程顺畅，保障对每一名职工的服务质量。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6、供应商提供的体检报告（个人的、单位的报告）除进行常规的数据分析外，应提供相应的保健知识，以及个性化的健康促进计划。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7、供应商提供的体检时的专家必须是在职；体检后并能安排专家组织健康讲座及报告答疑。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8、供应商应向采购人提供：各标准体检项目、体检注意事项、体检流程图及体检时间。</w:t>
            </w:r>
          </w:p>
          <w:p>
            <w:pPr>
              <w:pStyle w:val="4"/>
              <w:ind w:firstLine="236"/>
              <w:jc w:val="both"/>
            </w:pPr>
            <w:r>
              <w:rPr>
                <w:rFonts w:ascii="宋体" w:hAnsi="宋体" w:eastAsia="宋体" w:cs="宋体"/>
                <w:sz w:val="24"/>
              </w:rPr>
              <w:t>9、体检菜单：本次体检采用“1+X”模式，基础套餐是所有人必检项目，“X1，X2，X3，X4”为选做项目。</w:t>
            </w:r>
          </w:p>
          <w:p>
            <w:pPr>
              <w:pStyle w:val="4"/>
              <w:spacing w:after="120"/>
              <w:jc w:val="center"/>
            </w:pPr>
            <w:r>
              <w:rPr>
                <w:rFonts w:ascii="宋体" w:hAnsi="宋体" w:eastAsia="宋体" w:cs="宋体"/>
                <w:b/>
                <w:sz w:val="32"/>
              </w:rPr>
              <w:t>沙河源街办2024年健康体检基础套餐</w:t>
            </w:r>
          </w:p>
          <w:tbl>
            <w:tblPr>
              <w:tblStyle w:val="2"/>
              <w:tblW w:w="0" w:type="auto"/>
              <w:tblInd w:w="9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  <w:gridCol w:w="1417"/>
              <w:gridCol w:w="1371"/>
              <w:gridCol w:w="431"/>
              <w:gridCol w:w="431"/>
              <w:gridCol w:w="431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</w:p>
              </w:tc>
              <w:tc>
                <w:tcPr>
                  <w:tcW w:w="343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体检项目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检查意义</w:t>
                  </w:r>
                </w:p>
              </w:tc>
              <w:tc>
                <w:tcPr>
                  <w:tcW w:w="526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是否检查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935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男</w:t>
                  </w:r>
                </w:p>
              </w:tc>
              <w:tc>
                <w:tcPr>
                  <w:tcW w:w="19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已婚女</w:t>
                  </w:r>
                </w:p>
              </w:tc>
              <w:tc>
                <w:tcPr>
                  <w:tcW w:w="19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未婚女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化验检查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血细胞分析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主要包含白细胞计数及其分类、红细胞，血红蛋白、血小板等检测，筛查常见感染性疾病及血液系统疾病。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肝脏疾病试验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 xml:space="preserve">评估肝脏功能，筛查肝脏疾病                         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肾脏疾病试验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评估肾脏功能，筛查肾脏疾病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血脂及脂蛋白试验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总胆固醇；甘油三酯；高密度脂蛋白胆固醇；低密度脂蛋白胆固醇；载脂蛋白A1、载脂蛋白B、脂蛋白a、同型半胱氨酸、葡萄糖  （心血管疾病的检测指标，有无高脂血症等）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糖化血红蛋白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评估近三个月机体血糖平均水平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高敏肌钙蛋白T（hs-cTnT）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是心肌损伤的高度特异性标志物。常用于急性心肌梗死的诊断。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肌红蛋白(MYO)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为心肌损伤的标志物之一，与肌钙蛋白联合检查，可用于急性心肌梗死的诊断。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甲状腺激素常规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了解甲状腺激素水平，提示有无甲亢、甲减、自身免疫性甲状腺疾病等疾病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甲胎蛋白异质体AFP-L3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肝癌早期筛查，用于检测早期筛查原发性肝癌、鉴别良恶性肝病、肝脏肿瘤恶性程度血清指标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CEA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系广谱性肿瘤标志物，对大肠癌、胰腺癌的筛查、疗效观察和预后评估有重要的临床意义。在胃、乳腺、肺癌等也可升高。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CA-199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对胰腺癌、胆道肿瘤、胃肠癌等的筛查及疗效监测、评估预后有临床重要意义。急性胰腺炎、胆管炎、胆石症、急性肝炎、肝硬化等可升高。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男性总前列腺特异性抗原TPSA、TPSA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对男性前列腺癌的诊断、疗效观察、评估预后有重要临床意义。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女性糖类抗原CA125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对女性宫颈癌、良性卵巢瘤具有诊断、评估预后有重要临床意义。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糖类抗原CA153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主要用于乳腺癌筛查，疗效监测、预后判断，升高还可见于子宫、卵巢、肝、胰腺、结肠、肺癌等。一些良性乳腺、肝、肺疾病时也可增高。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神经元特异性烯醇化酶（NSE）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筛查与神经内分泌组织起源有关的肿瘤，特别是小细胞肺癌（SCLC）、另外还有神经母细胞瘤等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细胞角蛋白19片段(CK19或CYFRA21-1)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是非小细胞肺癌筛查的首选标志物，对非小细胞肺癌的早期诊断、疗效监测和预后判断均有重要意义。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尿常规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主要包括尿液中尿蛋白、红细胞、白细胞、管型、细菌等项目的检测，有助于糖尿病、尿路感染、肾盂肾炎、肾小球肾炎、肾病等疾病诊断。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常规检查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男性彩超（肝胆胰脾肾输尿管膀胱前列腺）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筛查肝、胆、胰、脾、双肾、输尿管、膀胱、前列腺的结构、形态、大小，筛查各脏器有无良恶性病变。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女性彩超（肝胆胰脾肾输尿管膀胱子宫附件）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筛查肝、胆、胰、脾、双肾、输尿管、膀胱、子宫、附件的结构、形态、大小，筛查各脏器有无良恶性病变。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乳腺及腋下淋巴结彩超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筛查有无乳腺增生症、乳腺囊肿、乳腺肿瘤及淋巴结有无异常等。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甲状腺及颈部淋巴结彩超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了解甲状腺的结构及血流情况等，筛查有无甲状腺结节、囊肿、肿瘤等病变。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胸部CT平扫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筛查支气管、肺部和纵隔有无占位性病变及肺气肿、气胸、胸腔积液、炎症、结核等疾病。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12导联心电图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筛查有无心肌缺血、心肌梗塞、房室传导阻滞、心律失常等疾病。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临床体格检查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一般检查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检查身高、体重、血压、腰围、臀围，评估心脑血管疾病危险因素，辅助判断危险程度。健康评估证据和健康计划依据。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内科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检查面容、心肺、腹部器官、神经系统、四肢的基本状况。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外科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了解浅表淋巴结、甲状腺、乳房、肛门（含直肠指检）、外生殖器、前列腺（男）等基本状况。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眼科（不含色觉）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检查视力、外眼、角膜、结膜、晶状体等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眼压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测量眼球内部压力，筛查青光眼。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眼底摄片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属于无创、直观了解眼底及全身血管情况的技术。协助发现眼底病变,了解全身微血管疾病的情况，尤其是糖尿病视网膜病变、高血压眼底改变等情况。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耳鼻喉科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筛查耳鼻及咽喉部的炎症、息肉及新生物等异常。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96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/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妇科体格检查+宫颈液基细胞学检查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both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了解女性的外阴、阴道、宫颈、子宫及附件的基本状况，宫颈液基细胞学检查用于初筛有无炎症及宫颈癌前病变、宫颈癌等（仅限有性生活史的女性检查）</w:t>
                  </w:r>
                </w:p>
              </w:tc>
              <w:tc>
                <w:tcPr>
                  <w:tcW w:w="13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arial, helvetica, sans-serif" w:hAnsi="arial, helvetica, sans-serif" w:eastAsia="arial, helvetica, sans-serif" w:cs="arial, helvetica, sans-serif"/>
                      <w:color w:val="000000"/>
                      <w:sz w:val="22"/>
                    </w:rPr>
                    <w:t>√</w:t>
                  </w: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/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900" w:type="dxa"/>
                  <w:gridSpan w:val="6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营养早餐，建立健康档案，专家健康咨询，健康报告及报告袋，静脉采血一次性医用材料费、腹部彩超报告费</w:t>
                  </w:r>
                </w:p>
              </w:tc>
            </w:tr>
          </w:tbl>
          <w:p>
            <w:pPr>
              <w:pStyle w:val="4"/>
              <w:jc w:val="both"/>
            </w:pPr>
          </w:p>
          <w:tbl>
            <w:tblPr>
              <w:tblStyle w:val="2"/>
              <w:tblW w:w="0" w:type="auto"/>
              <w:tblInd w:w="9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  <w:gridCol w:w="1721"/>
              <w:gridCol w:w="1383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912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32"/>
                    </w:rPr>
                    <w:t>X1-心脑血管风险筛查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序号</w:t>
                  </w:r>
                </w:p>
              </w:tc>
              <w:tc>
                <w:tcPr>
                  <w:tcW w:w="362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体检项目</w:t>
                  </w:r>
                </w:p>
              </w:tc>
              <w:tc>
                <w:tcPr>
                  <w:tcW w:w="138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检查意义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全血超敏C反应蛋白(CRP)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是一种急性时相反应蛋白。可提示各种急、慢性感染、风湿、类风湿、恶性肿瘤、心肌梗死等。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D--二聚体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主要反映纤维蛋白溶解功能，如果机体血管内有活化的血栓形成及纤维溶解活动，D-二聚体就会升高。D-二聚体增高或阳性见于继发性纤维蛋白溶解功能亢进，心肌梗死、脑梗死、肺栓塞、静脉血栓形成、手术、肿瘤、弥漫性血管内凝血、感染及组织坏死等均可导致D-二聚体升高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心肌损伤酶谱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是心肌、骨骼肌等受损伤的灵敏指标，有助于诊断心肌病、急性心肌梗塞、病毒性心肌炎、炎性肌病等疾病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B型钠尿肽前体（NT-proBNP）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用于辅助心力衰竭的诊断，可用于高血压、糖尿病及血管疾病等高危人群的心力衰竭筛查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心脏常规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动态显示心腔内结构、心脏的搏动和血液流动，评估有无高血压性心脏病、冠心病、先天性心脏病等心脏结构功能改变，是诊断心脏疾病的有效检查手段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颈部动脉（八根）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评估血管壁厚度、有无斑块、有无血管狭窄等情况，诊断有无动脉粥样硬化性病变，协助临床治疗方案选择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67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经颅多普勒（TCD）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无创检测脑血管供血情况，主要用于评价脑动脉狭窄、闭塞或痉挛的部位及程度。</w:t>
                  </w:r>
                </w:p>
              </w:tc>
            </w:tr>
          </w:tbl>
          <w:p>
            <w:pPr>
              <w:pStyle w:val="4"/>
            </w:pPr>
          </w:p>
          <w:tbl>
            <w:tblPr>
              <w:tblStyle w:val="2"/>
              <w:tblW w:w="0" w:type="auto"/>
              <w:tblInd w:w="9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  <w:gridCol w:w="674"/>
              <w:gridCol w:w="1378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32"/>
                    </w:rPr>
                    <w:t>X2-头部检查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序号</w:t>
                  </w:r>
                </w:p>
              </w:tc>
              <w:tc>
                <w:tcPr>
                  <w:tcW w:w="361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体检项目</w:t>
                  </w:r>
                </w:p>
              </w:tc>
              <w:tc>
                <w:tcPr>
                  <w:tcW w:w="137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检查意义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MRA头颅血管（包括含头部MRI平扫及血管）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包括含头部MRI平扫及脑血管成像，用于颅内脑实质病变或脑血管病变的诊断，如诊断头部肿瘤、脑出血、脑梗塞、脑动脉瘤、脑血管狭窄或闭塞等疾病。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动脉硬化检查</w:t>
                  </w: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对肢体动脉的弹性、硬化程度及动脉管腔的阻塞程度进行早期筛查，协助评估早期预测心脑血管疾病（中风、心肌梗塞等）的风险程度及疾病的发展趋势。</w:t>
                  </w:r>
                </w:p>
              </w:tc>
            </w:tr>
          </w:tbl>
          <w:p>
            <w:pPr>
              <w:pStyle w:val="4"/>
              <w:ind w:firstLine="354"/>
              <w:jc w:val="both"/>
            </w:pPr>
          </w:p>
          <w:tbl>
            <w:tblPr>
              <w:tblStyle w:val="2"/>
              <w:tblW w:w="0" w:type="auto"/>
              <w:tblInd w:w="9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  <w:gridCol w:w="1583"/>
              <w:gridCol w:w="1901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910" w:type="dxa"/>
                  <w:gridSpan w:val="3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32"/>
                    </w:rPr>
                    <w:t>X3-消化系统检查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序号</w:t>
                  </w:r>
                </w:p>
              </w:tc>
              <w:tc>
                <w:tcPr>
                  <w:tcW w:w="3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体检项目</w:t>
                  </w:r>
                </w:p>
              </w:tc>
              <w:tc>
                <w:tcPr>
                  <w:tcW w:w="137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检查意义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&quot;times new roman&quot;" w:hAnsi="&quot;times new roman&quot;" w:eastAsia="&quot;times new roman&quot;" w:cs="&quot;times new roman&quot;"/>
                      <w:sz w:val="2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color w:val="000000"/>
                      <w:sz w:val="22"/>
                      <w:vertAlign w:val="superscript"/>
                    </w:rPr>
                    <w:t>13</w:t>
                  </w: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C呼气试验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评估有无幽门螺旋杆菌的感染。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胃泌素-17(G-17)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评估胃粘膜的分泌功能，协助慢性胃病的诊断。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乙肝标志物（6项）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定量了解乙肝感染情况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食物不耐受4项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了解牛奶、鸡蛋、猪肉、小麦4种食物的免疫耐受情况，避免因食物不耐受而引起的多种慢性疾病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超声诊断仪肝纤维化无创诊断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无创定量评估肝纤维化和脂肪肝病变程度，协助慢性肝病的诊断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粪便隐血试验（定量法）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粪便隐血试验又称便潜血试验，是用来检查粪便中隐匿的红细胞或血红蛋白的，是下消化道异常的重要早期预警指标。对大肠癌、息肉、腺瘤的早期筛查意义重大。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EB病毒抗体检测(Rta+EA+VCA)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鼻咽癌是一种因EB病毒导致，具有可传播、死亡率高，误诊率高、临床确诊晚期比例高等特点的癌症。EB病毒抗体RTA三联检（Rta+EA+VCA）——可捕捉鼻咽癌癌变发生的最早时刻, 并完全覆盖EB病毒全基因组，分别显示EBV感染不同时期抗原的表达状态，对鼻咽癌筛查早诊的敏感度和特异性均有很大的提升，真正做到了早发现、早干预、早治疗！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8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异常凝血酶原DCP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用于检测早期筛查原发性肝癌、鉴别良恶性肝病、肝脏肿瘤恶性程度血清指标</w:t>
                  </w:r>
                </w:p>
              </w:tc>
            </w:tr>
          </w:tbl>
          <w:p>
            <w:pPr>
              <w:pStyle w:val="4"/>
            </w:pPr>
          </w:p>
          <w:tbl>
            <w:tblPr>
              <w:tblStyle w:val="2"/>
              <w:tblW w:w="0" w:type="auto"/>
              <w:tblInd w:w="9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0"/>
              <w:gridCol w:w="1211"/>
              <w:gridCol w:w="1369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9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8"/>
                    </w:rPr>
                    <w:t>X4-免疫系统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序号</w:t>
                  </w:r>
                </w:p>
              </w:tc>
              <w:tc>
                <w:tcPr>
                  <w:tcW w:w="36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体检项目</w:t>
                  </w:r>
                </w:p>
              </w:tc>
              <w:tc>
                <w:tcPr>
                  <w:tcW w:w="13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color w:val="000000"/>
                      <w:sz w:val="22"/>
                    </w:rPr>
                    <w:t>检查意义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免疫球蛋白A（IgA）、G（IgG）、M（IgM）、总免疫球蛋白E（IgE）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评估慢性感染性疾病及自身免疫性疾病的有效指标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抗链球菌溶血素O1(ASO)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咽炎、扁桃体炎、猩红热、丹毒、脓皮病、风湿热等感染A组链球菌后，可引起链球菌溶血素O抗体升高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类风湿因子（RF）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用于诊断类风湿关节炎等风湿性疾病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红细胞沉降率（ESR）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常用于协助临床诊治炎症、自身免疫性以及肿瘤性疾病。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5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抗核抗体谱（免疫印迹法）+抗核抗体（IIF）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风湿免疫系统疾病筛查有效指标，协助临床判定有无系统性红斑狼疮、干燥综合征、自身免疫性肝病、硬皮病、类风湿关节炎等疾病。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细胞免疫功能全套百分比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常用于协助诊治免疫缺陷、重症感染等疾病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7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7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2"/>
                    </w:rPr>
                    <w:t>吸及性过敏源特异性IgE7项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left"/>
                  </w:pPr>
                </w:p>
              </w:tc>
            </w:tr>
          </w:tbl>
          <w:p>
            <w:pPr>
              <w:pStyle w:val="4"/>
              <w:ind w:firstLine="585"/>
              <w:jc w:val="both"/>
            </w:pPr>
          </w:p>
          <w:p>
            <w:pPr>
              <w:pStyle w:val="4"/>
              <w:ind w:firstLine="354"/>
              <w:jc w:val="both"/>
            </w:pPr>
            <w:r>
              <w:rPr>
                <w:rFonts w:ascii="宋体" w:hAnsi="宋体" w:eastAsia="宋体" w:cs="宋体"/>
                <w:sz w:val="24"/>
              </w:rPr>
              <w:t>10、体检人数（预估）：男性115，已婚女性37，未婚女性4。注：以最终参加体检人数为准。</w:t>
            </w:r>
          </w:p>
        </w:tc>
      </w:tr>
    </w:tbl>
    <w:p>
      <w:pPr>
        <w:pStyle w:val="4"/>
        <w:outlineLvl w:val="3"/>
      </w:pPr>
      <w:r>
        <w:rPr>
          <w:b/>
          <w:sz w:val="24"/>
        </w:rPr>
        <w:t>3.2.3人员配置要求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详见3.2.2服务要求</w:t>
      </w:r>
    </w:p>
    <w:p>
      <w:pPr>
        <w:pStyle w:val="4"/>
        <w:outlineLvl w:val="3"/>
      </w:pPr>
      <w:r>
        <w:rPr>
          <w:b/>
          <w:sz w:val="24"/>
        </w:rPr>
        <w:t>3.2.4设施设备要求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3.2.2服务要求</w:t>
      </w:r>
    </w:p>
    <w:p>
      <w:pPr>
        <w:pStyle w:val="4"/>
        <w:outlineLvl w:val="3"/>
      </w:pPr>
      <w:r>
        <w:rPr>
          <w:b/>
          <w:sz w:val="24"/>
        </w:rPr>
        <w:t>3.2.5其他要求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无</w:t>
      </w:r>
    </w:p>
    <w:p>
      <w:pPr>
        <w:pStyle w:val="4"/>
        <w:outlineLvl w:val="2"/>
      </w:pPr>
      <w:r>
        <w:rPr>
          <w:b/>
          <w:sz w:val="28"/>
        </w:rPr>
        <w:t>3.3、商务要求</w:t>
      </w:r>
    </w:p>
    <w:p>
      <w:pPr>
        <w:pStyle w:val="4"/>
        <w:outlineLvl w:val="3"/>
      </w:pPr>
      <w:r>
        <w:rPr>
          <w:b/>
          <w:sz w:val="24"/>
        </w:rPr>
        <w:t>3.3.1服务期限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 xml:space="preserve"> 自合同签订之日起30日</w:t>
      </w:r>
    </w:p>
    <w:p>
      <w:pPr>
        <w:pStyle w:val="4"/>
        <w:outlineLvl w:val="3"/>
      </w:pPr>
      <w:r>
        <w:rPr>
          <w:b/>
          <w:sz w:val="24"/>
        </w:rPr>
        <w:t>3.3.2服务地点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采购人指定地点</w:t>
      </w:r>
    </w:p>
    <w:p>
      <w:pPr>
        <w:pStyle w:val="4"/>
        <w:outlineLvl w:val="3"/>
      </w:pPr>
      <w:r>
        <w:rPr>
          <w:b/>
          <w:sz w:val="24"/>
        </w:rPr>
        <w:t>3.3.3考核（验收）标准和方法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双方严格参照《财政部关于进一步加强政府采购需求和履约验收管理的指导意见》（财库[2016]205号）相关规定执行。</w:t>
      </w:r>
    </w:p>
    <w:p>
      <w:pPr>
        <w:pStyle w:val="4"/>
        <w:jc w:val="left"/>
        <w:outlineLvl w:val="3"/>
      </w:pPr>
      <w:r>
        <w:rPr>
          <w:b/>
          <w:sz w:val="24"/>
        </w:rPr>
        <w:t>3.3.4支付方式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一次付清</w:t>
      </w:r>
    </w:p>
    <w:p>
      <w:pPr>
        <w:pStyle w:val="4"/>
        <w:outlineLvl w:val="3"/>
      </w:pPr>
      <w:r>
        <w:rPr>
          <w:b/>
          <w:sz w:val="24"/>
        </w:rPr>
        <w:t>3.3.5支付约定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 付款条件说明： 体检完毕后7个工作日内，成交供应商应提交参检人员明细报表给采购人审核和核算，合同价款的计算根据实际体检人数和成交的单价据实结算，审核通过后的15个工作日内按实际参检人数一次性支付全款。若成交供应商在规定时限内未向采购人递交上述资料，采购人可延期付款 ，达到付款条件起 15 日内，支付合同总金额的 100.00%。</w:t>
      </w:r>
    </w:p>
    <w:p>
      <w:pPr>
        <w:pStyle w:val="4"/>
        <w:outlineLvl w:val="3"/>
      </w:pPr>
      <w:r>
        <w:rPr>
          <w:b/>
          <w:sz w:val="24"/>
        </w:rPr>
        <w:t>3.3.6违约责任及解决争议的方法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  <w:r>
        <w:t>合同履行期间,若双方发生争议，可协商或由有关部门调解解决，协商或调解不成的，由当事人依法维护其合法权益</w:t>
      </w:r>
    </w:p>
    <w:p>
      <w:pPr>
        <w:pStyle w:val="4"/>
        <w:jc w:val="left"/>
        <w:outlineLvl w:val="2"/>
      </w:pPr>
      <w:r>
        <w:rPr>
          <w:b/>
          <w:sz w:val="28"/>
        </w:rPr>
        <w:t>3.4其他要求</w:t>
      </w:r>
    </w:p>
    <w:p>
      <w:pPr>
        <w:pStyle w:val="4"/>
      </w:pPr>
    </w:p>
    <w:p>
      <w:pPr>
        <w:pStyle w:val="4"/>
      </w:pPr>
    </w:p>
    <w:p>
      <w:pPr>
        <w:pStyle w:val="4"/>
        <w:rPr/>
      </w:pPr>
      <w:r>
        <w:rPr>
          <w:rFonts w:hint="eastAsia"/>
          <w:lang w:val="en-US" w:eastAsia="zh-CN"/>
        </w:rPr>
        <w:t>（供应商无需响应）★1、服务期限（因系统固化原因，磋商文件中3.3.1服务期限不适用于本项目，服务期限以此为准）合同签订后10个工作日内开展体检工作，应在30个工作日内完成体检工作。体检人员因特殊原因未能在上述时间内参加体检的，成交供应商应协商安排补检时间。 2、支付约定（因系统固化原因，磋商文件中3.3.5支付约定不适用于本项目，服务期限以此为准）体检完毕后7个工作日内，成交供应商应提交参检人员明细报表给采购人审核和核算，合同价款的计算根据实际体检人数和成交的单价据实结算，审核通过后的15个工作日内按实际参检人数一次性支付全款。若成交供应商在规定时限内未向采购人递交上述资料，采购人可延期付款。</w:t>
      </w:r>
    </w:p>
    <w:p>
      <w:pPr>
        <w:pStyle w:val="4"/>
      </w:pPr>
    </w:p>
    <w:p>
      <w:pPr>
        <w:pStyle w:val="4"/>
      </w:pPr>
      <w:r>
        <w:t xml:space="preserve"> </w:t>
      </w:r>
    </w:p>
    <w:p>
      <w:pPr>
        <w:pStyle w:val="4"/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, helvetica, 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quot;times new roman&quot;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2B8D"/>
    <w:rsid w:val="177F50ED"/>
    <w:rsid w:val="53B52B8D"/>
    <w:rsid w:val="67FF7868"/>
    <w:rsid w:val="77F79321"/>
    <w:rsid w:val="BBBF7779"/>
    <w:rsid w:val="E6E6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2022-04-09T11:57:00Z</dcterms:created>
  <dc:creator>五块钱</dc:creator>
  <cp:lastModifiedBy>喵呜</cp:lastModifiedBy>
  <dcterms:modified xsi:type="dcterms:W3CDTF">2024-03-28T10:38:57Z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71DC0D9D3CC8E841D7D70466D631B950_42</vt:lpwstr>
  </property>
</Properties>
</file>