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以部署无人机自动机库、远程控制巡航的方式，开展龙泉驿区所辖范围内所有森林保护区防火自动监管巡查服务。服务期三年，采购预算60万/年。</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600,000.00</w:t>
      </w:r>
    </w:p>
    <w:p>
      <w:pPr>
        <w:pStyle w:val="4"/>
      </w:pPr>
      <w:r>
        <w:t>采购包最高限价（元）: 600,000.00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龙泉驿区森林防火无人机巡护服务采购项目</w:t>
            </w:r>
          </w:p>
        </w:tc>
        <w:tc>
          <w:tcPr>
            <w:tcW w:w="848" w:type="dxa"/>
          </w:tcPr>
          <w:p>
            <w:pPr>
              <w:pStyle w:val="4"/>
              <w:jc w:val="right"/>
            </w:pPr>
            <w:r>
              <w:t>1.00</w:t>
            </w:r>
          </w:p>
        </w:tc>
        <w:tc>
          <w:tcPr>
            <w:tcW w:w="1356" w:type="dxa"/>
          </w:tcPr>
          <w:p>
            <w:pPr>
              <w:pStyle w:val="4"/>
              <w:jc w:val="right"/>
            </w:pPr>
            <w:r>
              <w:t>600,000.00</w:t>
            </w:r>
          </w:p>
        </w:tc>
        <w:tc>
          <w:tcPr>
            <w:tcW w:w="678" w:type="dxa"/>
          </w:tcPr>
          <w:p>
            <w:pPr>
              <w:pStyle w:val="4"/>
            </w:pPr>
            <w:r>
              <w:t>项</w:t>
            </w:r>
          </w:p>
        </w:tc>
        <w:tc>
          <w:tcPr>
            <w:tcW w:w="678" w:type="dxa"/>
          </w:tcPr>
          <w:p>
            <w:pPr>
              <w:pStyle w:val="4"/>
            </w:pPr>
            <w:r>
              <w:t>租赁和商务服务业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标的名称：龙泉驿区森林防火无人机巡护服务采购项目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01"/>
        <w:gridCol w:w="404"/>
        <w:gridCol w:w="77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宋体" w:hAnsi="宋体" w:eastAsia="宋体" w:cs="宋体"/>
                <w:color w:val="000000"/>
                <w:sz w:val="24"/>
              </w:rPr>
              <w:t>航线规划与执飞：根据我局在各阶段森林防火工作的重点工作任务要求，确定巡检巡查区域，结合林区地形、气候等因素，规划合理的航线，依据需要获取的图像精度和林区实际状况，合理设置无人机的飞行高度，制定无人机飞行路径，确保无人机能够在安全、省时的前提下完成巡检巡查任务，确保无人机能够全面覆盖目标区域（见表1）。</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8"/>
              <w:gridCol w:w="1523"/>
              <w:gridCol w:w="1523"/>
              <w:gridCol w:w="1523"/>
              <w:gridCol w:w="1523"/>
              <w:gridCol w:w="97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区域名称</w:t>
                  </w:r>
                </w:p>
              </w:tc>
              <w:tc>
                <w:tcPr>
                  <w:tcW w:w="40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东经纬度</w:t>
                  </w:r>
                </w:p>
              </w:tc>
              <w:tc>
                <w:tcPr>
                  <w:tcW w:w="40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南经纬度</w:t>
                  </w:r>
                </w:p>
              </w:tc>
              <w:tc>
                <w:tcPr>
                  <w:tcW w:w="40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西经纬度</w:t>
                  </w:r>
                </w:p>
              </w:tc>
              <w:tc>
                <w:tcPr>
                  <w:tcW w:w="40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北经纬度</w:t>
                  </w:r>
                </w:p>
              </w:tc>
              <w:tc>
                <w:tcPr>
                  <w:tcW w:w="40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面积（km²）</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钟家山</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桃源村104.31456327</w:t>
                  </w:r>
                </w:p>
                <w:p>
                  <w:pPr>
                    <w:pStyle w:val="4"/>
                    <w:jc w:val="left"/>
                  </w:pPr>
                  <w:r>
                    <w:rPr>
                      <w:rFonts w:ascii="宋体" w:hAnsi="宋体" w:eastAsia="宋体" w:cs="宋体"/>
                      <w:color w:val="000000"/>
                      <w:sz w:val="24"/>
                    </w:rPr>
                    <w:t>30.55328085</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仰天窝104.30415630</w:t>
                  </w:r>
                </w:p>
                <w:p>
                  <w:pPr>
                    <w:pStyle w:val="4"/>
                    <w:jc w:val="left"/>
                  </w:pPr>
                  <w:r>
                    <w:rPr>
                      <w:rFonts w:ascii="宋体" w:hAnsi="宋体" w:eastAsia="宋体" w:cs="宋体"/>
                      <w:color w:val="000000"/>
                      <w:sz w:val="24"/>
                    </w:rPr>
                    <w:t>30.54228557</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花果村104.28299904</w:t>
                  </w:r>
                </w:p>
                <w:p>
                  <w:pPr>
                    <w:pStyle w:val="4"/>
                    <w:jc w:val="left"/>
                  </w:pPr>
                  <w:r>
                    <w:rPr>
                      <w:rFonts w:ascii="宋体" w:hAnsi="宋体" w:eastAsia="宋体" w:cs="宋体"/>
                      <w:color w:val="000000"/>
                      <w:sz w:val="24"/>
                    </w:rPr>
                    <w:t>30.55111885</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美满村104.30570370</w:t>
                  </w:r>
                </w:p>
                <w:p>
                  <w:pPr>
                    <w:pStyle w:val="4"/>
                    <w:jc w:val="left"/>
                  </w:pPr>
                  <w:r>
                    <w:rPr>
                      <w:rFonts w:ascii="宋体" w:hAnsi="宋体" w:eastAsia="宋体" w:cs="宋体"/>
                      <w:color w:val="000000"/>
                      <w:sz w:val="24"/>
                    </w:rPr>
                    <w:t>30.56808336</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4.733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罗家湾</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麻风顶104.34260845</w:t>
                  </w:r>
                </w:p>
                <w:p>
                  <w:pPr>
                    <w:pStyle w:val="4"/>
                    <w:jc w:val="left"/>
                  </w:pPr>
                  <w:r>
                    <w:rPr>
                      <w:rFonts w:ascii="宋体" w:hAnsi="宋体" w:eastAsia="宋体" w:cs="宋体"/>
                      <w:color w:val="000000"/>
                      <w:sz w:val="24"/>
                    </w:rPr>
                    <w:t>30.59433122</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红旗村104.33239460</w:t>
                  </w:r>
                </w:p>
                <w:p>
                  <w:pPr>
                    <w:pStyle w:val="4"/>
                    <w:jc w:val="left"/>
                  </w:pPr>
                  <w:r>
                    <w:rPr>
                      <w:rFonts w:ascii="宋体" w:hAnsi="宋体" w:eastAsia="宋体" w:cs="宋体"/>
                      <w:color w:val="000000"/>
                      <w:sz w:val="24"/>
                    </w:rPr>
                    <w:t>30.58103147</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毛家水库104.31187818</w:t>
                  </w:r>
                </w:p>
                <w:p>
                  <w:pPr>
                    <w:pStyle w:val="4"/>
                    <w:jc w:val="left"/>
                  </w:pPr>
                  <w:r>
                    <w:rPr>
                      <w:rFonts w:ascii="宋体" w:hAnsi="宋体" w:eastAsia="宋体" w:cs="宋体"/>
                      <w:color w:val="000000"/>
                      <w:sz w:val="24"/>
                    </w:rPr>
                    <w:t>30.58918769</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山门寺水库104.33029175</w:t>
                  </w:r>
                </w:p>
                <w:p>
                  <w:pPr>
                    <w:pStyle w:val="4"/>
                    <w:jc w:val="left"/>
                  </w:pPr>
                  <w:r>
                    <w:rPr>
                      <w:rFonts w:ascii="宋体" w:hAnsi="宋体" w:eastAsia="宋体" w:cs="宋体"/>
                      <w:color w:val="000000"/>
                      <w:sz w:val="24"/>
                    </w:rPr>
                    <w:t>30.60703816</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5.7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高石岩</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李家湾104.41401084</w:t>
                  </w:r>
                </w:p>
                <w:p>
                  <w:pPr>
                    <w:pStyle w:val="4"/>
                    <w:jc w:val="left"/>
                  </w:pPr>
                  <w:r>
                    <w:rPr>
                      <w:rFonts w:ascii="宋体" w:hAnsi="宋体" w:eastAsia="宋体" w:cs="宋体"/>
                      <w:color w:val="000000"/>
                      <w:sz w:val="24"/>
                    </w:rPr>
                    <w:t>30.62191429</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止马店104.39822674</w:t>
                  </w:r>
                </w:p>
                <w:p>
                  <w:pPr>
                    <w:pStyle w:val="4"/>
                    <w:jc w:val="left"/>
                  </w:pPr>
                  <w:r>
                    <w:rPr>
                      <w:rFonts w:ascii="宋体" w:hAnsi="宋体" w:eastAsia="宋体" w:cs="宋体"/>
                      <w:color w:val="000000"/>
                      <w:sz w:val="24"/>
                    </w:rPr>
                    <w:t>30.60585619</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草坪村104.37805653</w:t>
                  </w:r>
                </w:p>
                <w:p>
                  <w:pPr>
                    <w:pStyle w:val="4"/>
                    <w:jc w:val="left"/>
                  </w:pPr>
                  <w:r>
                    <w:rPr>
                      <w:rFonts w:ascii="宋体" w:hAnsi="宋体" w:eastAsia="宋体" w:cs="宋体"/>
                      <w:color w:val="000000"/>
                      <w:sz w:val="24"/>
                    </w:rPr>
                    <w:t>30.62118375</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702电视台104.39590931</w:t>
                  </w:r>
                </w:p>
                <w:p>
                  <w:pPr>
                    <w:pStyle w:val="4"/>
                    <w:jc w:val="left"/>
                  </w:pPr>
                  <w:r>
                    <w:rPr>
                      <w:rFonts w:ascii="宋体" w:hAnsi="宋体" w:eastAsia="宋体" w:cs="宋体"/>
                      <w:color w:val="000000"/>
                      <w:sz w:val="24"/>
                    </w:rPr>
                    <w:t>30.63676736</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石经寺</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照壁村104.36614709</w:t>
                  </w:r>
                </w:p>
                <w:p>
                  <w:pPr>
                    <w:pStyle w:val="4"/>
                    <w:jc w:val="left"/>
                  </w:pPr>
                  <w:r>
                    <w:rPr>
                      <w:rFonts w:ascii="宋体" w:hAnsi="宋体" w:eastAsia="宋体" w:cs="宋体"/>
                      <w:color w:val="000000"/>
                      <w:sz w:val="24"/>
                    </w:rPr>
                    <w:t>30.50528846</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石经村104.35192108</w:t>
                  </w:r>
                </w:p>
                <w:p>
                  <w:pPr>
                    <w:pStyle w:val="4"/>
                    <w:jc w:val="left"/>
                  </w:pPr>
                  <w:r>
                    <w:rPr>
                      <w:rFonts w:ascii="宋体" w:hAnsi="宋体" w:eastAsia="宋体" w:cs="宋体"/>
                      <w:color w:val="000000"/>
                      <w:sz w:val="24"/>
                    </w:rPr>
                    <w:t>30.49146935</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红花村104.33454165</w:t>
                  </w:r>
                </w:p>
                <w:p>
                  <w:pPr>
                    <w:pStyle w:val="4"/>
                    <w:jc w:val="left"/>
                  </w:pPr>
                  <w:r>
                    <w:rPr>
                      <w:rFonts w:ascii="宋体" w:hAnsi="宋体" w:eastAsia="宋体" w:cs="宋体"/>
                      <w:color w:val="000000"/>
                      <w:sz w:val="24"/>
                    </w:rPr>
                    <w:t>30.50602264</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大田村104.34910512</w:t>
                  </w:r>
                </w:p>
                <w:p>
                  <w:pPr>
                    <w:pStyle w:val="4"/>
                    <w:jc w:val="left"/>
                  </w:pPr>
                  <w:r>
                    <w:rPr>
                      <w:rFonts w:ascii="宋体" w:hAnsi="宋体" w:eastAsia="宋体" w:cs="宋体"/>
                      <w:color w:val="000000"/>
                      <w:sz w:val="24"/>
                    </w:rPr>
                    <w:t>30.51887721</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7.181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金龙寺</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大石包104.38021018</w:t>
                  </w:r>
                </w:p>
                <w:p>
                  <w:pPr>
                    <w:pStyle w:val="4"/>
                    <w:jc w:val="left"/>
                  </w:pPr>
                  <w:r>
                    <w:rPr>
                      <w:rFonts w:ascii="宋体" w:hAnsi="宋体" w:eastAsia="宋体" w:cs="宋体"/>
                      <w:color w:val="000000"/>
                      <w:sz w:val="24"/>
                    </w:rPr>
                    <w:t>30.69117214</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金龙湖104.36539650</w:t>
                  </w:r>
                </w:p>
                <w:p>
                  <w:pPr>
                    <w:pStyle w:val="4"/>
                    <w:jc w:val="left"/>
                  </w:pPr>
                  <w:r>
                    <w:rPr>
                      <w:rFonts w:ascii="宋体" w:hAnsi="宋体" w:eastAsia="宋体" w:cs="宋体"/>
                      <w:color w:val="000000"/>
                      <w:sz w:val="24"/>
                    </w:rPr>
                    <w:t>30.67689652</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大包村104.34865952</w:t>
                  </w:r>
                </w:p>
                <w:p>
                  <w:pPr>
                    <w:pStyle w:val="4"/>
                    <w:jc w:val="left"/>
                  </w:pPr>
                  <w:r>
                    <w:rPr>
                      <w:rFonts w:ascii="宋体" w:hAnsi="宋体" w:eastAsia="宋体" w:cs="宋体"/>
                      <w:color w:val="000000"/>
                      <w:sz w:val="24"/>
                    </w:rPr>
                    <w:t>30.68992476</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杏花湖104.36427097</w:t>
                  </w:r>
                </w:p>
                <w:p>
                  <w:pPr>
                    <w:pStyle w:val="4"/>
                    <w:jc w:val="left"/>
                  </w:pPr>
                  <w:r>
                    <w:rPr>
                      <w:rFonts w:ascii="宋体" w:hAnsi="宋体" w:eastAsia="宋体" w:cs="宋体"/>
                      <w:color w:val="000000"/>
                      <w:sz w:val="24"/>
                    </w:rPr>
                    <w:t>30.70408923</w:t>
                  </w:r>
                </w:p>
              </w:tc>
              <w:tc>
                <w:tcPr>
                  <w:tcW w:w="4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7</w:t>
                  </w:r>
                </w:p>
              </w:tc>
            </w:tr>
          </w:tbl>
          <w:p>
            <w:pPr>
              <w:pStyle w:val="4"/>
              <w:jc w:val="center"/>
            </w:pPr>
            <w:r>
              <w:rPr>
                <w:rFonts w:ascii="宋体" w:hAnsi="宋体" w:eastAsia="宋体" w:cs="宋体"/>
                <w:color w:val="000000"/>
                <w:sz w:val="24"/>
              </w:rPr>
              <w:t>表1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color w:val="000000"/>
                <w:sz w:val="24"/>
              </w:rPr>
              <w:t>在森林防火重点保障时段（每年1月1日-5月31日），每日安排5台无人机同时执飞，单日5台无人机累计执飞时间不低于20小时，单日单台无人机执飞时间不低于4小时；非重点保障时段（每年6月1日-12月31日）每日安排5台无人机执飞，单日5台无人机累计执飞不低于10小时,单日单台无人机执飞时间不低于2小时。同时根据临时性工作任务安排，要求服务供应商提供不限时段、不限区域的临时性应急执飞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ind w:firstLine="480"/>
              <w:jc w:val="both"/>
            </w:pPr>
            <w:r>
              <w:rPr>
                <w:rFonts w:ascii="宋体" w:hAnsi="宋体" w:eastAsia="宋体" w:cs="宋体"/>
                <w:sz w:val="24"/>
              </w:rPr>
              <w:t>人员要求：</w:t>
            </w:r>
          </w:p>
          <w:p>
            <w:pPr>
              <w:pStyle w:val="4"/>
              <w:ind w:firstLine="480"/>
              <w:jc w:val="both"/>
            </w:pPr>
            <w:r>
              <w:rPr>
                <w:rFonts w:ascii="宋体" w:hAnsi="宋体" w:eastAsia="宋体" w:cs="宋体"/>
                <w:color w:val="000000"/>
                <w:sz w:val="24"/>
              </w:rPr>
              <w:t>a</w:t>
            </w:r>
            <w:r>
              <w:rPr>
                <w:rFonts w:ascii="宋体" w:hAnsi="宋体" w:eastAsia="宋体" w:cs="宋体"/>
                <w:sz w:val="24"/>
              </w:rPr>
              <w:t>、提供2名能驾驶无人机的技术人员常驻到采购人指定现场完成无人机执飞巡护服务，时间从签订合同第二天开始直至项目结束。（提供相关人员身份证和民用无人驾驶航空器操控员执照或轻型民用无人驾驶航空器安全操控理论培训合格证明复印件并加盖供应商公章）</w:t>
            </w:r>
          </w:p>
          <w:p>
            <w:pPr>
              <w:pStyle w:val="4"/>
              <w:ind w:firstLine="480"/>
              <w:jc w:val="both"/>
            </w:pPr>
            <w:r>
              <w:rPr>
                <w:rFonts w:ascii="宋体" w:hAnsi="宋体" w:eastAsia="宋体" w:cs="宋体"/>
                <w:color w:val="000000"/>
                <w:sz w:val="24"/>
              </w:rPr>
              <w:t>b</w:t>
            </w:r>
            <w:r>
              <w:rPr>
                <w:rFonts w:ascii="宋体" w:hAnsi="宋体" w:eastAsia="宋体" w:cs="宋体"/>
                <w:sz w:val="24"/>
              </w:rPr>
              <w:t>、供应商除开2名常驻驾驶无人机的技术人员，还需额外提供1名技术人员常驻采购人无人机巡护调度平台，参与重大节日展示，以及出现警情情况下应急事件处置、指挥调度等工作。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both"/>
            </w:pPr>
            <w:r>
              <w:rPr>
                <w:rFonts w:ascii="宋体" w:hAnsi="宋体" w:eastAsia="宋体" w:cs="宋体"/>
                <w:sz w:val="24"/>
              </w:rPr>
              <w:t>供应商须承诺中标（成交）后，签订合同后10日内开始执飞巡查以及完成相应的飞行器空域申请批文，空域高度要求距离地面150米-300米，禁止黑飞。未在要求时限内开始提供服务和提交空域申请批文的，采购人有权终止合作，因此造成的所有损失全部由供应商承担。（提供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ind w:firstLine="480"/>
              <w:jc w:val="both"/>
            </w:pPr>
            <w:r>
              <w:rPr>
                <w:rFonts w:ascii="宋体" w:hAnsi="宋体" w:eastAsia="宋体" w:cs="宋体"/>
                <w:sz w:val="24"/>
              </w:rPr>
              <w:t>供应商应为本项目实施配置必要设备及技术参数。</w:t>
            </w:r>
          </w:p>
          <w:tbl>
            <w:tblPr>
              <w:tblStyle w:val="2"/>
              <w:tblW w:w="5000"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12"/>
              <w:gridCol w:w="1092"/>
              <w:gridCol w:w="3561"/>
              <w:gridCol w:w="712"/>
              <w:gridCol w:w="712"/>
              <w:gridCol w:w="71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序号</w:t>
                  </w:r>
                </w:p>
              </w:tc>
              <w:tc>
                <w:tcPr>
                  <w:tcW w:w="17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名称</w:t>
                  </w:r>
                </w:p>
              </w:tc>
              <w:tc>
                <w:tcPr>
                  <w:tcW w:w="138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技术参数及要求</w:t>
                  </w:r>
                </w:p>
              </w:tc>
              <w:tc>
                <w:tcPr>
                  <w:tcW w:w="22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单位</w:t>
                  </w:r>
                </w:p>
              </w:tc>
              <w:tc>
                <w:tcPr>
                  <w:tcW w:w="2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数量</w:t>
                  </w:r>
                </w:p>
              </w:tc>
              <w:tc>
                <w:tcPr>
                  <w:tcW w:w="22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w:t>
                  </w:r>
                </w:p>
              </w:tc>
              <w:tc>
                <w:tcPr>
                  <w:tcW w:w="17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60"/>
                    <w:jc w:val="center"/>
                  </w:pPr>
                  <w:r>
                    <w:rPr>
                      <w:rFonts w:ascii="宋体" w:hAnsi="宋体" w:eastAsia="宋体" w:cs="宋体"/>
                      <w:sz w:val="24"/>
                    </w:rPr>
                    <w:t>双光谱无人机</w:t>
                  </w:r>
                </w:p>
              </w:tc>
              <w:tc>
                <w:tcPr>
                  <w:tcW w:w="1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裸机重量：飞行器裸机重量小于1450克；</w:t>
                  </w:r>
                </w:p>
                <w:p>
                  <w:pPr>
                    <w:pStyle w:val="4"/>
                    <w:jc w:val="both"/>
                  </w:pPr>
                  <w:r>
                    <w:rPr>
                      <w:rFonts w:ascii="宋体" w:hAnsi="宋体" w:eastAsia="宋体" w:cs="宋体"/>
                      <w:sz w:val="24"/>
                    </w:rPr>
                    <w:t>尺寸：小于等于350mmx400mmx200mm（不含桨叶）；</w:t>
                  </w:r>
                </w:p>
                <w:p>
                  <w:pPr>
                    <w:pStyle w:val="4"/>
                    <w:jc w:val="both"/>
                  </w:pPr>
                  <w:r>
                    <w:rPr>
                      <w:rFonts w:ascii="宋体" w:hAnsi="宋体" w:eastAsia="宋体" w:cs="宋体"/>
                      <w:sz w:val="24"/>
                    </w:rPr>
                    <w:t>轴距：对角线轴距小于500毫米；</w:t>
                  </w:r>
                </w:p>
                <w:p>
                  <w:pPr>
                    <w:pStyle w:val="4"/>
                    <w:jc w:val="left"/>
                  </w:pPr>
                  <w:r>
                    <w:rPr>
                      <w:rFonts w:ascii="宋体" w:hAnsi="宋体" w:eastAsia="宋体" w:cs="宋体"/>
                      <w:sz w:val="24"/>
                    </w:rPr>
                    <w:t>最大水平飞行速度：不低于20米/秒；</w:t>
                  </w:r>
                </w:p>
                <w:p>
                  <w:pPr>
                    <w:pStyle w:val="4"/>
                    <w:jc w:val="left"/>
                  </w:pPr>
                  <w:r>
                    <w:rPr>
                      <w:rFonts w:ascii="宋体" w:hAnsi="宋体" w:eastAsia="宋体" w:cs="宋体"/>
                      <w:sz w:val="24"/>
                    </w:rPr>
                    <w:t>最长飞行时间：不低于50分钟；</w:t>
                  </w:r>
                </w:p>
                <w:p>
                  <w:pPr>
                    <w:pStyle w:val="4"/>
                    <w:jc w:val="both"/>
                  </w:pPr>
                  <w:r>
                    <w:rPr>
                      <w:rFonts w:ascii="宋体" w:hAnsi="宋体" w:eastAsia="宋体" w:cs="宋体"/>
                      <w:sz w:val="24"/>
                    </w:rPr>
                    <w:t>定位悬停精度：无人机支持RTK定位，在RTK正常工作时飞行器悬停精度：水平±0.1m，垂直±0.1m；</w:t>
                  </w:r>
                </w:p>
                <w:p>
                  <w:pPr>
                    <w:pStyle w:val="4"/>
                    <w:jc w:val="left"/>
                  </w:pPr>
                  <w:r>
                    <w:rPr>
                      <w:rFonts w:ascii="宋体" w:hAnsi="宋体" w:eastAsia="宋体" w:cs="宋体"/>
                      <w:sz w:val="24"/>
                    </w:rPr>
                    <w:t>夜航灯：飞行器集成夜航灯，用于夜晚使用的位置确定；</w:t>
                  </w:r>
                </w:p>
                <w:p>
                  <w:pPr>
                    <w:pStyle w:val="4"/>
                    <w:jc w:val="left"/>
                  </w:pPr>
                  <w:r>
                    <w:rPr>
                      <w:rFonts w:ascii="宋体" w:hAnsi="宋体" w:eastAsia="宋体" w:cs="宋体"/>
                      <w:sz w:val="24"/>
                    </w:rPr>
                    <w:t>六向避障：机身支持六向避障；</w:t>
                  </w:r>
                </w:p>
                <w:p>
                  <w:pPr>
                    <w:pStyle w:val="4"/>
                    <w:jc w:val="left"/>
                  </w:pPr>
                  <w:r>
                    <w:rPr>
                      <w:rFonts w:ascii="宋体" w:hAnsi="宋体" w:eastAsia="宋体" w:cs="宋体"/>
                      <w:sz w:val="24"/>
                    </w:rPr>
                    <w:t>4G图传：飞行器支持使用4G网络进行图传的回传；</w:t>
                  </w:r>
                </w:p>
                <w:p>
                  <w:pPr>
                    <w:pStyle w:val="4"/>
                    <w:jc w:val="left"/>
                  </w:pPr>
                  <w:r>
                    <w:rPr>
                      <w:rFonts w:ascii="宋体" w:hAnsi="宋体" w:eastAsia="宋体" w:cs="宋体"/>
                      <w:sz w:val="24"/>
                    </w:rPr>
                    <w:t>相机类型：具有长焦可见光、广角可见光和红外热成像相机；</w:t>
                  </w:r>
                </w:p>
                <w:p>
                  <w:pPr>
                    <w:pStyle w:val="4"/>
                    <w:jc w:val="left"/>
                  </w:pPr>
                  <w:r>
                    <w:rPr>
                      <w:rFonts w:ascii="宋体" w:hAnsi="宋体" w:eastAsia="宋体" w:cs="宋体"/>
                      <w:sz w:val="24"/>
                    </w:rPr>
                    <w:t>广角相机CMOS：相机CMOS不低于1/1.32英寸；</w:t>
                  </w:r>
                </w:p>
                <w:p>
                  <w:pPr>
                    <w:pStyle w:val="4"/>
                    <w:jc w:val="left"/>
                  </w:pPr>
                  <w:r>
                    <w:rPr>
                      <w:rFonts w:ascii="宋体" w:hAnsi="宋体" w:eastAsia="宋体" w:cs="宋体"/>
                      <w:sz w:val="24"/>
                    </w:rPr>
                    <w:t>广角相机像素：具备广角相机，有效像素不低于4800万；</w:t>
                  </w:r>
                </w:p>
                <w:p>
                  <w:pPr>
                    <w:pStyle w:val="4"/>
                    <w:jc w:val="left"/>
                  </w:pPr>
                  <w:r>
                    <w:rPr>
                      <w:rFonts w:ascii="宋体" w:hAnsi="宋体" w:eastAsia="宋体" w:cs="宋体"/>
                      <w:sz w:val="24"/>
                    </w:rPr>
                    <w:t>长焦相机CMOS：具备长焦相机，相机CMOS不低于1/2英寸；</w:t>
                  </w:r>
                </w:p>
                <w:p>
                  <w:pPr>
                    <w:pStyle w:val="4"/>
                    <w:jc w:val="left"/>
                  </w:pPr>
                  <w:r>
                    <w:rPr>
                      <w:rFonts w:ascii="宋体" w:hAnsi="宋体" w:eastAsia="宋体" w:cs="宋体"/>
                      <w:sz w:val="24"/>
                    </w:rPr>
                    <w:t>长焦相机像素：像素数不低于1200万；</w:t>
                  </w:r>
                </w:p>
                <w:p>
                  <w:pPr>
                    <w:pStyle w:val="4"/>
                    <w:jc w:val="left"/>
                  </w:pPr>
                  <w:r>
                    <w:rPr>
                      <w:rFonts w:ascii="宋体" w:hAnsi="宋体" w:eastAsia="宋体" w:cs="宋体"/>
                      <w:sz w:val="24"/>
                    </w:rPr>
                    <w:t>可见光相机变焦倍数：变焦倍数不低于56倍；</w:t>
                  </w:r>
                </w:p>
                <w:p>
                  <w:pPr>
                    <w:pStyle w:val="4"/>
                    <w:jc w:val="left"/>
                  </w:pPr>
                  <w:r>
                    <w:rPr>
                      <w:rFonts w:ascii="宋体" w:hAnsi="宋体" w:eastAsia="宋体" w:cs="宋体"/>
                      <w:sz w:val="24"/>
                    </w:rPr>
                    <w:t>红外传感器分辨率：不低于640*512；</w:t>
                  </w:r>
                </w:p>
                <w:p>
                  <w:pPr>
                    <w:pStyle w:val="4"/>
                    <w:jc w:val="left"/>
                  </w:pPr>
                  <w:r>
                    <w:rPr>
                      <w:rFonts w:ascii="宋体" w:hAnsi="宋体" w:eastAsia="宋体" w:cs="宋体"/>
                      <w:sz w:val="24"/>
                    </w:rPr>
                    <w:t>红外传感器分辨率：支持利用AI算法进行像素扩展，扩展分辨率大于1280*1024；</w:t>
                  </w:r>
                </w:p>
                <w:p>
                  <w:pPr>
                    <w:pStyle w:val="4"/>
                    <w:jc w:val="left"/>
                  </w:pPr>
                  <w:r>
                    <w:rPr>
                      <w:rFonts w:ascii="宋体" w:hAnsi="宋体" w:eastAsia="宋体" w:cs="宋体"/>
                      <w:sz w:val="24"/>
                    </w:rPr>
                    <w:t>红外传感器帧率：不低于30Hz；</w:t>
                  </w:r>
                </w:p>
                <w:p>
                  <w:pPr>
                    <w:pStyle w:val="4"/>
                    <w:jc w:val="left"/>
                  </w:pPr>
                  <w:r>
                    <w:rPr>
                      <w:rFonts w:ascii="宋体" w:hAnsi="宋体" w:eastAsia="宋体" w:cs="宋体"/>
                      <w:sz w:val="24"/>
                    </w:rPr>
                    <w:t>红外热成像相机变焦倍数：支持不低于28倍数码变焦；</w:t>
                  </w:r>
                </w:p>
                <w:p>
                  <w:pPr>
                    <w:pStyle w:val="4"/>
                    <w:jc w:val="left"/>
                  </w:pPr>
                  <w:r>
                    <w:rPr>
                      <w:rFonts w:ascii="宋体" w:hAnsi="宋体" w:eastAsia="宋体" w:cs="宋体"/>
                      <w:sz w:val="24"/>
                    </w:rPr>
                    <w:t>变焦方式：支持可见光与红外热成像联动变焦；</w:t>
                  </w:r>
                </w:p>
                <w:p>
                  <w:pPr>
                    <w:pStyle w:val="4"/>
                    <w:jc w:val="left"/>
                  </w:pPr>
                  <w:r>
                    <w:rPr>
                      <w:rFonts w:ascii="宋体" w:hAnsi="宋体" w:eastAsia="宋体" w:cs="宋体"/>
                      <w:sz w:val="24"/>
                    </w:rPr>
                    <w:t>稳定系统：具备三轴机械增稳云台（俯仰、横滚、平移）；</w:t>
                  </w:r>
                </w:p>
                <w:p>
                  <w:pPr>
                    <w:pStyle w:val="4"/>
                    <w:jc w:val="both"/>
                  </w:pPr>
                  <w:r>
                    <w:rPr>
                      <w:rFonts w:ascii="宋体" w:hAnsi="宋体" w:eastAsia="宋体" w:cs="宋体"/>
                      <w:sz w:val="24"/>
                    </w:rPr>
                    <w:t>可见光相机视频：可见光相机支持4k30p视频录制。</w:t>
                  </w:r>
                </w:p>
              </w:tc>
              <w:tc>
                <w:tcPr>
                  <w:tcW w:w="2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60"/>
                    <w:jc w:val="center"/>
                  </w:pPr>
                  <w:r>
                    <w:rPr>
                      <w:rFonts w:ascii="宋体" w:hAnsi="宋体" w:eastAsia="宋体" w:cs="宋体"/>
                      <w:sz w:val="24"/>
                    </w:rPr>
                    <w:t>5</w:t>
                  </w: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6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c>
                <w:tcPr>
                  <w:tcW w:w="17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60"/>
                    <w:jc w:val="center"/>
                  </w:pPr>
                  <w:r>
                    <w:rPr>
                      <w:rFonts w:ascii="宋体" w:hAnsi="宋体" w:eastAsia="宋体" w:cs="宋体"/>
                      <w:sz w:val="24"/>
                    </w:rPr>
                    <w:t>无人值守机场（不含飞行器）</w:t>
                  </w:r>
                </w:p>
              </w:tc>
              <w:tc>
                <w:tcPr>
                  <w:tcW w:w="1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尺寸：小于等于600mmx600mmx500mm（舱盖闭合，不含气象站）；</w:t>
                  </w:r>
                </w:p>
                <w:p>
                  <w:pPr>
                    <w:pStyle w:val="4"/>
                    <w:jc w:val="left"/>
                  </w:pPr>
                  <w:r>
                    <w:rPr>
                      <w:rFonts w:ascii="宋体" w:hAnsi="宋体" w:eastAsia="宋体" w:cs="宋体"/>
                      <w:sz w:val="24"/>
                    </w:rPr>
                    <w:t>重量：设备重量小于等于35kg（不包含飞行器）；</w:t>
                  </w:r>
                </w:p>
                <w:p>
                  <w:pPr>
                    <w:pStyle w:val="4"/>
                    <w:jc w:val="left"/>
                  </w:pPr>
                  <w:r>
                    <w:rPr>
                      <w:rFonts w:ascii="宋体" w:hAnsi="宋体" w:eastAsia="宋体" w:cs="宋体"/>
                      <w:sz w:val="24"/>
                    </w:rPr>
                    <w:t>最大输入功率：设备最大输入功率小于等于1000W；</w:t>
                  </w:r>
                </w:p>
                <w:p>
                  <w:pPr>
                    <w:pStyle w:val="4"/>
                    <w:jc w:val="left"/>
                  </w:pPr>
                  <w:r>
                    <w:rPr>
                      <w:rFonts w:ascii="宋体" w:hAnsi="宋体" w:eastAsia="宋体" w:cs="宋体"/>
                      <w:sz w:val="24"/>
                    </w:rPr>
                    <w:t>工作环境温度：设备工作温度范围不小于-20°C至45°C；</w:t>
                  </w:r>
                </w:p>
                <w:p>
                  <w:pPr>
                    <w:pStyle w:val="4"/>
                    <w:jc w:val="left"/>
                  </w:pPr>
                  <w:r>
                    <w:rPr>
                      <w:rFonts w:ascii="宋体" w:hAnsi="宋体" w:eastAsia="宋体" w:cs="宋体"/>
                      <w:sz w:val="24"/>
                    </w:rPr>
                    <w:t>IP防护等级：机库设备具备不低于IP55的防护等级；</w:t>
                  </w:r>
                </w:p>
                <w:p>
                  <w:pPr>
                    <w:pStyle w:val="4"/>
                    <w:jc w:val="left"/>
                  </w:pPr>
                  <w:r>
                    <w:rPr>
                      <w:rFonts w:ascii="宋体" w:hAnsi="宋体" w:eastAsia="宋体" w:cs="宋体"/>
                      <w:sz w:val="24"/>
                    </w:rPr>
                    <w:t>IP防护等级：飞行器具备不低于IP54防护等级；</w:t>
                  </w:r>
                </w:p>
                <w:p>
                  <w:pPr>
                    <w:pStyle w:val="4"/>
                    <w:jc w:val="left"/>
                  </w:pPr>
                  <w:r>
                    <w:rPr>
                      <w:rFonts w:ascii="宋体" w:hAnsi="宋体" w:eastAsia="宋体" w:cs="宋体"/>
                      <w:sz w:val="24"/>
                    </w:rPr>
                    <w:t>最大抗风速度：不小于12m/s；</w:t>
                  </w:r>
                </w:p>
                <w:p>
                  <w:pPr>
                    <w:pStyle w:val="4"/>
                    <w:jc w:val="left"/>
                  </w:pPr>
                  <w:r>
                    <w:rPr>
                      <w:rFonts w:ascii="宋体" w:hAnsi="宋体" w:eastAsia="宋体" w:cs="宋体"/>
                      <w:sz w:val="24"/>
                    </w:rPr>
                    <w:t>最大作业半径：设备理想情况最大作业半径不小于10公里；</w:t>
                  </w:r>
                </w:p>
                <w:p>
                  <w:pPr>
                    <w:pStyle w:val="4"/>
                    <w:jc w:val="left"/>
                  </w:pPr>
                  <w:r>
                    <w:rPr>
                      <w:rFonts w:ascii="宋体" w:hAnsi="宋体" w:eastAsia="宋体" w:cs="宋体"/>
                      <w:sz w:val="24"/>
                    </w:rPr>
                    <w:t>RTK基站卫星接收频率：机库以及飞行器设备所含RTK基站可同时接收GPS、GLONASS、BEIDOU、GALILEO四种卫星信号。</w:t>
                  </w:r>
                </w:p>
                <w:p>
                  <w:pPr>
                    <w:pStyle w:val="4"/>
                    <w:jc w:val="left"/>
                  </w:pPr>
                  <w:r>
                    <w:rPr>
                      <w:rFonts w:ascii="宋体" w:hAnsi="宋体" w:eastAsia="宋体" w:cs="宋体"/>
                      <w:sz w:val="24"/>
                    </w:rPr>
                    <w:t>RTK基站定位精准度：设备所含RTK基站定位精度：水平精度小于等于1cm+1ppm（RMS）；垂直精度小于等于2cm+1ppm（RMS）；</w:t>
                  </w:r>
                </w:p>
                <w:p>
                  <w:pPr>
                    <w:pStyle w:val="4"/>
                    <w:jc w:val="both"/>
                  </w:pPr>
                  <w:r>
                    <w:rPr>
                      <w:rFonts w:ascii="宋体" w:hAnsi="宋体" w:eastAsia="宋体" w:cs="宋体"/>
                      <w:sz w:val="24"/>
                    </w:rPr>
                    <w:t>充电性能：设备充电输出电压大于等于28V；</w:t>
                  </w:r>
                </w:p>
                <w:p>
                  <w:pPr>
                    <w:pStyle w:val="4"/>
                    <w:jc w:val="both"/>
                  </w:pPr>
                  <w:r>
                    <w:rPr>
                      <w:rFonts w:ascii="宋体" w:hAnsi="宋体" w:eastAsia="宋体" w:cs="宋体"/>
                      <w:sz w:val="24"/>
                    </w:rPr>
                    <w:t>网络接入：设备支持通过4G实现网络接入；</w:t>
                  </w:r>
                </w:p>
                <w:p>
                  <w:pPr>
                    <w:pStyle w:val="4"/>
                    <w:jc w:val="left"/>
                  </w:pPr>
                  <w:r>
                    <w:rPr>
                      <w:rFonts w:ascii="宋体" w:hAnsi="宋体" w:eastAsia="宋体" w:cs="宋体"/>
                      <w:sz w:val="24"/>
                    </w:rPr>
                    <w:t>传感器：设备内置风速、雨量、温度、湿度、水浸等传感器；</w:t>
                  </w:r>
                </w:p>
                <w:p>
                  <w:pPr>
                    <w:pStyle w:val="4"/>
                    <w:jc w:val="both"/>
                  </w:pPr>
                  <w:r>
                    <w:rPr>
                      <w:rFonts w:ascii="宋体" w:hAnsi="宋体" w:eastAsia="宋体" w:cs="宋体"/>
                      <w:sz w:val="24"/>
                    </w:rPr>
                    <w:t>搭载传感器：风速传感器、雨量传感器、环境温度传感器、水浸传感器、舱内温度传感器、舱内湿度传感器。</w:t>
                  </w:r>
                </w:p>
                <w:p>
                  <w:pPr>
                    <w:pStyle w:val="4"/>
                    <w:jc w:val="both"/>
                  </w:pPr>
                  <w:r>
                    <w:rPr>
                      <w:rFonts w:ascii="宋体" w:hAnsi="宋体" w:eastAsia="宋体" w:cs="宋体"/>
                      <w:sz w:val="24"/>
                    </w:rPr>
                    <w:t>监控相机：支持双摄监控，可监控舱内和舱外情况</w:t>
                  </w:r>
                </w:p>
              </w:tc>
              <w:tc>
                <w:tcPr>
                  <w:tcW w:w="2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台</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60"/>
                    <w:jc w:val="center"/>
                  </w:pPr>
                  <w:r>
                    <w:rPr>
                      <w:rFonts w:ascii="宋体" w:hAnsi="宋体" w:eastAsia="宋体" w:cs="宋体"/>
                      <w:sz w:val="24"/>
                    </w:rPr>
                    <w:t>5</w:t>
                  </w: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60"/>
                    <w:jc w:val="center"/>
                  </w:pPr>
                </w:p>
              </w:tc>
            </w:tr>
          </w:tbl>
          <w:p>
            <w:pPr>
              <w:pStyle w:val="4"/>
              <w:ind w:firstLine="480"/>
              <w:jc w:val="both"/>
            </w:pPr>
            <w:r>
              <w:rPr>
                <w:rFonts w:ascii="宋体" w:hAnsi="宋体" w:eastAsia="宋体" w:cs="宋体"/>
                <w:sz w:val="24"/>
              </w:rPr>
              <w:t>注：供应商中标（成交）后，签订合同前，须给采购人提供上述产品技术参数的佐证资料（产品购置发票或产品租赁合同、产品彩页或产品说明书或产品检测报告）；以上产品所有权归供应商所有。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ind w:firstLine="480"/>
              <w:jc w:val="both"/>
            </w:pPr>
            <w:r>
              <w:rPr>
                <w:rFonts w:ascii="宋体" w:hAnsi="宋体" w:eastAsia="宋体" w:cs="宋体"/>
                <w:color w:val="000000"/>
                <w:sz w:val="24"/>
              </w:rPr>
              <w:t>事件响应与处置：在执飞任务执行期间，服务供应商须对温度异常、烟雾等异常事件在1分钟内响应，向相关街镇负责人、管护站人员报告，同时报局森林防火与林业执法科，报告异常事件发现时间、事件概况、所在经纬度等信息，如有必要同步推送图片和视频资料，为事件的处置提供便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jc w:val="both"/>
            </w:pPr>
            <w:r>
              <w:rPr>
                <w:rFonts w:ascii="微软雅黑" w:hAnsi="微软雅黑" w:eastAsia="微软雅黑" w:cs="微软雅黑"/>
                <w:color w:val="000000"/>
                <w:sz w:val="24"/>
              </w:rPr>
              <w:t xml:space="preserve">      </w:t>
            </w:r>
            <w:r>
              <w:rPr>
                <w:rFonts w:ascii="宋体" w:hAnsi="宋体" w:eastAsia="宋体" w:cs="宋体"/>
                <w:color w:val="000000"/>
                <w:sz w:val="24"/>
              </w:rPr>
              <w:t>图像采集与分析：在巡查巡检飞行过程中，服务供应商须通过搭载的高分辨率摄像头和热成像相机，实时拍摄并采集林区可见光和热成像图像，利用图像处理技术和人工智能算法，对采集的图像数据进行深入分析，实现温度异常和烟雾的自动识别与预警，同时通过分析可见光图像，监测林区的变化情况，对发现的异常情况及时汇总向森林防火与林业执法科报告，便于及时响应和处置，预测和预防森林火灾的发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ind w:firstLine="480"/>
              <w:jc w:val="left"/>
            </w:pPr>
            <w:r>
              <w:rPr>
                <w:rFonts w:ascii="宋体" w:hAnsi="宋体" w:eastAsia="宋体" w:cs="宋体"/>
                <w:color w:val="000000"/>
                <w:sz w:val="24"/>
              </w:rPr>
              <w:t>在服务期内，服务供应商须按月、半年、年度提供无人机巡检巡查飞行报告。</w:t>
            </w:r>
          </w:p>
          <w:p>
            <w:pPr>
              <w:pStyle w:val="4"/>
              <w:ind w:firstLine="480"/>
              <w:jc w:val="left"/>
            </w:pPr>
            <w:r>
              <w:rPr>
                <w:rFonts w:ascii="宋体" w:hAnsi="宋体" w:eastAsia="宋体" w:cs="宋体"/>
                <w:b/>
                <w:color w:val="000000"/>
                <w:sz w:val="24"/>
              </w:rPr>
              <w:t>无人机巡检巡查飞行报告内容包括：</w:t>
            </w:r>
          </w:p>
          <w:p>
            <w:pPr>
              <w:pStyle w:val="4"/>
              <w:ind w:firstLine="480"/>
              <w:jc w:val="both"/>
            </w:pPr>
            <w:r>
              <w:rPr>
                <w:rFonts w:ascii="宋体" w:hAnsi="宋体" w:eastAsia="宋体" w:cs="宋体"/>
                <w:color w:val="000000"/>
                <w:sz w:val="24"/>
              </w:rPr>
              <w:t>a、执飞区域情况：描述执飞航线、覆盖面积、执飞时长等情况；</w:t>
            </w:r>
          </w:p>
          <w:p>
            <w:pPr>
              <w:pStyle w:val="4"/>
              <w:ind w:firstLine="480"/>
              <w:jc w:val="both"/>
            </w:pPr>
            <w:r>
              <w:rPr>
                <w:rFonts w:ascii="宋体" w:hAnsi="宋体" w:eastAsia="宋体" w:cs="宋体"/>
                <w:color w:val="000000"/>
                <w:sz w:val="24"/>
              </w:rPr>
              <w:t>b、火灾隐患分析：报告当期林区森林防火工作的各类潜在火灾隐患，提出相应的预警和应对措施；</w:t>
            </w:r>
          </w:p>
          <w:p>
            <w:pPr>
              <w:pStyle w:val="4"/>
              <w:ind w:firstLine="480"/>
              <w:jc w:val="both"/>
            </w:pPr>
            <w:r>
              <w:rPr>
                <w:rFonts w:ascii="宋体" w:hAnsi="宋体" w:eastAsia="宋体" w:cs="宋体"/>
                <w:color w:val="000000"/>
                <w:sz w:val="24"/>
              </w:rPr>
              <w:t>c、林区变化情况：报告当期监测林区的动态变化，为森林防火工作提供决策依据；</w:t>
            </w:r>
          </w:p>
          <w:p>
            <w:pPr>
              <w:pStyle w:val="4"/>
              <w:ind w:firstLine="480"/>
              <w:jc w:val="both"/>
            </w:pPr>
            <w:r>
              <w:rPr>
                <w:rFonts w:ascii="宋体" w:hAnsi="宋体" w:eastAsia="宋体" w:cs="宋体"/>
                <w:color w:val="000000"/>
                <w:sz w:val="24"/>
              </w:rPr>
              <w:t>d、巡检巡查总结：对整个巡检巡查任务进行总结，评估工作效果。</w:t>
            </w:r>
          </w:p>
          <w:p>
            <w:pPr>
              <w:pStyle w:val="4"/>
              <w:jc w:val="both"/>
            </w:pPr>
            <w:r>
              <w:rPr>
                <w:rFonts w:ascii="宋体" w:hAnsi="宋体" w:eastAsia="宋体" w:cs="宋体"/>
                <w:color w:val="000000"/>
                <w:sz w:val="24"/>
              </w:rPr>
              <w:t xml:space="preserve">   e、预警统计及处置记录等。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ind w:firstLine="480"/>
              <w:jc w:val="left"/>
            </w:pPr>
            <w:r>
              <w:rPr>
                <w:rFonts w:ascii="宋体" w:hAnsi="宋体" w:eastAsia="宋体" w:cs="宋体"/>
                <w:color w:val="000000"/>
                <w:sz w:val="24"/>
              </w:rPr>
              <w:t>签定合同后15日内，供应商需及时把本项目的飞行计划通知给作业空域内现有的其他作业单位且做好相关协调工作。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10</w:t>
            </w:r>
          </w:p>
        </w:tc>
        <w:tc>
          <w:tcPr>
            <w:tcW w:w="2769" w:type="dxa"/>
          </w:tcPr>
          <w:p>
            <w:pPr>
              <w:pStyle w:val="4"/>
              <w:ind w:firstLine="480"/>
              <w:jc w:val="both"/>
            </w:pPr>
            <w:r>
              <w:rPr>
                <w:rFonts w:ascii="宋体" w:hAnsi="宋体" w:eastAsia="宋体" w:cs="宋体"/>
                <w:color w:val="000000"/>
                <w:sz w:val="24"/>
              </w:rPr>
              <w:t>考核要求：</w:t>
            </w:r>
          </w:p>
          <w:p>
            <w:pPr>
              <w:pStyle w:val="4"/>
              <w:ind w:firstLine="480"/>
              <w:jc w:val="both"/>
            </w:pPr>
            <w:r>
              <w:rPr>
                <w:rFonts w:ascii="宋体" w:hAnsi="宋体" w:eastAsia="宋体" w:cs="宋体"/>
                <w:sz w:val="24"/>
              </w:rPr>
              <w:t>本项目服务期限为三年，合同一年一签。采购人每年将对成交供应商进行考核，若每年度末考核达到80分及以上且满足采购人要求的，第二年继续进行续签；若每年度末考核结果未达到80分且不满足采购人要求的，采购人有权终止合同；此条及考核表仅用于业主对成交供应商服务考核使用，不在本次评审范围内。</w:t>
            </w:r>
          </w:p>
          <w:p>
            <w:pPr>
              <w:pStyle w:val="4"/>
              <w:jc w:val="both"/>
            </w:pPr>
            <w:r>
              <w:rPr>
                <w:rFonts w:ascii="&quot;times new roman&quot;" w:hAnsi="&quot;times new roman&quot;" w:eastAsia="&quot;times new roman&quot;" w:cs="&quot;times new roman&quot;"/>
                <w:sz w:val="18"/>
              </w:rPr>
              <w:t xml:space="preserve"> </w:t>
            </w:r>
            <w:r>
              <w:rPr>
                <w:rFonts w:ascii="宋体" w:hAnsi="宋体" w:eastAsia="宋体" w:cs="宋体"/>
                <w:sz w:val="24"/>
              </w:rPr>
              <w:t>附：考核表</w:t>
            </w:r>
          </w:p>
          <w:tbl>
            <w:tblPr>
              <w:tblStyle w:val="2"/>
              <w:tblW w:w="5000"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656"/>
              <w:gridCol w:w="2807"/>
              <w:gridCol w:w="1956"/>
              <w:gridCol w:w="108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17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考核内容</w:t>
                  </w:r>
                </w:p>
              </w:tc>
              <w:tc>
                <w:tcPr>
                  <w:tcW w:w="81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得分标准内容</w:t>
                  </w:r>
                </w:p>
              </w:tc>
              <w:tc>
                <w:tcPr>
                  <w:tcW w:w="2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考核</w:t>
                  </w:r>
                  <w:r>
                    <w:br w:type="textWrapping"/>
                  </w:r>
                  <w:r>
                    <w:rPr>
                      <w:rFonts w:ascii="宋体" w:hAnsi="宋体" w:eastAsia="宋体" w:cs="宋体"/>
                      <w:b/>
                      <w:sz w:val="24"/>
                    </w:rPr>
                    <w:t>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服务质量（20分）</w:t>
                  </w: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巡护时设备是否进行按业主要求配足配齐。</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完全按要求配备的得5分；</w:t>
                  </w:r>
                </w:p>
                <w:p>
                  <w:pPr>
                    <w:pStyle w:val="4"/>
                    <w:jc w:val="left"/>
                  </w:pPr>
                  <w:r>
                    <w:rPr>
                      <w:rFonts w:ascii="宋体" w:hAnsi="宋体" w:eastAsia="宋体" w:cs="宋体"/>
                      <w:sz w:val="24"/>
                    </w:rPr>
                    <w:t>未完全按要求配备的得3分；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项目的组织计划是否周密、实施有序，各环节衔接顺畅。</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项目的整体巡护内容及效果是否严格达到要求。</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4"/>
                    </w:rPr>
                    <w:t>事件响应与处置</w:t>
                  </w:r>
                  <w:r>
                    <w:rPr>
                      <w:rFonts w:ascii="宋体" w:hAnsi="宋体" w:eastAsia="宋体" w:cs="宋体"/>
                      <w:sz w:val="24"/>
                    </w:rPr>
                    <w:t>是否严格达到要求。</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服务时效（20分）</w:t>
                  </w: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常驻项目技术人员是否按要求及时处理发现问题并改进，有记录。</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进度计划合理高效，严格达到要求。</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响应及时，对提出的需求及时满足。</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售前售后全方位快速响应。</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服务能</w:t>
                  </w:r>
                </w:p>
                <w:p>
                  <w:pPr>
                    <w:pStyle w:val="4"/>
                    <w:jc w:val="center"/>
                  </w:pPr>
                  <w:r>
                    <w:rPr>
                      <w:rFonts w:ascii="宋体" w:hAnsi="宋体" w:eastAsia="宋体" w:cs="宋体"/>
                      <w:sz w:val="24"/>
                    </w:rPr>
                    <w:t>力（20分）</w:t>
                  </w: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能够及时发现并解决问题，避免对项目造成影响。</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项目组织程序规范，服务人员熟练掌握各工作流程及内容。</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完善的售前和售后服务保障制度。</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合理预测风险，制定相关预案，快速妥善处理突发问题。</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服务态度（20分）</w:t>
                  </w: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工作认真负责、积极主动。</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与项目相关各方沟通顺畅、高效、协作性强。</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未与项目相关各方发生任何冲突。</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vMerge w:val="continue"/>
                  <w:tcBorders>
                    <w:top w:val="nil"/>
                    <w:left w:val="single" w:color="000000" w:sz="4" w:space="0"/>
                    <w:bottom w:val="single" w:color="000000" w:sz="4" w:space="0"/>
                    <w:right w:val="single" w:color="000000" w:sz="4" w:space="0"/>
                  </w:tcBorders>
                  <w:vAlign w:val="top"/>
                </w:tcP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遵纪守法，尊重他人，按客户要求及时响应。</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完全达到要求的得5分；</w:t>
                  </w:r>
                </w:p>
                <w:p>
                  <w:pPr>
                    <w:pStyle w:val="4"/>
                    <w:jc w:val="both"/>
                  </w:pPr>
                  <w:r>
                    <w:rPr>
                      <w:rFonts w:ascii="宋体" w:hAnsi="宋体" w:eastAsia="宋体" w:cs="宋体"/>
                      <w:sz w:val="24"/>
                    </w:rPr>
                    <w:t>未完全达到要求的得3分；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综合评价（20分）</w:t>
                  </w:r>
                </w:p>
              </w:tc>
              <w:tc>
                <w:tcPr>
                  <w:tcW w:w="11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整体服务评价</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优秀：20分</w:t>
                  </w:r>
                </w:p>
                <w:p>
                  <w:pPr>
                    <w:pStyle w:val="4"/>
                    <w:jc w:val="both"/>
                  </w:pPr>
                  <w:r>
                    <w:rPr>
                      <w:rFonts w:ascii="宋体" w:hAnsi="宋体" w:eastAsia="宋体" w:cs="宋体"/>
                      <w:sz w:val="24"/>
                    </w:rPr>
                    <w:t>良好：15分</w:t>
                  </w:r>
                </w:p>
                <w:p>
                  <w:pPr>
                    <w:pStyle w:val="4"/>
                    <w:jc w:val="both"/>
                  </w:pPr>
                  <w:r>
                    <w:rPr>
                      <w:rFonts w:ascii="宋体" w:hAnsi="宋体" w:eastAsia="宋体" w:cs="宋体"/>
                      <w:sz w:val="24"/>
                    </w:rPr>
                    <w:t>合格：10分</w:t>
                  </w:r>
                </w:p>
                <w:p>
                  <w:pPr>
                    <w:pStyle w:val="4"/>
                    <w:jc w:val="both"/>
                  </w:pPr>
                  <w:r>
                    <w:rPr>
                      <w:rFonts w:ascii="宋体" w:hAnsi="宋体" w:eastAsia="宋体" w:cs="宋体"/>
                      <w:sz w:val="24"/>
                    </w:rPr>
                    <w:t>不合格：0分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95"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总分：</w:t>
                  </w:r>
                </w:p>
              </w:tc>
              <w:tc>
                <w:tcPr>
                  <w:tcW w:w="2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bl>
          <w:p>
            <w:pPr>
              <w:pStyle w:val="4"/>
              <w:ind w:firstLine="480"/>
              <w:jc w:val="both"/>
            </w:pPr>
          </w:p>
          <w:p>
            <w:pPr>
              <w:pStyle w:val="4"/>
            </w:pPr>
          </w:p>
          <w:p>
            <w:pPr>
              <w:pStyle w:val="4"/>
            </w:pPr>
            <w:r>
              <w:t xml:space="preserve"> </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供应商为本项目实施配置专业技术人员。</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供应商为本项目实施配置必要设备。</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1、知识产权：供应商应保证所提供的服务或其任何一部分均不会侵犯任何第三方的专利权、商标权或著作权。 2、不可抗力：因不可抗力导致成交供应商无法完全履行合同，则已履行部分的费用，以预算表为依据，采购人与成交供应商双方协商据实结算。 3、其他未尽事宜由采购人和成交供应商协商，在签订采购合同时进行约定。</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项目验收：分段验收，半年一次，合同年度内共2次。 验收标准: 验收严格按照《财政部关于进一步加强政府采购需求和履约验收管理的指导意见》（川财采〔2016〕205号）、《财政部关于印发&lt;政府采购需求管理办法&gt;的通知》（财库〔2021〕22号）。 验收方式：成交供应商参与并提出验收申请，合同年度内验收分为无人机巡护项目实施半年后验收1次，一年期满后整体验收1次。项目实施半年后及一年期满后由成交供应商邀请相关街镇负责人、管护站人员进行初验，并出具验收报告，初验合格后由成交供应商向农业农村局提出验收申请，农业农村局组织相关人员及时进行抽验，并出具验收报告。 验收内容：本项目技术服务要求、商务</w:t>
      </w:r>
      <w:bookmarkStart w:id="0" w:name="_GoBack"/>
      <w:bookmarkEnd w:id="0"/>
      <w:r>
        <w:t>要求、合同履约质量以及应当由成交供应商提供的其他相关证明材料。</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合同签订后，成交供应商提供对应金额真实有效合法票据后 ，达到付款条件起 10 日内，支付合同总金额的 50.00%。</w:t>
      </w:r>
    </w:p>
    <w:p>
      <w:pPr>
        <w:pStyle w:val="4"/>
      </w:pPr>
      <w:r>
        <w:t>采购包1： 付款条件说明： 自6个月期限届满之日起，且经采购人验收合格后，提供对应金额真实有效合法票据 ，达到付款条件起 10 日内，支付合同总金额的 30.00%。</w:t>
      </w:r>
    </w:p>
    <w:p>
      <w:pPr>
        <w:pStyle w:val="4"/>
      </w:pPr>
      <w:r>
        <w:t>采购包1： 付款条件说明： 合同到期且项目验收合格后，提供对应金额真实有效合法票据 ，达到付款条件起 10 日内，支付合同总金额的 20.00%。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违约责任： 甲方违约责任 （1）甲方无正当理由拒不组织验收的，甲方应偿付合同总价百分之五的违约金； （2）甲方逾期支付服务费的，除应及时付足货款外，应向乙方偿付欠款总额万分之一/天的违约金； （3）甲方偿付的违约金不足以弥补乙方损失的，还应按乙方损失尚未弥补的部分，支付赔偿金给乙方。 乙方违约责任 （1）乙方交付的巡护设备及服务质量不符合要求的，乙方应向甲方支付合同总价的百分之五的违约金，并须在合同规定的时间内更换合格的防控物资，否则，视作乙方违约，按本条本款下述第“（2）”项规定由乙方偿付违约赔偿金给甲方。 （2）乙方不能及时组织防治物资或不能及时进行防控作业的，应向甲方偿付合同总价的百分之五的违约金。 （3）乙方偿付的违约金不足以弥补甲方损失的，还应按甲方损失尚未弥补的部分，支付赔偿金给甲方。 争议解决办法: 合同履行期间,若双方发生争议，可协商或由有关部门调解解决，协商或调解不成的，由当事人依法向采购人所在地仲裁委员会提起仲裁。</w:t>
      </w:r>
    </w:p>
    <w:p>
      <w:pPr>
        <w:pStyle w:val="4"/>
        <w:jc w:val="left"/>
        <w:outlineLvl w:val="2"/>
      </w:pPr>
      <w:r>
        <w:rPr>
          <w:b/>
          <w:sz w:val="28"/>
        </w:rPr>
        <w:t>3.4其他要求</w:t>
      </w:r>
    </w:p>
    <w:p>
      <w:pPr>
        <w:pStyle w:val="4"/>
      </w:pPr>
    </w:p>
    <w:p>
      <w:pPr>
        <w:pStyle w:val="4"/>
      </w:pPr>
    </w:p>
    <w:p>
      <w:pPr>
        <w:pStyle w:val="4"/>
      </w:pPr>
      <w:r>
        <w:t>（1）商务要求 服务期限：3年，采购合同一年一签，采购人每年将对成交供应商进行考核，考核合格后签订下一年度合同。（注：因系统原因，磋商文件中的3.4其他要求中的商务要求与磋商文件中3.3.商务要求中的内容不一致，以3.4其他要求中的商务要求为准。） （2）报价构成:供应商报价应是最终用户合同年度验收合格后的总价，包括防控服务所需防治物资采购、人工费、安全文明费、交通运输费、设备使用费、田间作业费、保险费、管理费、税费等完成本项目的全部费用。（注：本项目报价为合同年度内验收合格后的总价，本项目采购预算60万元/年）。 ★（3）安全责任：在履行合同过程中，因供应商自身或其工作人员在履行职务过程中的疏忽、失职、过错等故意或者过失原因造成的人员安全责任及事故责任由供应商负责；如对采购人造成损失的，包括但不限于采购人本身的财产损失、由此而导致的采购人对任何第三方的法律责任等，成交供应商对此应承担相应的责任。（提供承诺函） （4）服务方案编制要求：针对本项目提供的需求分析(包含①本项目背景分析、②项目实施概况及项目工作目标、③项目重难点分析工作、④服务要求分析)；针对本项目提供的整体巡护方案（包括①日常巡护、②火场侦察、③防火早期处置、④通讯保障、⑤数据传输、⑥飞行计划、⑦人员组织协调及组织架构等。)；针对本项目提供的组织进度计划（包括①工作流程安排、②进度计划及工期安排、③应急保障措施方案等）。 （5）售后服务方案编制需包含：①售后服务目标及服务范围；②后期巡护保障；③售后服务及维护工作流程；④特殊情况应急及补救措施； （6）具有一定的履约经验。 （7）若评审得分、最后报价、技术指标得分均相同的，成交候选供应商并列的情况下，优先推荐成交候选供应商为少数民 族地区的为第一成交候选供应商（供应商注册地为少数民族地区或提供相应佐证材料）。 （8）针对磋商文件第二章2.4.9中“供应商应按照客户端操作要求，对应磋商文件的每项实质性要求，逐一如实响应”，除磋商文件中的明确要求进行单独响应或承诺的实质性要求外，对于其他实质性要求，供应商在《投标(响应) 函》中以“我单位完全接受和理解本项目采购文件规定的实质性要求”进行承诺即视为响应。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Y2FhOTdlM2Y2NWViMzczOWZjOGQwOGUzMDA4MDcifQ=="/>
  </w:docVars>
  <w:rsids>
    <w:rsidRoot w:val="33EA2E33"/>
    <w:rsid w:val="33EA2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2024-04-18T02:29:00Z</dcterms:created>
  <dc:creator>只若初见</dc:creator>
  <cp:lastModifiedBy>只若初见</cp:lastModifiedBy>
  <dcterms:modified xsi:type="dcterms:W3CDTF">2024-04-18T02:29:50Z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D6B7B0EE6F0841F1B5464D42D5195BD7_11</vt:lpwstr>
  </property>
</Properties>
</file>