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color w:val="auto"/>
          <w:sz w:val="28"/>
          <w:szCs w:val="28"/>
          <w:highlight w:val="none"/>
          <w:lang w:val="en-US" w:eastAsia="zh-CN"/>
        </w:rPr>
      </w:pPr>
      <w:r>
        <w:rPr>
          <w:rFonts w:hint="eastAsia"/>
          <w:b/>
          <w:bCs/>
          <w:color w:val="auto"/>
          <w:sz w:val="28"/>
          <w:szCs w:val="28"/>
          <w:highlight w:val="none"/>
          <w:lang w:val="en-US" w:eastAsia="zh-CN"/>
        </w:rPr>
        <w:t>特定资格条件：</w:t>
      </w:r>
    </w:p>
    <w:p>
      <w:pPr>
        <w:pStyle w:val="5"/>
        <w:ind w:firstLine="560" w:firstLineChars="200"/>
        <w:rPr>
          <w:rFonts w:hint="default" w:ascii="Times New Roman" w:hAnsi="Times New Roman" w:eastAsia="方正仿宋" w:cs="Times New Roman"/>
          <w:color w:val="0000FF"/>
          <w:kern w:val="2"/>
          <w:sz w:val="28"/>
          <w:szCs w:val="28"/>
          <w:highlight w:val="none"/>
          <w:lang w:val="en-US" w:eastAsia="zh-CN" w:bidi="ar-SA"/>
        </w:rPr>
      </w:pPr>
      <w:r>
        <w:rPr>
          <w:rFonts w:hint="eastAsia" w:eastAsia="方正仿宋" w:cs="Times New Roman"/>
          <w:color w:val="0000FF"/>
          <w:kern w:val="2"/>
          <w:sz w:val="28"/>
          <w:szCs w:val="28"/>
          <w:highlight w:val="none"/>
          <w:lang w:val="en-US" w:eastAsia="zh-CN" w:bidi="ar-SA"/>
        </w:rPr>
        <w:t>专门面向中小企业。</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0"/>
        <w:rPr>
          <w:rFonts w:hint="eastAsia"/>
          <w:b/>
          <w:bCs/>
          <w:color w:val="auto"/>
          <w:sz w:val="28"/>
          <w:szCs w:val="28"/>
          <w:highlight w:val="none"/>
          <w:lang w:val="en-US" w:eastAsia="zh-CN"/>
        </w:rPr>
      </w:pPr>
      <w:r>
        <w:rPr>
          <w:rFonts w:hint="eastAsia"/>
          <w:b/>
          <w:bCs/>
          <w:color w:val="auto"/>
          <w:sz w:val="28"/>
          <w:szCs w:val="28"/>
          <w:highlight w:val="none"/>
          <w:lang w:val="en-US" w:eastAsia="zh-CN"/>
        </w:rPr>
        <w:t>3.1采购项目概况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b w:val="0"/>
          <w:bCs w:val="0"/>
          <w:color w:val="auto"/>
          <w:sz w:val="28"/>
          <w:szCs w:val="28"/>
          <w:highlight w:val="none"/>
          <w:lang w:val="en-US" w:eastAsia="zh-CN"/>
        </w:rPr>
      </w:pPr>
      <w:r>
        <w:rPr>
          <w:rFonts w:hint="eastAsia"/>
          <w:b w:val="0"/>
          <w:bCs w:val="0"/>
          <w:color w:val="auto"/>
          <w:sz w:val="28"/>
          <w:szCs w:val="28"/>
          <w:highlight w:val="none"/>
          <w:lang w:val="en-US" w:eastAsia="zh-CN"/>
        </w:rPr>
        <w:t>本项目共一包，为成都市双流区人民政府怡心街道办事处绿化管护项目。</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b/>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b/>
          <w:bCs/>
          <w:color w:val="auto"/>
          <w:sz w:val="28"/>
          <w:szCs w:val="28"/>
          <w:highlight w:val="none"/>
          <w:lang w:val="en-US" w:eastAsia="zh-CN"/>
        </w:rPr>
      </w:pPr>
      <w:r>
        <w:rPr>
          <w:rFonts w:hint="eastAsia"/>
          <w:b/>
          <w:bCs/>
          <w:color w:val="auto"/>
          <w:sz w:val="28"/>
          <w:szCs w:val="28"/>
          <w:highlight w:val="none"/>
          <w:lang w:val="en-US" w:eastAsia="zh-CN"/>
        </w:rPr>
        <w:t>3.2.2服务要求</w:t>
      </w:r>
      <w:bookmarkStart w:id="0" w:name="bookmark105"/>
      <w:bookmarkEnd w:id="0"/>
      <w:bookmarkStart w:id="1" w:name="bookmark167"/>
      <w:bookmarkStart w:id="2" w:name="bookmark166"/>
      <w:bookmarkStart w:id="3" w:name="bookmark168"/>
    </w:p>
    <w:bookmarkEnd w:id="1"/>
    <w:bookmarkEnd w:id="2"/>
    <w:bookmarkEnd w:id="3"/>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4"/>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★一、服务内容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4"/>
        <w:rPr>
          <w:rFonts w:hint="eastAsia" w:ascii="Times New Roman" w:hAnsi="Times New Roman" w:cs="Times New Roman"/>
          <w:b w:val="0"/>
          <w:bCs w:val="0"/>
          <w:color w:val="auto"/>
          <w:sz w:val="28"/>
          <w:szCs w:val="22"/>
          <w:highlight w:val="none"/>
          <w:lang w:val="en-US" w:eastAsia="zh-CN"/>
        </w:rPr>
      </w:pPr>
      <w:r>
        <w:rPr>
          <w:rFonts w:hint="eastAsia"/>
          <w:b w:val="0"/>
          <w:bCs w:val="0"/>
          <w:color w:val="auto"/>
          <w:sz w:val="28"/>
          <w:szCs w:val="28"/>
          <w:highlight w:val="none"/>
          <w:lang w:val="en-US" w:eastAsia="zh-CN"/>
        </w:rPr>
        <w:t>怡心街道办事处</w:t>
      </w:r>
      <w:r>
        <w:rPr>
          <w:rFonts w:hint="eastAsia" w:ascii="Times New Roman" w:hAnsi="Times New Roman" w:cs="Times New Roman"/>
          <w:b w:val="0"/>
          <w:bCs w:val="0"/>
          <w:color w:val="auto"/>
          <w:sz w:val="28"/>
          <w:szCs w:val="22"/>
          <w:highlight w:val="none"/>
          <w:lang w:val="en-US" w:eastAsia="zh-CN"/>
        </w:rPr>
        <w:t>绿化管护主要</w:t>
      </w:r>
      <w:r>
        <w:rPr>
          <w:rFonts w:hint="eastAsia" w:cs="Times New Roman"/>
          <w:b w:val="0"/>
          <w:bCs w:val="0"/>
          <w:color w:val="auto"/>
          <w:sz w:val="28"/>
          <w:szCs w:val="22"/>
          <w:highlight w:val="none"/>
          <w:lang w:val="en-US" w:eastAsia="zh-CN"/>
        </w:rPr>
        <w:t>服务</w:t>
      </w:r>
      <w:r>
        <w:rPr>
          <w:rFonts w:hint="eastAsia" w:ascii="Times New Roman" w:hAnsi="Times New Roman" w:cs="Times New Roman"/>
          <w:b w:val="0"/>
          <w:bCs w:val="0"/>
          <w:color w:val="auto"/>
          <w:sz w:val="28"/>
          <w:szCs w:val="22"/>
          <w:highlight w:val="none"/>
          <w:lang w:val="en-US" w:eastAsia="zh-CN"/>
        </w:rPr>
        <w:t>内容包括：修剪、灌溉、施肥、补植、病虫害防治、清理残花落叶、环境卫生、树木扶正、树木枯死更换、时令花卉更换及配套设施维修维护等</w:t>
      </w:r>
      <w:r>
        <w:rPr>
          <w:rFonts w:hint="eastAsia"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4"/>
        <w:rPr>
          <w:rFonts w:hint="default"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二、服务范围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4"/>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成都市双流区人民政府怡心街道辖区内共有草坪162066.76㎡，灌木46785.86㎡，时令花卉983.22㎡，乔木3445株。中标供应商根据采购人的实际情况，为成都市双流区人民政府怡心街道所辖区域提供绿化管护服务。具体内容</w:t>
      </w:r>
      <w:r>
        <w:rPr>
          <w:rFonts w:hint="eastAsia" w:cs="Times New Roman"/>
          <w:b w:val="0"/>
          <w:bCs w:val="0"/>
          <w:color w:val="auto"/>
          <w:sz w:val="28"/>
          <w:szCs w:val="22"/>
          <w:highlight w:val="none"/>
          <w:lang w:val="en-US" w:eastAsia="zh-CN"/>
        </w:rPr>
        <w:t>详见附件1</w:t>
      </w:r>
      <w:r>
        <w:rPr>
          <w:rFonts w:hint="eastAsia" w:ascii="Times New Roman" w:hAnsi="Times New Roman"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4"/>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三、</w:t>
      </w:r>
      <w:r>
        <w:rPr>
          <w:rFonts w:hint="eastAsia" w:ascii="Times New Roman" w:hAnsi="Times New Roman" w:cs="Times New Roman"/>
          <w:b/>
          <w:bCs/>
          <w:color w:val="auto"/>
          <w:sz w:val="28"/>
          <w:szCs w:val="22"/>
          <w:highlight w:val="none"/>
          <w:lang w:val="en-US" w:eastAsia="zh-CN"/>
        </w:rPr>
        <w:t>服务要求（绿化存活率达到</w:t>
      </w:r>
      <w:r>
        <w:rPr>
          <w:rFonts w:hint="eastAsia" w:cs="Times New Roman"/>
          <w:b/>
          <w:bCs/>
          <w:color w:val="auto"/>
          <w:sz w:val="28"/>
          <w:szCs w:val="22"/>
          <w:highlight w:val="none"/>
          <w:lang w:val="en-US" w:eastAsia="zh-CN"/>
        </w:rPr>
        <w:t>98</w:t>
      </w:r>
      <w:r>
        <w:rPr>
          <w:rFonts w:hint="eastAsia" w:ascii="Times New Roman" w:hAnsi="Times New Roman" w:cs="Times New Roman"/>
          <w:b/>
          <w:bCs/>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（一）乔木养护（3445株）</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bCs/>
          <w:color w:val="auto"/>
          <w:sz w:val="28"/>
          <w:szCs w:val="22"/>
          <w:highlight w:val="none"/>
          <w:lang w:val="en-US" w:eastAsia="zh-CN"/>
        </w:rPr>
        <w:t>1.</w:t>
      </w:r>
      <w:r>
        <w:rPr>
          <w:rFonts w:hint="eastAsia" w:ascii="Times New Roman" w:hAnsi="Times New Roman" w:cs="Times New Roman"/>
          <w:b/>
          <w:bCs/>
          <w:color w:val="auto"/>
          <w:sz w:val="28"/>
          <w:szCs w:val="22"/>
          <w:highlight w:val="none"/>
          <w:lang w:val="en-US" w:eastAsia="zh-CN"/>
        </w:rPr>
        <w:t>浇水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灌溉应遵循“不干不浇，浇则浇透”原则，当植物茎、叶等幼嫩部分出现萎蔫现象时，应及时进行灌溉。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根灌法：浇水软管贴着树木主干下部进行缓流浇灌。不应用高压水流冲刷或在树穴范围内打孔后用高压水枪向注水孔内灌水。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在夏季连续高温干旱期间，灌溉宜安排早、晚进行，应增加行道树叶面喷雾或根部灌水的数量和频率。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在冬季低温期间，灌溉宜安排在中午进行。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 xml:space="preserve">春秋季节树木生长旺盛期应及时补充水分。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bCs/>
          <w:color w:val="auto"/>
          <w:sz w:val="28"/>
          <w:szCs w:val="22"/>
          <w:highlight w:val="none"/>
          <w:lang w:val="en-US" w:eastAsia="zh-CN"/>
        </w:rPr>
        <w:t>2.</w:t>
      </w:r>
      <w:r>
        <w:rPr>
          <w:rFonts w:hint="eastAsia" w:ascii="Times New Roman" w:hAnsi="Times New Roman" w:cs="Times New Roman"/>
          <w:b/>
          <w:bCs/>
          <w:color w:val="auto"/>
          <w:sz w:val="28"/>
          <w:szCs w:val="22"/>
          <w:highlight w:val="none"/>
          <w:lang w:val="en-US" w:eastAsia="zh-CN"/>
        </w:rPr>
        <w:t>施肥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土壤理化性状较差的道路，应视行道树生长情况及时施肥，肥料应对人体、树体无害，并有利树木生长，不污染环境，不破坏土壤结构。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可采用长效缓释肥料，新植或较小行道树施肥应结合灌水一并进行。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施肥时间宜在冬季休眠期或春季生长季节。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施肥方法可采用环施、穴施或沟施；挖施肥沟应避免伤根。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每一次施肥地点应相应错开，增强施肥均匀性。</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bCs/>
          <w:color w:val="auto"/>
          <w:sz w:val="28"/>
          <w:szCs w:val="22"/>
          <w:highlight w:val="none"/>
          <w:lang w:val="en-US" w:eastAsia="zh-CN"/>
        </w:rPr>
        <w:t>3.</w:t>
      </w:r>
      <w:r>
        <w:rPr>
          <w:rFonts w:hint="eastAsia" w:ascii="Times New Roman" w:hAnsi="Times New Roman" w:cs="Times New Roman"/>
          <w:b/>
          <w:bCs/>
          <w:color w:val="auto"/>
          <w:sz w:val="28"/>
          <w:szCs w:val="22"/>
          <w:highlight w:val="none"/>
          <w:lang w:val="en-US" w:eastAsia="zh-CN"/>
        </w:rPr>
        <w:t>病虫害防治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掌握植物病虫发生、发展规律，以防为主，以治为辅，将病虫控制和消灭在危害前，要求勤观察发现，及时防治。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正确掌握各种农药的药理作用，充分阅读农药使用说明书，注意农药的使用，对症下药，配制准确，使用方法正确。混合充分喷洒均匀，不造成药害。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防治及时、不拖延等。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农药应妥善保管，严格按操作规程使用，注意自身及他人安全。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推广使用生态和环保型农药。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（6）</w:t>
      </w:r>
      <w:r>
        <w:rPr>
          <w:rFonts w:hint="eastAsia" w:ascii="Times New Roman" w:hAnsi="Times New Roman" w:cs="Times New Roman"/>
          <w:b w:val="0"/>
          <w:bCs w:val="0"/>
          <w:color w:val="auto"/>
          <w:sz w:val="28"/>
          <w:szCs w:val="22"/>
          <w:highlight w:val="none"/>
          <w:lang w:val="en-US" w:eastAsia="zh-CN"/>
        </w:rPr>
        <w:t>具体参照《乔木类绿化维护明细表》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bCs/>
          <w:color w:val="auto"/>
          <w:sz w:val="28"/>
          <w:szCs w:val="22"/>
          <w:highlight w:val="none"/>
          <w:lang w:val="en-US" w:eastAsia="zh-CN"/>
        </w:rPr>
        <w:t>4.</w:t>
      </w:r>
      <w:r>
        <w:rPr>
          <w:rFonts w:hint="eastAsia" w:ascii="Times New Roman" w:hAnsi="Times New Roman" w:cs="Times New Roman"/>
          <w:b/>
          <w:bCs/>
          <w:color w:val="auto"/>
          <w:sz w:val="28"/>
          <w:szCs w:val="22"/>
          <w:highlight w:val="none"/>
          <w:lang w:val="en-US" w:eastAsia="zh-CN"/>
        </w:rPr>
        <w:t>松土、除草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松土，生长季节进行，用钉钮或窄锄将土挖松，草坪应用打孔机或相应的农机具进行松土，每年不能少于2次。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除草，掌握“除早、除小、除了”原则。绿地内应随时保持无杂草，保证草坪的纯净度，除草应尽量将边根除掉；必须在正确掌握和了解化学除草剂药理后，才可使用化学除草，但应先试验后再使用，避免造成药害</w:t>
      </w:r>
      <w:r>
        <w:rPr>
          <w:rFonts w:hint="eastAsia" w:cs="Times New Roman"/>
          <w:b w:val="0"/>
          <w:bCs w:val="0"/>
          <w:color w:val="auto"/>
          <w:sz w:val="28"/>
          <w:szCs w:val="22"/>
          <w:highlight w:val="none"/>
          <w:lang w:val="en-US" w:eastAsia="zh-CN"/>
        </w:rPr>
        <w:t>。</w:t>
      </w:r>
    </w:p>
    <w:p>
      <w:pPr>
        <w:pStyle w:val="35"/>
        <w:spacing w:after="200" w:line="600" w:lineRule="exact"/>
        <w:ind w:firstLine="58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5.</w:t>
      </w:r>
      <w:r>
        <w:rPr>
          <w:rFonts w:hint="eastAsia" w:ascii="方正仿宋_GBK" w:hAnsi="方正仿宋_GBK" w:eastAsia="方正仿宋_GBK" w:cs="方正仿宋_GBK"/>
          <w:b/>
          <w:bCs/>
          <w:color w:val="auto"/>
          <w:sz w:val="30"/>
          <w:szCs w:val="30"/>
          <w:highlight w:val="none"/>
        </w:rPr>
        <w:t>乔木类绿化维护明细表</w:t>
      </w:r>
    </w:p>
    <w:tbl>
      <w:tblPr>
        <w:tblStyle w:val="11"/>
        <w:tblW w:w="0" w:type="auto"/>
        <w:jc w:val="center"/>
        <w:tblLayout w:type="autofit"/>
        <w:tblCellMar>
          <w:top w:w="0" w:type="dxa"/>
          <w:left w:w="10" w:type="dxa"/>
          <w:bottom w:w="0" w:type="dxa"/>
          <w:right w:w="10" w:type="dxa"/>
        </w:tblCellMar>
      </w:tblPr>
      <w:tblGrid>
        <w:gridCol w:w="1306"/>
        <w:gridCol w:w="1275"/>
        <w:gridCol w:w="2700"/>
        <w:gridCol w:w="3045"/>
      </w:tblGrid>
      <w:tr>
        <w:tblPrEx>
          <w:tblCellMar>
            <w:top w:w="0" w:type="dxa"/>
            <w:left w:w="10" w:type="dxa"/>
            <w:bottom w:w="0" w:type="dxa"/>
            <w:right w:w="10" w:type="dxa"/>
          </w:tblCellMar>
        </w:tblPrEx>
        <w:trPr>
          <w:trHeight w:val="454" w:hRule="exact"/>
          <w:jc w:val="center"/>
        </w:trPr>
        <w:tc>
          <w:tcPr>
            <w:tcW w:w="1306" w:type="dxa"/>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作业内容</w:t>
            </w:r>
          </w:p>
        </w:tc>
        <w:tc>
          <w:tcPr>
            <w:tcW w:w="1275" w:type="dxa"/>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材料名称</w:t>
            </w:r>
          </w:p>
        </w:tc>
        <w:tc>
          <w:tcPr>
            <w:tcW w:w="2700" w:type="dxa"/>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养护标准</w:t>
            </w:r>
          </w:p>
        </w:tc>
        <w:tc>
          <w:tcPr>
            <w:tcW w:w="3045" w:type="dxa"/>
            <w:tcBorders>
              <w:top w:val="single" w:color="auto" w:sz="4" w:space="0"/>
              <w:left w:val="single" w:color="auto" w:sz="4" w:space="0"/>
              <w:righ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备注</w:t>
            </w:r>
          </w:p>
        </w:tc>
      </w:tr>
      <w:tr>
        <w:tblPrEx>
          <w:tblCellMar>
            <w:top w:w="0" w:type="dxa"/>
            <w:left w:w="10" w:type="dxa"/>
            <w:bottom w:w="0" w:type="dxa"/>
            <w:right w:w="10" w:type="dxa"/>
          </w:tblCellMar>
        </w:tblPrEx>
        <w:trPr>
          <w:trHeight w:val="814" w:hRule="exact"/>
          <w:jc w:val="center"/>
        </w:trPr>
        <w:tc>
          <w:tcPr>
            <w:tcW w:w="1306"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w:t>
            </w:r>
          </w:p>
        </w:tc>
        <w:tc>
          <w:tcPr>
            <w:tcW w:w="1275"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自来水</w:t>
            </w:r>
          </w:p>
        </w:tc>
        <w:tc>
          <w:tcPr>
            <w:tcW w:w="2700"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灌溉次数按养护等级确定，40公斤/株</w:t>
            </w:r>
            <w:r>
              <w:rPr>
                <w:rFonts w:hint="eastAsia" w:ascii="方正仿宋_GBK" w:hAnsi="方正仿宋_GBK" w:eastAsia="方正仿宋_GBK" w:cs="方正仿宋_GBK"/>
                <w:color w:val="auto"/>
                <w:sz w:val="24"/>
                <w:szCs w:val="24"/>
                <w:highlight w:val="none"/>
                <w:lang w:val="zh-CN" w:eastAsia="zh-CN" w:bidi="zh-CN"/>
              </w:rPr>
              <w:t>•次。</w:t>
            </w:r>
          </w:p>
        </w:tc>
        <w:tc>
          <w:tcPr>
            <w:tcW w:w="30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00" w:lineRule="exact"/>
              <w:ind w:firstLine="0" w:firstLineChars="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用水量参考《成都市绿化养护管理技术标准（试行）》。</w:t>
            </w:r>
          </w:p>
        </w:tc>
      </w:tr>
      <w:tr>
        <w:tblPrEx>
          <w:tblCellMar>
            <w:top w:w="0" w:type="dxa"/>
            <w:left w:w="10" w:type="dxa"/>
            <w:bottom w:w="0" w:type="dxa"/>
            <w:right w:w="10" w:type="dxa"/>
          </w:tblCellMar>
        </w:tblPrEx>
        <w:trPr>
          <w:trHeight w:val="1804" w:hRule="exact"/>
          <w:jc w:val="center"/>
        </w:trPr>
        <w:tc>
          <w:tcPr>
            <w:tcW w:w="1306" w:type="dxa"/>
            <w:tcBorders>
              <w:top w:val="single" w:color="auto" w:sz="4" w:space="0"/>
              <w:left w:val="single" w:color="auto" w:sz="4" w:space="0"/>
              <w:bottom w:val="single" w:color="auto" w:sz="4" w:space="0"/>
            </w:tcBorders>
            <w:shd w:val="clear" w:color="auto" w:fill="FFFFFF"/>
            <w:vAlign w:val="center"/>
          </w:tcPr>
          <w:p>
            <w:pPr>
              <w:pStyle w:val="36"/>
              <w:spacing w:line="260" w:lineRule="exact"/>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施肥</w:t>
            </w:r>
          </w:p>
        </w:tc>
        <w:tc>
          <w:tcPr>
            <w:tcW w:w="1275"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尿素</w:t>
            </w:r>
          </w:p>
        </w:tc>
        <w:tc>
          <w:tcPr>
            <w:tcW w:w="2700"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施肥次数按养护等级确定，乔木追肥1次</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施追肥一般按</w:t>
            </w:r>
            <w:r>
              <w:rPr>
                <w:rFonts w:hint="eastAsia" w:ascii="方正仿宋_GBK" w:hAnsi="方正仿宋_GBK" w:eastAsia="方正仿宋_GBK" w:cs="方正仿宋_GBK"/>
                <w:color w:val="auto"/>
                <w:sz w:val="24"/>
                <w:szCs w:val="24"/>
                <w:highlight w:val="none"/>
                <w:lang w:val="en-US" w:eastAsia="zh-CN" w:bidi="en-US"/>
              </w:rPr>
              <w:t>0.</w:t>
            </w:r>
            <w:r>
              <w:rPr>
                <w:rFonts w:hint="eastAsia" w:ascii="方正仿宋_GBK" w:hAnsi="方正仿宋_GBK" w:eastAsia="方正仿宋_GBK" w:cs="方正仿宋_GBK"/>
                <w:color w:val="auto"/>
                <w:sz w:val="24"/>
                <w:szCs w:val="24"/>
                <w:highlight w:val="none"/>
              </w:rPr>
              <w:t>5%-1%浓度的溶解液施用。干施化肥一般用量，150克/株・次</w:t>
            </w:r>
            <w:r>
              <w:rPr>
                <w:rFonts w:hint="eastAsia" w:ascii="方正仿宋_GBK" w:hAnsi="方正仿宋_GBK" w:eastAsia="方正仿宋_GBK" w:cs="方正仿宋_GBK"/>
                <w:color w:val="auto"/>
                <w:sz w:val="24"/>
                <w:szCs w:val="24"/>
                <w:highlight w:val="none"/>
                <w:lang w:eastAsia="zh-CN"/>
              </w:rPr>
              <w:t>。</w:t>
            </w:r>
          </w:p>
        </w:tc>
        <w:tc>
          <w:tcPr>
            <w:tcW w:w="30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00" w:lineRule="exact"/>
              <w:ind w:firstLine="0" w:firstLineChars="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施肥量主要参考《成都市绿化养护管理技术标准（试行）》，施肥对象主要为定植五年以内的乔、灌木，结合实际，主要考虑追肥。</w:t>
            </w:r>
          </w:p>
        </w:tc>
      </w:tr>
      <w:tr>
        <w:tblPrEx>
          <w:tblCellMar>
            <w:top w:w="0" w:type="dxa"/>
            <w:left w:w="10" w:type="dxa"/>
            <w:bottom w:w="0" w:type="dxa"/>
            <w:right w:w="10" w:type="dxa"/>
          </w:tblCellMar>
        </w:tblPrEx>
        <w:trPr>
          <w:trHeight w:val="814" w:hRule="exact"/>
          <w:jc w:val="center"/>
        </w:trPr>
        <w:tc>
          <w:tcPr>
            <w:tcW w:w="1306" w:type="dxa"/>
            <w:vMerge w:val="restart"/>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病虫害防治(常用药剂)</w:t>
            </w:r>
          </w:p>
        </w:tc>
        <w:tc>
          <w:tcPr>
            <w:tcW w:w="1275"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杀扑磷</w:t>
            </w:r>
          </w:p>
        </w:tc>
        <w:tc>
          <w:tcPr>
            <w:tcW w:w="2700"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 xml:space="preserve">蛤壳虫主要以5-6月为施药适合期，每次用量： </w:t>
            </w:r>
            <w:r>
              <w:rPr>
                <w:rFonts w:hint="eastAsia" w:ascii="方正仿宋_GBK" w:hAnsi="方正仿宋_GBK" w:eastAsia="方正仿宋_GBK" w:cs="方正仿宋_GBK"/>
                <w:color w:val="auto"/>
                <w:sz w:val="24"/>
                <w:szCs w:val="24"/>
                <w:highlight w:val="none"/>
                <w:lang w:val="en-US" w:eastAsia="zh-CN" w:bidi="en-US"/>
              </w:rPr>
              <w:t>lkg/200</w:t>
            </w:r>
            <w:r>
              <w:rPr>
                <w:rFonts w:hint="eastAsia" w:ascii="方正仿宋_GBK" w:hAnsi="方正仿宋_GBK" w:eastAsia="方正仿宋_GBK" w:cs="方正仿宋_GBK"/>
                <w:color w:val="auto"/>
                <w:sz w:val="24"/>
                <w:szCs w:val="24"/>
                <w:highlight w:val="none"/>
              </w:rPr>
              <w:t>株</w:t>
            </w:r>
            <w:r>
              <w:rPr>
                <w:rFonts w:hint="eastAsia" w:ascii="方正仿宋_GBK" w:hAnsi="方正仿宋_GBK" w:eastAsia="方正仿宋_GBK" w:cs="方正仿宋_GBK"/>
                <w:color w:val="auto"/>
                <w:sz w:val="24"/>
                <w:szCs w:val="24"/>
                <w:highlight w:val="none"/>
                <w:lang w:eastAsia="zh-CN"/>
              </w:rPr>
              <w:t>。</w:t>
            </w:r>
          </w:p>
        </w:tc>
        <w:tc>
          <w:tcPr>
            <w:tcW w:w="30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after="200"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参照药物使用说明及实际调查情况</w:t>
            </w:r>
            <w:r>
              <w:rPr>
                <w:rFonts w:hint="eastAsia" w:ascii="方正仿宋_GBK" w:hAnsi="方正仿宋_GBK" w:eastAsia="方正仿宋_GBK" w:cs="方正仿宋_GBK"/>
                <w:color w:val="auto"/>
                <w:sz w:val="24"/>
                <w:szCs w:val="24"/>
                <w:highlight w:val="none"/>
                <w:lang w:eastAsia="zh-CN"/>
              </w:rPr>
              <w:t>。</w:t>
            </w:r>
          </w:p>
        </w:tc>
      </w:tr>
      <w:tr>
        <w:tblPrEx>
          <w:tblCellMar>
            <w:top w:w="0" w:type="dxa"/>
            <w:left w:w="10" w:type="dxa"/>
            <w:bottom w:w="0" w:type="dxa"/>
            <w:right w:w="10" w:type="dxa"/>
          </w:tblCellMar>
        </w:tblPrEx>
        <w:trPr>
          <w:trHeight w:val="814" w:hRule="exact"/>
          <w:jc w:val="center"/>
        </w:trPr>
        <w:tc>
          <w:tcPr>
            <w:tcW w:w="1306" w:type="dxa"/>
            <w:vMerge w:val="continue"/>
            <w:tcBorders>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p>
        </w:tc>
        <w:tc>
          <w:tcPr>
            <w:tcW w:w="1275"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left="0" w:leftChars="0"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涂白剂</w:t>
            </w:r>
          </w:p>
        </w:tc>
        <w:tc>
          <w:tcPr>
            <w:tcW w:w="2700" w:type="dxa"/>
            <w:tcBorders>
              <w:top w:val="single" w:color="auto" w:sz="4" w:space="0"/>
              <w:left w:val="single" w:color="auto" w:sz="4" w:space="0"/>
              <w:bottom w:val="single" w:color="auto" w:sz="4" w:space="0"/>
            </w:tcBorders>
            <w:shd w:val="clear" w:color="auto" w:fill="FFFFFF"/>
            <w:vAlign w:val="center"/>
          </w:tcPr>
          <w:p>
            <w:pPr>
              <w:pStyle w:val="36"/>
              <w:spacing w:after="200" w:line="26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4斤涂白剂根据定额约可以涂200株</w:t>
            </w:r>
          </w:p>
        </w:tc>
        <w:tc>
          <w:tcPr>
            <w:tcW w:w="30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after="200"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参照药物使用说明及实际调查情况</w:t>
            </w:r>
            <w:r>
              <w:rPr>
                <w:rFonts w:hint="eastAsia" w:ascii="方正仿宋_GBK" w:hAnsi="方正仿宋_GBK" w:eastAsia="方正仿宋_GBK" w:cs="方正仿宋_GBK"/>
                <w:color w:val="auto"/>
                <w:sz w:val="24"/>
                <w:szCs w:val="24"/>
                <w:highlight w:val="none"/>
                <w:lang w:eastAsia="zh-CN"/>
              </w:rPr>
              <w:t>。</w:t>
            </w:r>
          </w:p>
        </w:tc>
      </w:tr>
      <w:tr>
        <w:tblPrEx>
          <w:tblCellMar>
            <w:top w:w="0" w:type="dxa"/>
            <w:left w:w="10" w:type="dxa"/>
            <w:bottom w:w="0" w:type="dxa"/>
            <w:right w:w="10" w:type="dxa"/>
          </w:tblCellMar>
        </w:tblPrEx>
        <w:trPr>
          <w:trHeight w:val="814" w:hRule="exact"/>
          <w:jc w:val="center"/>
        </w:trPr>
        <w:tc>
          <w:tcPr>
            <w:tcW w:w="1306" w:type="dxa"/>
            <w:tcBorders>
              <w:top w:val="single" w:color="auto" w:sz="4" w:space="0"/>
              <w:left w:val="single" w:color="auto" w:sz="4" w:space="0"/>
              <w:bottom w:val="single" w:color="auto" w:sz="4" w:space="0"/>
            </w:tcBorders>
            <w:shd w:val="clear" w:color="auto" w:fill="FFFFFF"/>
            <w:vAlign w:val="center"/>
          </w:tcPr>
          <w:p>
            <w:pPr>
              <w:pStyle w:val="36"/>
              <w:spacing w:after="220"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松土、除草</w:t>
            </w:r>
          </w:p>
        </w:tc>
        <w:tc>
          <w:tcPr>
            <w:tcW w:w="1275" w:type="dxa"/>
            <w:tcBorders>
              <w:top w:val="single" w:color="auto" w:sz="4" w:space="0"/>
              <w:left w:val="single" w:color="auto" w:sz="4" w:space="0"/>
              <w:bottom w:val="single" w:color="auto" w:sz="4" w:space="0"/>
            </w:tcBorders>
            <w:shd w:val="clear" w:color="auto" w:fill="FFFFFF"/>
            <w:vAlign w:val="center"/>
          </w:tcPr>
          <w:p>
            <w:pPr>
              <w:pStyle w:val="36"/>
              <w:spacing w:after="200"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除草剂(金消杂)</w:t>
            </w:r>
          </w:p>
        </w:tc>
        <w:tc>
          <w:tcPr>
            <w:tcW w:w="2700" w:type="dxa"/>
            <w:tcBorders>
              <w:top w:val="single" w:color="auto" w:sz="4" w:space="0"/>
              <w:left w:val="single" w:color="auto" w:sz="4" w:space="0"/>
              <w:bottom w:val="single" w:color="auto" w:sz="4" w:space="0"/>
            </w:tcBorders>
            <w:shd w:val="clear" w:color="auto" w:fill="FFFFFF"/>
            <w:vAlign w:val="center"/>
          </w:tcPr>
          <w:p>
            <w:pPr>
              <w:pStyle w:val="36"/>
              <w:spacing w:after="180" w:line="26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除草次数根据养护等级确定，</w:t>
            </w:r>
            <w:r>
              <w:rPr>
                <w:rFonts w:hint="eastAsia" w:ascii="方正仿宋_GBK" w:hAnsi="方正仿宋_GBK" w:eastAsia="方正仿宋_GBK" w:cs="方正仿宋_GBK"/>
                <w:color w:val="auto"/>
                <w:sz w:val="24"/>
                <w:szCs w:val="24"/>
                <w:highlight w:val="none"/>
                <w:lang w:val="en-US" w:eastAsia="zh-CN" w:bidi="en-US"/>
              </w:rPr>
              <w:t>40ml/</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val="zh-CN" w:eastAsia="zh-CN" w:bidi="zh-CN"/>
              </w:rPr>
              <w:t>•次。</w:t>
            </w:r>
          </w:p>
        </w:tc>
        <w:tc>
          <w:tcPr>
            <w:tcW w:w="30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after="200"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考虑人工除草与药物除草结合，用量参照药物使用说明</w:t>
            </w:r>
            <w:r>
              <w:rPr>
                <w:rFonts w:hint="eastAsia" w:ascii="方正仿宋_GBK" w:hAnsi="方正仿宋_GBK" w:eastAsia="方正仿宋_GBK" w:cs="方正仿宋_GBK"/>
                <w:color w:val="auto"/>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（二）灌木养护（46785.86㎡）</w:t>
      </w:r>
    </w:p>
    <w:p>
      <w:pPr>
        <w:pStyle w:val="35"/>
        <w:spacing w:after="0" w:line="600" w:lineRule="exact"/>
        <w:ind w:left="560" w:firstLine="301" w:firstLineChars="1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rPr>
        <w:t>整形式灌木</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浇水依据应符合下列规定：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气候：长期干旱应适时、适量浇水</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土质与田间持水量：根据土质情况，及时松土保</w:t>
      </w:r>
      <w:r>
        <w:rPr>
          <w:rFonts w:hint="eastAsia" w:ascii="方正仿宋_GBK" w:hAnsi="方正仿宋_GBK" w:eastAsia="方正仿宋_GBK" w:cs="方正仿宋_GBK"/>
          <w:color w:val="auto"/>
          <w:sz w:val="30"/>
          <w:szCs w:val="30"/>
          <w:highlight w:val="none"/>
          <w:lang w:eastAsia="zh-CN"/>
        </w:rPr>
        <w:t>墒</w:t>
      </w:r>
      <w:r>
        <w:rPr>
          <w:rFonts w:hint="eastAsia" w:ascii="方正仿宋_GBK" w:hAnsi="方正仿宋_GBK" w:eastAsia="方正仿宋_GBK" w:cs="方正仿宋_GBK"/>
          <w:color w:val="auto"/>
          <w:sz w:val="30"/>
          <w:szCs w:val="30"/>
          <w:highlight w:val="none"/>
        </w:rPr>
        <w:t>，土壤含水量应保持在田间持水量的60%~70%范围内</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植物习性：花篱植物浇水量应多于一般植物</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植物生长周期：植物生长期应适量浇水。</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⑤</w:t>
      </w:r>
      <w:r>
        <w:rPr>
          <w:rFonts w:hint="eastAsia" w:ascii="方正仿宋_GBK" w:hAnsi="方正仿宋_GBK" w:eastAsia="方正仿宋_GBK" w:cs="方正仿宋_GBK"/>
          <w:color w:val="auto"/>
          <w:sz w:val="30"/>
          <w:szCs w:val="30"/>
          <w:highlight w:val="none"/>
        </w:rPr>
        <w:t>夏季浇水应在清晨和傍晚，冬季浇水宜在午间。</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⑥</w:t>
      </w:r>
      <w:r>
        <w:rPr>
          <w:rFonts w:hint="eastAsia" w:ascii="方正仿宋_GBK" w:hAnsi="方正仿宋_GBK" w:eastAsia="方正仿宋_GBK" w:cs="方正仿宋_GBK"/>
          <w:color w:val="auto"/>
          <w:sz w:val="30"/>
          <w:szCs w:val="30"/>
          <w:highlight w:val="none"/>
        </w:rPr>
        <w:t>浇水方法应自上而下均匀喷淋。</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排水措施应符合下列规定：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暴雨季节应防止积水，如有积水应立即排除</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宜</w:t>
      </w:r>
      <w:r>
        <w:rPr>
          <w:rFonts w:hint="eastAsia" w:ascii="方正仿宋_GBK" w:hAnsi="方正仿宋_GBK" w:eastAsia="方正仿宋_GBK" w:cs="方正仿宋_GBK"/>
          <w:color w:val="auto"/>
          <w:sz w:val="30"/>
          <w:szCs w:val="30"/>
          <w:highlight w:val="none"/>
          <w:lang w:eastAsia="zh-CN"/>
        </w:rPr>
        <w:t>采用</w:t>
      </w:r>
      <w:r>
        <w:rPr>
          <w:rFonts w:hint="eastAsia" w:ascii="方正仿宋_GBK" w:hAnsi="方正仿宋_GBK" w:eastAsia="方正仿宋_GBK" w:cs="方正仿宋_GBK"/>
          <w:color w:val="auto"/>
          <w:sz w:val="30"/>
          <w:szCs w:val="30"/>
          <w:highlight w:val="none"/>
        </w:rPr>
        <w:t>开沟方式排水。</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3</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施肥时间应符合下列规定：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植物萌芽前应施氮肥</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生长期应施磷钾为主的复合肥</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开花植物应在花前、花后进行。</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4</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施肥方法应符合下列规定：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宜穴施、喷施</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除根外追肥，肥料不应施于花、叶上，施肥后应立即用清水喷洒枝叶。</w:t>
      </w:r>
    </w:p>
    <w:p>
      <w:pPr>
        <w:pStyle w:val="35"/>
        <w:tabs>
          <w:tab w:val="left" w:pos="1214"/>
        </w:tabs>
        <w:spacing w:after="0" w:line="58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rPr>
        <w:t>自然式灌木</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浇水应符合下列规定：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新植的灌木应浇透水，以后根据土壤及植株生长情况及时补水</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生长期或久旱无雨、土壤干旱时，应及时浇水</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浇水宜在清晨或傍晚，不应夏日正午浇水</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气温高、空气湿度低时，阴性灌木应早、晚进行喷雾</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⑤</w:t>
      </w:r>
      <w:r>
        <w:rPr>
          <w:rFonts w:hint="eastAsia" w:ascii="方正仿宋_GBK" w:hAnsi="方正仿宋_GBK" w:eastAsia="方正仿宋_GBK" w:cs="方正仿宋_GBK"/>
          <w:color w:val="auto"/>
          <w:sz w:val="30"/>
          <w:szCs w:val="30"/>
          <w:highlight w:val="none"/>
        </w:rPr>
        <w:t>浇水应湿透根系。</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排水措施应符合下列规定：</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保持地面平整排水通畅</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连续暴雨或久雨受涝，应及时开沟排水</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选用花灌木</w:t>
      </w:r>
      <w:r>
        <w:rPr>
          <w:rFonts w:hint="eastAsia" w:ascii="方正仿宋_GBK" w:hAnsi="方正仿宋_GBK" w:eastAsia="方正仿宋_GBK" w:cs="方正仿宋_GBK"/>
          <w:color w:val="auto"/>
          <w:sz w:val="30"/>
          <w:szCs w:val="30"/>
          <w:highlight w:val="none"/>
          <w:lang w:eastAsia="zh-CN"/>
        </w:rPr>
        <w:t>时</w:t>
      </w:r>
      <w:r>
        <w:rPr>
          <w:rFonts w:hint="eastAsia" w:ascii="方正仿宋_GBK" w:hAnsi="方正仿宋_GBK" w:eastAsia="方正仿宋_GBK" w:cs="方正仿宋_GBK"/>
          <w:color w:val="auto"/>
          <w:sz w:val="30"/>
          <w:szCs w:val="30"/>
          <w:highlight w:val="none"/>
        </w:rPr>
        <w:t>，修剪后应追肥，肥料应以有机复合肥为宜</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多年灌木在发芽前、生长期或花后应</w:t>
      </w:r>
      <w:r>
        <w:rPr>
          <w:rFonts w:hint="eastAsia" w:ascii="方正仿宋_GBK" w:hAnsi="方正仿宋_GBK" w:eastAsia="方正仿宋_GBK" w:cs="方正仿宋_GBK"/>
          <w:color w:val="auto"/>
          <w:sz w:val="30"/>
          <w:szCs w:val="30"/>
          <w:highlight w:val="none"/>
          <w:lang w:eastAsia="zh-CN"/>
        </w:rPr>
        <w:t>采取</w:t>
      </w:r>
      <w:r>
        <w:rPr>
          <w:rFonts w:hint="eastAsia" w:ascii="方正仿宋_GBK" w:hAnsi="方正仿宋_GBK" w:eastAsia="方正仿宋_GBK" w:cs="方正仿宋_GBK"/>
          <w:color w:val="auto"/>
          <w:sz w:val="30"/>
          <w:szCs w:val="30"/>
          <w:highlight w:val="none"/>
        </w:rPr>
        <w:t>少肥多次的方法补充营养</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⑤</w:t>
      </w:r>
      <w:r>
        <w:rPr>
          <w:rFonts w:hint="eastAsia" w:ascii="方正仿宋_GBK" w:hAnsi="方正仿宋_GBK" w:eastAsia="方正仿宋_GBK" w:cs="方正仿宋_GBK"/>
          <w:color w:val="auto"/>
          <w:sz w:val="30"/>
          <w:szCs w:val="30"/>
          <w:highlight w:val="none"/>
        </w:rPr>
        <w:t>施肥可根据长势情况并结合浇水进行。</w:t>
      </w:r>
    </w:p>
    <w:p>
      <w:pPr>
        <w:pStyle w:val="35"/>
        <w:tabs>
          <w:tab w:val="left" w:pos="1214"/>
        </w:tabs>
        <w:spacing w:after="0" w:line="58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3.</w:t>
      </w:r>
      <w:r>
        <w:rPr>
          <w:rFonts w:hint="eastAsia" w:ascii="方正仿宋_GBK" w:hAnsi="方正仿宋_GBK" w:eastAsia="方正仿宋_GBK" w:cs="方正仿宋_GBK"/>
          <w:b/>
          <w:bCs/>
          <w:color w:val="auto"/>
          <w:sz w:val="30"/>
          <w:szCs w:val="30"/>
          <w:highlight w:val="none"/>
        </w:rPr>
        <w:t>病虫害防治</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（1）</w:t>
      </w:r>
      <w:r>
        <w:rPr>
          <w:rFonts w:hint="eastAsia" w:ascii="方正仿宋_GBK" w:hAnsi="方正仿宋_GBK" w:eastAsia="方正仿宋_GBK" w:cs="方正仿宋_GBK"/>
          <w:color w:val="auto"/>
          <w:sz w:val="30"/>
          <w:szCs w:val="30"/>
          <w:highlight w:val="none"/>
        </w:rPr>
        <w:t>掌握植物病虫发生、发展规律，以防为主，以治为辅，将病虫控制和消灭在危害前，要求勤观察发现，及时防治。</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（2）</w:t>
      </w:r>
      <w:r>
        <w:rPr>
          <w:rFonts w:hint="eastAsia" w:ascii="方正仿宋_GBK" w:hAnsi="方正仿宋_GBK" w:eastAsia="方正仿宋_GBK" w:cs="方正仿宋_GBK"/>
          <w:color w:val="auto"/>
          <w:sz w:val="30"/>
          <w:szCs w:val="30"/>
          <w:highlight w:val="none"/>
        </w:rPr>
        <w:t>正确掌握各种农药的药理作用，充分阅读农药使用说明书，注意农药的使用，对症下药，配制准确，使用方法正确。混合充分喷洒均匀，不造成药害。</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（3）</w:t>
      </w:r>
      <w:r>
        <w:rPr>
          <w:rFonts w:hint="eastAsia" w:ascii="方正仿宋_GBK" w:hAnsi="方正仿宋_GBK" w:eastAsia="方正仿宋_GBK" w:cs="方正仿宋_GBK"/>
          <w:color w:val="auto"/>
          <w:sz w:val="30"/>
          <w:szCs w:val="30"/>
          <w:highlight w:val="none"/>
        </w:rPr>
        <w:t>防治及时、不拖不等。</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（4）</w:t>
      </w:r>
      <w:r>
        <w:rPr>
          <w:rFonts w:hint="eastAsia" w:ascii="方正仿宋_GBK" w:hAnsi="方正仿宋_GBK" w:eastAsia="方正仿宋_GBK" w:cs="方正仿宋_GBK"/>
          <w:color w:val="auto"/>
          <w:sz w:val="30"/>
          <w:szCs w:val="30"/>
          <w:highlight w:val="none"/>
        </w:rPr>
        <w:t>农药应妥善保管，严格按操作规程使用，注意自身及他人安全。</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（5）</w:t>
      </w:r>
      <w:r>
        <w:rPr>
          <w:rFonts w:hint="eastAsia" w:ascii="方正仿宋_GBK" w:hAnsi="方正仿宋_GBK" w:eastAsia="方正仿宋_GBK" w:cs="方正仿宋_GBK"/>
          <w:color w:val="auto"/>
          <w:sz w:val="30"/>
          <w:szCs w:val="30"/>
          <w:highlight w:val="none"/>
        </w:rPr>
        <w:t>推广使用生态和环保型农药。</w:t>
      </w:r>
    </w:p>
    <w:p>
      <w:pPr>
        <w:pStyle w:val="35"/>
        <w:numPr>
          <w:ilvl w:val="-1"/>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（6）</w:t>
      </w:r>
      <w:r>
        <w:rPr>
          <w:rFonts w:hint="eastAsia" w:ascii="方正仿宋_GBK" w:hAnsi="方正仿宋_GBK" w:eastAsia="方正仿宋_GBK" w:cs="方正仿宋_GBK"/>
          <w:color w:val="auto"/>
          <w:sz w:val="30"/>
          <w:szCs w:val="30"/>
          <w:highlight w:val="none"/>
        </w:rPr>
        <w:t>具体参照</w:t>
      </w:r>
      <w:r>
        <w:rPr>
          <w:rFonts w:hint="eastAsia" w:ascii="方正仿宋_GBK" w:hAnsi="方正仿宋_GBK" w:eastAsia="方正仿宋_GBK" w:cs="方正仿宋_GBK"/>
          <w:color w:val="auto"/>
          <w:sz w:val="30"/>
          <w:szCs w:val="30"/>
          <w:highlight w:val="none"/>
          <w:lang w:eastAsia="zh-CN"/>
        </w:rPr>
        <w:t>《</w:t>
      </w:r>
      <w:r>
        <w:rPr>
          <w:rFonts w:hint="eastAsia" w:ascii="方正仿宋_GBK" w:hAnsi="方正仿宋_GBK" w:eastAsia="方正仿宋_GBK" w:cs="方正仿宋_GBK"/>
          <w:color w:val="auto"/>
          <w:sz w:val="30"/>
          <w:szCs w:val="30"/>
          <w:highlight w:val="none"/>
          <w:lang w:val="en-US" w:eastAsia="zh-CN"/>
        </w:rPr>
        <w:t>灌木</w:t>
      </w:r>
      <w:r>
        <w:rPr>
          <w:rFonts w:hint="eastAsia" w:ascii="方正仿宋_GBK" w:hAnsi="方正仿宋_GBK" w:eastAsia="方正仿宋_GBK" w:cs="方正仿宋_GBK"/>
          <w:color w:val="auto"/>
          <w:sz w:val="30"/>
          <w:szCs w:val="30"/>
          <w:highlight w:val="none"/>
        </w:rPr>
        <w:t>类绿化维护明细表</w:t>
      </w:r>
      <w:r>
        <w:rPr>
          <w:rFonts w:hint="eastAsia" w:ascii="方正仿宋_GBK" w:hAnsi="方正仿宋_GBK" w:eastAsia="方正仿宋_GBK" w:cs="方正仿宋_GBK"/>
          <w:color w:val="auto"/>
          <w:sz w:val="30"/>
          <w:szCs w:val="30"/>
          <w:highlight w:val="none"/>
          <w:lang w:eastAsia="zh-CN"/>
        </w:rPr>
        <w:t>》</w:t>
      </w:r>
      <w:r>
        <w:rPr>
          <w:rFonts w:hint="eastAsia" w:ascii="方正仿宋_GBK" w:hAnsi="方正仿宋_GBK" w:eastAsia="方正仿宋_GBK" w:cs="方正仿宋_GBK"/>
          <w:color w:val="auto"/>
          <w:sz w:val="30"/>
          <w:szCs w:val="30"/>
          <w:highlight w:val="none"/>
        </w:rPr>
        <w:t>。</w:t>
      </w:r>
    </w:p>
    <w:p>
      <w:pPr>
        <w:pStyle w:val="35"/>
        <w:tabs>
          <w:tab w:val="left" w:pos="1214"/>
        </w:tabs>
        <w:spacing w:after="0" w:line="58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4.</w:t>
      </w:r>
      <w:r>
        <w:rPr>
          <w:rFonts w:hint="eastAsia" w:ascii="方正仿宋_GBK" w:hAnsi="方正仿宋_GBK" w:eastAsia="方正仿宋_GBK" w:cs="方正仿宋_GBK"/>
          <w:b/>
          <w:bCs/>
          <w:color w:val="auto"/>
          <w:sz w:val="30"/>
          <w:szCs w:val="30"/>
          <w:highlight w:val="none"/>
        </w:rPr>
        <w:t>松土及控制杂草</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松土应符合下列规定：</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按不同种类生长需求进行松土</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松土时不应损伤植物的根系和地下茎</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栽植初期，应进行中耕松土和清除植株间杂草</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松土应在晴天，土壤不过湿的情况下进行。</w:t>
      </w:r>
    </w:p>
    <w:p>
      <w:pPr>
        <w:pStyle w:val="35"/>
        <w:numPr>
          <w:ilvl w:val="-1"/>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控制杂草应符合下列规定：</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清除的杂草应集中处理，不应随意堆置在树丛内</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栽植初期，植株间非目标草均应连根除净</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已基本覆盖黄土后，应及时挖除植株间的大型、恶性、缠绕性杂草的草根。</w:t>
      </w:r>
    </w:p>
    <w:p>
      <w:pPr>
        <w:pStyle w:val="35"/>
        <w:tabs>
          <w:tab w:val="left" w:pos="1214"/>
        </w:tabs>
        <w:spacing w:after="0" w:line="580" w:lineRule="exact"/>
        <w:ind w:firstLine="602" w:firstLineChars="200"/>
        <w:jc w:val="both"/>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5.</w:t>
      </w:r>
      <w:r>
        <w:rPr>
          <w:rFonts w:hint="eastAsia" w:ascii="方正仿宋_GBK" w:hAnsi="方正仿宋_GBK" w:eastAsia="方正仿宋_GBK" w:cs="方正仿宋_GBK"/>
          <w:b/>
          <w:bCs/>
          <w:color w:val="auto"/>
          <w:sz w:val="30"/>
          <w:szCs w:val="30"/>
          <w:highlight w:val="none"/>
        </w:rPr>
        <w:t>灌木类绿化维护明细表</w:t>
      </w:r>
    </w:p>
    <w:tbl>
      <w:tblPr>
        <w:tblStyle w:val="11"/>
        <w:tblW w:w="0" w:type="auto"/>
        <w:tblInd w:w="0" w:type="dxa"/>
        <w:tblLayout w:type="autofit"/>
        <w:tblCellMar>
          <w:top w:w="0" w:type="dxa"/>
          <w:left w:w="10" w:type="dxa"/>
          <w:bottom w:w="0" w:type="dxa"/>
          <w:right w:w="10" w:type="dxa"/>
        </w:tblCellMar>
      </w:tblPr>
      <w:tblGrid>
        <w:gridCol w:w="1074"/>
        <w:gridCol w:w="1310"/>
        <w:gridCol w:w="2558"/>
        <w:gridCol w:w="3384"/>
      </w:tblGrid>
      <w:tr>
        <w:tblPrEx>
          <w:tblCellMar>
            <w:top w:w="0" w:type="dxa"/>
            <w:left w:w="10" w:type="dxa"/>
            <w:bottom w:w="0" w:type="dxa"/>
            <w:right w:w="10" w:type="dxa"/>
          </w:tblCellMar>
        </w:tblPrEx>
        <w:trPr>
          <w:trHeight w:val="648" w:hRule="exact"/>
        </w:trPr>
        <w:tc>
          <w:tcPr>
            <w:tcW w:w="1074" w:type="dxa"/>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作业内容</w:t>
            </w:r>
          </w:p>
        </w:tc>
        <w:tc>
          <w:tcPr>
            <w:tcW w:w="0" w:type="auto"/>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材料名称</w:t>
            </w:r>
          </w:p>
        </w:tc>
        <w:tc>
          <w:tcPr>
            <w:tcW w:w="0" w:type="auto"/>
            <w:tcBorders>
              <w:top w:val="single" w:color="auto" w:sz="4" w:space="0"/>
              <w:lef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养护标准</w:t>
            </w:r>
          </w:p>
        </w:tc>
        <w:tc>
          <w:tcPr>
            <w:tcW w:w="0" w:type="auto"/>
            <w:tcBorders>
              <w:top w:val="single" w:color="auto" w:sz="4" w:space="0"/>
              <w:left w:val="single" w:color="auto" w:sz="4" w:space="0"/>
              <w:right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备注</w:t>
            </w:r>
          </w:p>
        </w:tc>
      </w:tr>
      <w:tr>
        <w:tblPrEx>
          <w:tblCellMar>
            <w:top w:w="0" w:type="dxa"/>
            <w:left w:w="10" w:type="dxa"/>
            <w:bottom w:w="0" w:type="dxa"/>
            <w:right w:w="10" w:type="dxa"/>
          </w:tblCellMar>
        </w:tblPrEx>
        <w:trPr>
          <w:trHeight w:val="867" w:hRule="exact"/>
        </w:trPr>
        <w:tc>
          <w:tcPr>
            <w:tcW w:w="1074" w:type="dxa"/>
            <w:tcBorders>
              <w:top w:val="single" w:color="auto" w:sz="4" w:space="0"/>
              <w:left w:val="single" w:color="auto" w:sz="4" w:space="0"/>
            </w:tcBorders>
            <w:shd w:val="clear" w:color="auto" w:fill="FFFFFF"/>
            <w:vAlign w:val="center"/>
          </w:tcPr>
          <w:p>
            <w:pPr>
              <w:pStyle w:val="36"/>
              <w:spacing w:line="24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自来水</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灌溉次数按养护等级确定，色块灌木、绿篱30公斤/㎡</w:t>
            </w:r>
            <w:r>
              <w:rPr>
                <w:rFonts w:hint="eastAsia" w:ascii="方正仿宋_GBK" w:hAnsi="方正仿宋_GBK" w:eastAsia="方正仿宋_GBK" w:cs="方正仿宋_GBK"/>
                <w:color w:val="auto"/>
                <w:sz w:val="24"/>
                <w:szCs w:val="24"/>
                <w:highlight w:val="none"/>
                <w:lang w:val="zh-CN" w:eastAsia="zh-CN" w:bidi="zh-CN"/>
              </w:rPr>
              <w:t>•次。</w:t>
            </w:r>
          </w:p>
        </w:tc>
        <w:tc>
          <w:tcPr>
            <w:tcW w:w="0" w:type="auto"/>
            <w:tcBorders>
              <w:top w:val="single" w:color="auto" w:sz="4" w:space="0"/>
              <w:left w:val="single" w:color="auto" w:sz="4" w:space="0"/>
              <w:right w:val="single" w:color="auto" w:sz="4" w:space="0"/>
            </w:tcBorders>
            <w:shd w:val="clear" w:color="auto" w:fill="FFFFFF"/>
            <w:vAlign w:val="center"/>
          </w:tcPr>
          <w:p>
            <w:pPr>
              <w:pStyle w:val="36"/>
              <w:spacing w:line="300" w:lineRule="exact"/>
              <w:ind w:firstLine="0" w:firstLineChars="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用水量参考《成都市绿化养护管理技术标准（试行）》</w:t>
            </w:r>
          </w:p>
        </w:tc>
      </w:tr>
      <w:tr>
        <w:tblPrEx>
          <w:tblCellMar>
            <w:top w:w="0" w:type="dxa"/>
            <w:left w:w="10" w:type="dxa"/>
            <w:bottom w:w="0" w:type="dxa"/>
            <w:right w:w="10" w:type="dxa"/>
          </w:tblCellMar>
        </w:tblPrEx>
        <w:trPr>
          <w:trHeight w:val="1563" w:hRule="exact"/>
        </w:trPr>
        <w:tc>
          <w:tcPr>
            <w:tcW w:w="1074" w:type="dxa"/>
            <w:tcBorders>
              <w:top w:val="single" w:color="auto" w:sz="4" w:space="0"/>
              <w:left w:val="single" w:color="auto" w:sz="4" w:space="0"/>
            </w:tcBorders>
            <w:shd w:val="clear" w:color="auto" w:fill="FFFFFF"/>
            <w:vAlign w:val="center"/>
          </w:tcPr>
          <w:p>
            <w:pPr>
              <w:pStyle w:val="36"/>
              <w:spacing w:line="24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施肥</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尿素</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施肥次数按养护等级确定，追肥量按30克</w:t>
            </w:r>
            <w:r>
              <w:rPr>
                <w:rFonts w:hint="eastAsia" w:ascii="方正仿宋_GBK" w:hAnsi="方正仿宋_GBK" w:eastAsia="方正仿宋_GBK" w:cs="方正仿宋_GBK"/>
                <w:color w:val="auto"/>
                <w:sz w:val="24"/>
                <w:szCs w:val="24"/>
                <w:highlight w:val="none"/>
                <w:lang w:val="en-US" w:eastAsia="zh-CN" w:bidi="en-US"/>
              </w:rPr>
              <w:t>/</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zh-CN" w:eastAsia="zh-CN" w:bidi="zh-CN"/>
              </w:rPr>
              <w:t>•次。</w:t>
            </w:r>
          </w:p>
        </w:tc>
        <w:tc>
          <w:tcPr>
            <w:tcW w:w="0" w:type="auto"/>
            <w:tcBorders>
              <w:top w:val="single" w:color="auto" w:sz="4" w:space="0"/>
              <w:left w:val="single" w:color="auto" w:sz="4" w:space="0"/>
              <w:right w:val="single" w:color="auto" w:sz="4" w:space="0"/>
            </w:tcBorders>
            <w:shd w:val="clear" w:color="auto" w:fill="FFFFFF"/>
            <w:vAlign w:val="center"/>
          </w:tcPr>
          <w:p>
            <w:pPr>
              <w:pStyle w:val="36"/>
              <w:spacing w:line="300" w:lineRule="exact"/>
              <w:ind w:firstLine="0" w:firstLineChars="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施肥量主要参考《成都市绿化养护管理技术标准（试行）》，施肥对象主要为定植五年以内的乔、灌木，结合实际，主要考虑追肥。</w:t>
            </w:r>
          </w:p>
        </w:tc>
      </w:tr>
      <w:tr>
        <w:tblPrEx>
          <w:tblCellMar>
            <w:top w:w="0" w:type="dxa"/>
            <w:left w:w="10" w:type="dxa"/>
            <w:bottom w:w="0" w:type="dxa"/>
            <w:right w:w="10" w:type="dxa"/>
          </w:tblCellMar>
        </w:tblPrEx>
        <w:trPr>
          <w:trHeight w:val="1075" w:hRule="exact"/>
        </w:trPr>
        <w:tc>
          <w:tcPr>
            <w:tcW w:w="1074" w:type="dxa"/>
            <w:vMerge w:val="restart"/>
            <w:tcBorders>
              <w:top w:val="single" w:color="auto" w:sz="4" w:space="0"/>
              <w:left w:val="single" w:color="auto" w:sz="4" w:space="0"/>
            </w:tcBorders>
            <w:shd w:val="clear" w:color="auto" w:fill="FFFFFF"/>
            <w:vAlign w:val="center"/>
          </w:tcPr>
          <w:p>
            <w:pPr>
              <w:pStyle w:val="37"/>
              <w:spacing w:line="240" w:lineRule="exact"/>
              <w:ind w:left="0"/>
              <w:jc w:val="center"/>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病虫害防治（常用药剂）</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杀虫剂（80 敌敌畏乳油％）</w:t>
            </w:r>
          </w:p>
        </w:tc>
        <w:tc>
          <w:tcPr>
            <w:tcW w:w="0" w:type="auto"/>
            <w:tcBorders>
              <w:top w:val="single" w:color="auto" w:sz="4" w:space="0"/>
              <w:left w:val="single" w:color="auto" w:sz="4" w:space="0"/>
            </w:tcBorders>
            <w:shd w:val="clear" w:color="auto" w:fill="FFFFFF"/>
            <w:vAlign w:val="center"/>
          </w:tcPr>
          <w:p>
            <w:pPr>
              <w:pStyle w:val="36"/>
              <w:spacing w:line="24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打药次数根据养护等级确定，按1</w:t>
            </w:r>
            <w:r>
              <w:rPr>
                <w:rFonts w:hint="eastAsia" w:ascii="方正仿宋_GBK" w:hAnsi="方正仿宋_GBK" w:eastAsia="方正仿宋_GBK" w:cs="方正仿宋_GBK"/>
                <w:color w:val="auto"/>
                <w:sz w:val="24"/>
                <w:szCs w:val="24"/>
                <w:highlight w:val="none"/>
                <w:lang w:val="en-US" w:eastAsia="zh-CN" w:bidi="en-US"/>
              </w:rPr>
              <w:t>500-2000</w:t>
            </w:r>
            <w:r>
              <w:rPr>
                <w:rFonts w:hint="eastAsia" w:ascii="方正仿宋_GBK" w:hAnsi="方正仿宋_GBK" w:eastAsia="方正仿宋_GBK" w:cs="方正仿宋_GBK"/>
                <w:color w:val="auto"/>
                <w:sz w:val="24"/>
                <w:szCs w:val="24"/>
                <w:highlight w:val="none"/>
              </w:rPr>
              <w:t>倍液喷雾，每次净用量：</w:t>
            </w:r>
            <w:r>
              <w:rPr>
                <w:rFonts w:hint="eastAsia" w:ascii="方正仿宋_GBK" w:hAnsi="方正仿宋_GBK" w:eastAsia="方正仿宋_GBK" w:cs="方正仿宋_GBK"/>
                <w:color w:val="auto"/>
                <w:sz w:val="24"/>
                <w:szCs w:val="24"/>
                <w:highlight w:val="none"/>
                <w:lang w:val="en-US" w:eastAsia="zh-CN" w:bidi="en-US"/>
              </w:rPr>
              <w:t>300g/</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eastAsia="zh-CN"/>
              </w:rPr>
              <w:t>。</w:t>
            </w:r>
          </w:p>
        </w:tc>
        <w:tc>
          <w:tcPr>
            <w:tcW w:w="0" w:type="auto"/>
            <w:vMerge w:val="restart"/>
            <w:tcBorders>
              <w:top w:val="single" w:color="auto" w:sz="4" w:space="0"/>
              <w:left w:val="single" w:color="auto" w:sz="4" w:space="0"/>
              <w:right w:val="single" w:color="auto" w:sz="4" w:space="0"/>
            </w:tcBorders>
            <w:shd w:val="clear" w:color="auto" w:fill="FFFFFF"/>
            <w:vAlign w:val="center"/>
          </w:tcPr>
          <w:p>
            <w:pPr>
              <w:pStyle w:val="36"/>
              <w:spacing w:line="24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参照药物使用说明及实际调查情况</w:t>
            </w:r>
            <w:r>
              <w:rPr>
                <w:rFonts w:hint="eastAsia" w:ascii="方正仿宋_GBK" w:hAnsi="方正仿宋_GBK" w:eastAsia="方正仿宋_GBK" w:cs="方正仿宋_GBK"/>
                <w:color w:val="auto"/>
                <w:sz w:val="24"/>
                <w:szCs w:val="24"/>
                <w:highlight w:val="none"/>
                <w:lang w:eastAsia="zh-CN"/>
              </w:rPr>
              <w:t>。</w:t>
            </w:r>
          </w:p>
        </w:tc>
      </w:tr>
      <w:tr>
        <w:tblPrEx>
          <w:tblCellMar>
            <w:top w:w="0" w:type="dxa"/>
            <w:left w:w="10" w:type="dxa"/>
            <w:bottom w:w="0" w:type="dxa"/>
            <w:right w:w="10" w:type="dxa"/>
          </w:tblCellMar>
        </w:tblPrEx>
        <w:trPr>
          <w:trHeight w:val="1083" w:hRule="exact"/>
        </w:trPr>
        <w:tc>
          <w:tcPr>
            <w:tcW w:w="1074" w:type="dxa"/>
            <w:vMerge w:val="continue"/>
            <w:tcBorders>
              <w:left w:val="single" w:color="auto" w:sz="4" w:space="0"/>
              <w:bottom w:val="single" w:color="auto" w:sz="4" w:space="0"/>
            </w:tcBorders>
            <w:shd w:val="clear" w:color="auto" w:fill="FFFFFF"/>
            <w:textDirection w:val="tbRlV"/>
            <w:vAlign w:val="center"/>
          </w:tcPr>
          <w:p>
            <w:pPr>
              <w:spacing w:line="260" w:lineRule="exact"/>
              <w:jc w:val="center"/>
              <w:rPr>
                <w:rFonts w:hint="eastAsia" w:ascii="方正仿宋_GBK" w:hAnsi="方正仿宋_GBK" w:eastAsia="方正仿宋_GBK" w:cs="方正仿宋_GBK"/>
                <w:color w:val="auto"/>
                <w:sz w:val="24"/>
                <w:szCs w:val="24"/>
                <w:highlight w:val="none"/>
                <w:lang w:eastAsia="zh-CN"/>
              </w:rPr>
            </w:pPr>
          </w:p>
        </w:tc>
        <w:tc>
          <w:tcPr>
            <w:tcW w:w="0" w:type="auto"/>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杀菌剂（50% 多菌灵可湿性粉剂</w:t>
            </w:r>
            <w:r>
              <w:rPr>
                <w:rFonts w:hint="eastAsia" w:ascii="方正仿宋_GBK" w:hAnsi="方正仿宋_GBK" w:eastAsia="方正仿宋_GBK" w:cs="方正仿宋_GBK"/>
                <w:color w:val="auto"/>
                <w:sz w:val="24"/>
                <w:szCs w:val="24"/>
                <w:highlight w:val="none"/>
                <w:lang w:eastAsia="zh-CN"/>
              </w:rPr>
              <w:t>）</w:t>
            </w:r>
          </w:p>
        </w:tc>
        <w:tc>
          <w:tcPr>
            <w:tcW w:w="0" w:type="auto"/>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打药次数根据养护等级确定，每次用量</w:t>
            </w:r>
            <w:r>
              <w:rPr>
                <w:rFonts w:hint="eastAsia" w:ascii="方正仿宋_GBK" w:hAnsi="方正仿宋_GBK" w:eastAsia="方正仿宋_GBK" w:cs="方正仿宋_GBK"/>
                <w:color w:val="auto"/>
                <w:sz w:val="24"/>
                <w:szCs w:val="24"/>
                <w:highlight w:val="none"/>
                <w:lang w:val="en-US" w:eastAsia="zh-CN" w:bidi="en-US"/>
              </w:rPr>
              <w:t>300g/</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eastAsia="zh-CN"/>
              </w:rPr>
              <w:t>。</w:t>
            </w:r>
          </w:p>
        </w:tc>
        <w:tc>
          <w:tcPr>
            <w:tcW w:w="0" w:type="auto"/>
            <w:vMerge w:val="continue"/>
            <w:tcBorders>
              <w:left w:val="single" w:color="auto" w:sz="4" w:space="0"/>
              <w:bottom w:val="single" w:color="auto" w:sz="4" w:space="0"/>
              <w:right w:val="single" w:color="auto" w:sz="4" w:space="0"/>
            </w:tcBorders>
            <w:shd w:val="clear" w:color="auto" w:fill="FFFFFF"/>
            <w:vAlign w:val="center"/>
          </w:tcPr>
          <w:p>
            <w:pPr>
              <w:spacing w:line="260" w:lineRule="exact"/>
              <w:jc w:val="center"/>
              <w:rPr>
                <w:rFonts w:hint="eastAsia" w:ascii="方正仿宋_GBK" w:hAnsi="方正仿宋_GBK" w:eastAsia="方正仿宋_GBK" w:cs="方正仿宋_GBK"/>
                <w:color w:val="auto"/>
                <w:sz w:val="24"/>
                <w:szCs w:val="24"/>
                <w:highlight w:val="none"/>
                <w:lang w:eastAsia="zh-CN"/>
              </w:rPr>
            </w:pPr>
          </w:p>
        </w:tc>
      </w:tr>
      <w:tr>
        <w:tblPrEx>
          <w:tblCellMar>
            <w:top w:w="0" w:type="dxa"/>
            <w:left w:w="10" w:type="dxa"/>
            <w:bottom w:w="0" w:type="dxa"/>
            <w:right w:w="10" w:type="dxa"/>
          </w:tblCellMar>
        </w:tblPrEx>
        <w:trPr>
          <w:trHeight w:val="850" w:hRule="exact"/>
        </w:trPr>
        <w:tc>
          <w:tcPr>
            <w:tcW w:w="1074" w:type="dxa"/>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松土、除草</w:t>
            </w:r>
          </w:p>
        </w:tc>
        <w:tc>
          <w:tcPr>
            <w:tcW w:w="0" w:type="auto"/>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除草剂(金消杂)</w:t>
            </w:r>
          </w:p>
        </w:tc>
        <w:tc>
          <w:tcPr>
            <w:tcW w:w="0" w:type="auto"/>
            <w:tcBorders>
              <w:top w:val="single" w:color="auto" w:sz="4" w:space="0"/>
              <w:left w:val="single" w:color="auto" w:sz="4" w:space="0"/>
              <w:bottom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除草次数根据养护等级确定，</w:t>
            </w:r>
            <w:r>
              <w:rPr>
                <w:rFonts w:hint="eastAsia" w:ascii="方正仿宋_GBK" w:hAnsi="方正仿宋_GBK" w:eastAsia="方正仿宋_GBK" w:cs="方正仿宋_GBK"/>
                <w:color w:val="auto"/>
                <w:sz w:val="24"/>
                <w:szCs w:val="24"/>
                <w:highlight w:val="none"/>
                <w:lang w:val="en-US" w:eastAsia="zh-CN" w:bidi="en-US"/>
              </w:rPr>
              <w:t>40ml/</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val="zh-CN" w:eastAsia="zh-CN" w:bidi="zh-CN"/>
              </w:rPr>
              <w:t>•次。</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26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考虑人工除草与药物除草结合，用量参照药物使用说明</w:t>
            </w:r>
            <w:r>
              <w:rPr>
                <w:rFonts w:hint="eastAsia" w:ascii="方正仿宋_GBK" w:hAnsi="方正仿宋_GBK" w:eastAsia="方正仿宋_GBK" w:cs="方正仿宋_GBK"/>
                <w:color w:val="auto"/>
                <w:sz w:val="24"/>
                <w:szCs w:val="24"/>
                <w:highlight w:val="none"/>
                <w:lang w:eastAsia="zh-CN"/>
              </w:rPr>
              <w:t>。</w:t>
            </w:r>
          </w:p>
        </w:tc>
      </w:tr>
    </w:tbl>
    <w:p>
      <w:pPr>
        <w:pStyle w:val="5"/>
        <w:ind w:firstLine="602" w:firstLineChars="200"/>
        <w:rPr>
          <w:rFonts w:hint="eastAsia"/>
          <w:b/>
          <w:bCs/>
          <w:lang w:val="zh-CN" w:eastAsia="zh-CN"/>
        </w:rPr>
      </w:pPr>
      <w:r>
        <w:rPr>
          <w:rFonts w:hint="eastAsia" w:ascii="方正仿宋_GBK" w:hAnsi="方正仿宋_GBK" w:eastAsia="方正仿宋_GBK" w:cs="方正仿宋_GBK"/>
          <w:b/>
          <w:bCs/>
          <w:color w:val="auto"/>
          <w:sz w:val="30"/>
          <w:szCs w:val="30"/>
          <w:highlight w:val="none"/>
          <w:lang w:val="en-US" w:eastAsia="zh-CN"/>
        </w:rPr>
        <w:t>（三）</w:t>
      </w:r>
      <w:r>
        <w:rPr>
          <w:rFonts w:hint="eastAsia" w:ascii="方正仿宋_GBK" w:hAnsi="方正仿宋_GBK" w:eastAsia="方正仿宋_GBK" w:cs="方正仿宋_GBK"/>
          <w:b/>
          <w:bCs/>
          <w:color w:val="auto"/>
          <w:sz w:val="30"/>
          <w:szCs w:val="30"/>
          <w:highlight w:val="none"/>
        </w:rPr>
        <w:t>草坪及草本地被养护</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kern w:val="0"/>
          <w:sz w:val="30"/>
          <w:szCs w:val="30"/>
          <w:highlight w:val="none"/>
          <w:lang w:val="zh-CN" w:eastAsia="zh-TW" w:bidi="zh-TW"/>
        </w:rPr>
        <w:t>162066.76㎡</w:t>
      </w:r>
      <w:r>
        <w:rPr>
          <w:rFonts w:hint="eastAsia" w:ascii="方正仿宋_GBK" w:hAnsi="方正仿宋_GBK" w:eastAsia="方正仿宋_GBK" w:cs="方正仿宋_GBK"/>
          <w:b/>
          <w:bCs/>
          <w:color w:val="auto"/>
          <w:sz w:val="30"/>
          <w:szCs w:val="30"/>
          <w:highlight w:val="none"/>
          <w:lang w:eastAsia="zh-CN"/>
        </w:rPr>
        <w:t>）</w:t>
      </w:r>
    </w:p>
    <w:p>
      <w:pPr>
        <w:pStyle w:val="35"/>
        <w:numPr>
          <w:ilvl w:val="-1"/>
          <w:numId w:val="0"/>
        </w:numPr>
        <w:tabs>
          <w:tab w:val="left" w:pos="1214"/>
        </w:tabs>
        <w:spacing w:after="0" w:line="58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rPr>
        <w:t>浇水与排水</w:t>
      </w:r>
    </w:p>
    <w:p>
      <w:pPr>
        <w:pStyle w:val="35"/>
        <w:numPr>
          <w:ilvl w:val="0"/>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浇水时间应符合下列规定：</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宜在清晨或傍晚，夏季烈日中午不应浇水</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新铺设草坪应及时充分浇水</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生长阶段，冬、春季久旱无雨、夏季炎热土壤干燥，应及时浇水</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浇水宜</w:t>
      </w:r>
      <w:r>
        <w:rPr>
          <w:rFonts w:hint="eastAsia" w:ascii="方正仿宋_GBK" w:hAnsi="方正仿宋_GBK" w:eastAsia="方正仿宋_GBK" w:cs="方正仿宋_GBK"/>
          <w:color w:val="auto"/>
          <w:sz w:val="30"/>
          <w:szCs w:val="30"/>
          <w:highlight w:val="none"/>
          <w:lang w:eastAsia="zh-CN"/>
        </w:rPr>
        <w:t>采用</w:t>
      </w:r>
      <w:r>
        <w:rPr>
          <w:rFonts w:hint="eastAsia" w:ascii="方正仿宋_GBK" w:hAnsi="方正仿宋_GBK" w:eastAsia="方正仿宋_GBK" w:cs="方正仿宋_GBK"/>
          <w:color w:val="auto"/>
          <w:sz w:val="30"/>
          <w:szCs w:val="30"/>
          <w:highlight w:val="none"/>
        </w:rPr>
        <w:t>自动喷灌或人工喷洒。</w:t>
      </w:r>
    </w:p>
    <w:p>
      <w:pPr>
        <w:pStyle w:val="35"/>
        <w:numPr>
          <w:ilvl w:val="0"/>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浇水量应符合下列规定：</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应根据气候、土质、草坪和草本地被生长等情况适量浇水，保持土壤湿润</w:t>
      </w:r>
      <w:r>
        <w:rPr>
          <w:rFonts w:hint="eastAsia" w:ascii="方正仿宋_GBK" w:hAnsi="方正仿宋_GBK" w:eastAsia="方正仿宋_GBK" w:cs="方正仿宋_GBK"/>
          <w:color w:val="auto"/>
          <w:sz w:val="30"/>
          <w:szCs w:val="30"/>
          <w:highlight w:val="none"/>
          <w:lang w:eastAsia="zh-CN"/>
        </w:rPr>
        <w:t>。</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浇水应湿透根系层，浸湿土层应大于</w:t>
      </w:r>
      <w:r>
        <w:rPr>
          <w:rFonts w:hint="eastAsia" w:ascii="方正仿宋_GBK" w:hAnsi="方正仿宋_GBK" w:eastAsia="方正仿宋_GBK" w:cs="方正仿宋_GBK"/>
          <w:color w:val="auto"/>
          <w:sz w:val="30"/>
          <w:szCs w:val="30"/>
          <w:highlight w:val="none"/>
          <w:lang w:val="en-US" w:eastAsia="zh-CN" w:bidi="en-US"/>
        </w:rPr>
        <w:t>5cm。</w:t>
      </w:r>
    </w:p>
    <w:p>
      <w:pPr>
        <w:pStyle w:val="35"/>
        <w:numPr>
          <w:ilvl w:val="0"/>
          <w:numId w:val="0"/>
        </w:numPr>
        <w:tabs>
          <w:tab w:val="left" w:pos="737"/>
        </w:tabs>
        <w:spacing w:after="0" w:line="600" w:lineRule="exact"/>
        <w:ind w:firstLine="602" w:firstLineChars="200"/>
        <w:rPr>
          <w:rFonts w:hint="eastAsia" w:ascii="方正仿宋_GBK" w:hAnsi="方正仿宋_GBK" w:eastAsia="方正仿宋_GBK" w:cs="方正仿宋_GBK"/>
          <w:b/>
          <w:bCs/>
          <w:color w:val="auto"/>
          <w:sz w:val="30"/>
          <w:szCs w:val="30"/>
          <w:highlight w:val="none"/>
          <w:lang w:eastAsia="zh-CN"/>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3</w:t>
      </w:r>
      <w:r>
        <w:rPr>
          <w:rFonts w:hint="eastAsia" w:ascii="方正仿宋_GBK" w:hAnsi="方正仿宋_GBK" w:eastAsia="方正仿宋_GBK" w:cs="方正仿宋_GBK"/>
          <w:b/>
          <w:bCs/>
          <w:color w:val="auto"/>
          <w:sz w:val="30"/>
          <w:szCs w:val="30"/>
          <w:highlight w:val="none"/>
          <w:lang w:eastAsia="zh-CN"/>
        </w:rPr>
        <w:t>）排涝措施应符合下列规定：</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lang w:eastAsia="zh-CN"/>
        </w:rPr>
        <w:t>遇暴雨或久雨积水应及时开沟排水。</w:t>
      </w:r>
    </w:p>
    <w:p>
      <w:pPr>
        <w:pStyle w:val="35"/>
        <w:numPr>
          <w:ilvl w:val="0"/>
          <w:numId w:val="0"/>
        </w:numPr>
        <w:tabs>
          <w:tab w:val="left" w:pos="737"/>
        </w:tabs>
        <w:spacing w:after="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lang w:eastAsia="zh-CN"/>
        </w:rPr>
        <w:t>有管道排水的草坪应随时检修，保持管网畅通。</w:t>
      </w:r>
    </w:p>
    <w:p>
      <w:pPr>
        <w:pStyle w:val="35"/>
        <w:numPr>
          <w:ilvl w:val="-1"/>
          <w:numId w:val="0"/>
        </w:numPr>
        <w:tabs>
          <w:tab w:val="left" w:pos="1214"/>
        </w:tabs>
        <w:spacing w:after="0" w:line="58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rPr>
        <w:t>施肥</w:t>
      </w:r>
    </w:p>
    <w:p>
      <w:pPr>
        <w:pStyle w:val="35"/>
        <w:spacing w:after="180" w:line="600" w:lineRule="exact"/>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施肥应符合下列原则：</w:t>
      </w:r>
    </w:p>
    <w:p>
      <w:pPr>
        <w:pStyle w:val="35"/>
        <w:numPr>
          <w:ilvl w:val="-1"/>
          <w:numId w:val="0"/>
        </w:numPr>
        <w:tabs>
          <w:tab w:val="left" w:pos="1051"/>
        </w:tabs>
        <w:spacing w:after="18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①</w:t>
      </w:r>
      <w:r>
        <w:rPr>
          <w:rFonts w:hint="eastAsia" w:ascii="方正仿宋_GBK" w:hAnsi="方正仿宋_GBK" w:eastAsia="方正仿宋_GBK" w:cs="方正仿宋_GBK"/>
          <w:color w:val="auto"/>
          <w:sz w:val="30"/>
          <w:szCs w:val="30"/>
          <w:highlight w:val="none"/>
        </w:rPr>
        <w:t>根据土壤肥力或草坪生长情况施肥</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1051"/>
        </w:tabs>
        <w:spacing w:after="18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②</w:t>
      </w:r>
      <w:r>
        <w:rPr>
          <w:rFonts w:hint="eastAsia" w:ascii="方正仿宋_GBK" w:hAnsi="方正仿宋_GBK" w:eastAsia="方正仿宋_GBK" w:cs="方正仿宋_GBK"/>
          <w:color w:val="auto"/>
          <w:sz w:val="30"/>
          <w:szCs w:val="30"/>
          <w:highlight w:val="none"/>
        </w:rPr>
        <w:t>草坪越冬期宜施有机肥料，平时宜薄肥勤施</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1051"/>
        </w:tabs>
        <w:spacing w:after="180" w:line="600" w:lineRule="exact"/>
        <w:ind w:firstLine="600" w:firstLineChars="20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草本地被修剪后应追肥，肥料应以有机复合肥为宜</w:t>
      </w:r>
      <w:r>
        <w:rPr>
          <w:rFonts w:hint="eastAsia" w:ascii="方正仿宋_GBK" w:hAnsi="方正仿宋_GBK" w:eastAsia="方正仿宋_GBK" w:cs="方正仿宋_GBK"/>
          <w:color w:val="auto"/>
          <w:sz w:val="30"/>
          <w:szCs w:val="30"/>
          <w:highlight w:val="none"/>
          <w:lang w:eastAsia="zh-CN"/>
        </w:rPr>
        <w:t>。</w:t>
      </w:r>
    </w:p>
    <w:p>
      <w:pPr>
        <w:pStyle w:val="35"/>
        <w:numPr>
          <w:ilvl w:val="-1"/>
          <w:numId w:val="0"/>
        </w:numPr>
        <w:tabs>
          <w:tab w:val="left" w:pos="1051"/>
        </w:tabs>
        <w:spacing w:after="18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④</w:t>
      </w:r>
      <w:r>
        <w:rPr>
          <w:rFonts w:hint="eastAsia" w:ascii="方正仿宋_GBK" w:hAnsi="方正仿宋_GBK" w:eastAsia="方正仿宋_GBK" w:cs="方正仿宋_GBK"/>
          <w:color w:val="auto"/>
          <w:sz w:val="30"/>
          <w:szCs w:val="30"/>
          <w:highlight w:val="none"/>
        </w:rPr>
        <w:t>多年草本地被在发芽前、生长期或花后应</w:t>
      </w:r>
      <w:r>
        <w:rPr>
          <w:rFonts w:hint="eastAsia" w:ascii="方正仿宋_GBK" w:hAnsi="方正仿宋_GBK" w:eastAsia="方正仿宋_GBK" w:cs="方正仿宋_GBK"/>
          <w:color w:val="auto"/>
          <w:sz w:val="30"/>
          <w:szCs w:val="30"/>
          <w:highlight w:val="none"/>
          <w:lang w:eastAsia="zh-CN"/>
        </w:rPr>
        <w:t>采取</w:t>
      </w:r>
      <w:r>
        <w:rPr>
          <w:rFonts w:hint="eastAsia" w:ascii="方正仿宋_GBK" w:hAnsi="方正仿宋_GBK" w:eastAsia="方正仿宋_GBK" w:cs="方正仿宋_GBK"/>
          <w:color w:val="auto"/>
          <w:sz w:val="30"/>
          <w:szCs w:val="30"/>
          <w:highlight w:val="none"/>
        </w:rPr>
        <w:t>少肥多次的方法补充营养。</w:t>
      </w:r>
    </w:p>
    <w:p>
      <w:pPr>
        <w:pStyle w:val="35"/>
        <w:numPr>
          <w:ilvl w:val="-1"/>
          <w:numId w:val="0"/>
        </w:numPr>
        <w:tabs>
          <w:tab w:val="left" w:pos="1166"/>
        </w:tabs>
        <w:spacing w:after="18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3.</w:t>
      </w:r>
      <w:r>
        <w:rPr>
          <w:rFonts w:hint="eastAsia" w:ascii="方正仿宋_GBK" w:hAnsi="方正仿宋_GBK" w:eastAsia="方正仿宋_GBK" w:cs="方正仿宋_GBK"/>
          <w:b/>
          <w:bCs/>
          <w:color w:val="auto"/>
          <w:sz w:val="30"/>
          <w:szCs w:val="30"/>
          <w:highlight w:val="none"/>
        </w:rPr>
        <w:t>病虫害防治</w:t>
      </w:r>
    </w:p>
    <w:p>
      <w:pPr>
        <w:pStyle w:val="35"/>
        <w:spacing w:after="180" w:line="60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rPr>
        <w:t>具体参照</w:t>
      </w:r>
      <w:r>
        <w:rPr>
          <w:rFonts w:hint="eastAsia" w:ascii="方正仿宋_GBK" w:hAnsi="方正仿宋_GBK" w:eastAsia="方正仿宋_GBK" w:cs="方正仿宋_GBK"/>
          <w:color w:val="auto"/>
          <w:sz w:val="30"/>
          <w:szCs w:val="30"/>
          <w:highlight w:val="none"/>
          <w:lang w:eastAsia="zh-CN"/>
        </w:rPr>
        <w:t>《</w:t>
      </w:r>
      <w:r>
        <w:rPr>
          <w:rFonts w:hint="eastAsia" w:ascii="方正仿宋_GBK" w:hAnsi="方正仿宋_GBK" w:eastAsia="方正仿宋_GBK" w:cs="方正仿宋_GBK"/>
          <w:color w:val="auto"/>
          <w:sz w:val="30"/>
          <w:szCs w:val="30"/>
          <w:highlight w:val="none"/>
          <w:lang w:val="en-US" w:eastAsia="zh-CN"/>
        </w:rPr>
        <w:t>草坪</w:t>
      </w:r>
      <w:r>
        <w:rPr>
          <w:rFonts w:hint="eastAsia" w:ascii="方正仿宋_GBK" w:hAnsi="方正仿宋_GBK" w:eastAsia="方正仿宋_GBK" w:cs="方正仿宋_GBK"/>
          <w:color w:val="auto"/>
          <w:sz w:val="30"/>
          <w:szCs w:val="30"/>
          <w:highlight w:val="none"/>
        </w:rPr>
        <w:t>类绿化维护明细表</w:t>
      </w:r>
      <w:r>
        <w:rPr>
          <w:rFonts w:hint="eastAsia" w:ascii="方正仿宋_GBK" w:hAnsi="方正仿宋_GBK" w:eastAsia="方正仿宋_GBK" w:cs="方正仿宋_GBK"/>
          <w:color w:val="auto"/>
          <w:sz w:val="30"/>
          <w:szCs w:val="30"/>
          <w:highlight w:val="none"/>
          <w:lang w:eastAsia="zh-CN"/>
        </w:rPr>
        <w:t>》</w:t>
      </w:r>
      <w:r>
        <w:rPr>
          <w:rFonts w:hint="eastAsia" w:ascii="方正仿宋_GBK" w:hAnsi="方正仿宋_GBK" w:eastAsia="方正仿宋_GBK" w:cs="方正仿宋_GBK"/>
          <w:color w:val="auto"/>
          <w:sz w:val="30"/>
          <w:szCs w:val="30"/>
          <w:highlight w:val="none"/>
        </w:rPr>
        <w:t>。</w:t>
      </w:r>
    </w:p>
    <w:p>
      <w:pPr>
        <w:pStyle w:val="35"/>
        <w:numPr>
          <w:ilvl w:val="-1"/>
          <w:numId w:val="0"/>
        </w:numPr>
        <w:tabs>
          <w:tab w:val="left" w:pos="1166"/>
        </w:tabs>
        <w:spacing w:after="180" w:line="600" w:lineRule="exact"/>
        <w:ind w:firstLine="602"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4.</w:t>
      </w:r>
      <w:r>
        <w:rPr>
          <w:rFonts w:hint="eastAsia" w:ascii="方正仿宋_GBK" w:hAnsi="方正仿宋_GBK" w:eastAsia="方正仿宋_GBK" w:cs="方正仿宋_GBK"/>
          <w:b/>
          <w:bCs/>
          <w:color w:val="auto"/>
          <w:sz w:val="30"/>
          <w:szCs w:val="30"/>
          <w:highlight w:val="none"/>
        </w:rPr>
        <w:t>控制杂草</w:t>
      </w:r>
    </w:p>
    <w:p>
      <w:pPr>
        <w:pStyle w:val="35"/>
        <w:spacing w:after="18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1</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控制杂草应符合下列原则：</w:t>
      </w:r>
    </w:p>
    <w:p>
      <w:pPr>
        <w:pStyle w:val="35"/>
        <w:spacing w:after="180" w:line="600" w:lineRule="exact"/>
        <w:ind w:firstLine="750" w:firstLineChars="25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bidi="zh-CN"/>
        </w:rPr>
        <w:t>①</w:t>
      </w:r>
      <w:r>
        <w:rPr>
          <w:rFonts w:hint="eastAsia" w:ascii="方正仿宋_GBK" w:hAnsi="方正仿宋_GBK" w:eastAsia="方正仿宋_GBK" w:cs="方正仿宋_GBK"/>
          <w:color w:val="auto"/>
          <w:sz w:val="30"/>
          <w:szCs w:val="30"/>
          <w:highlight w:val="none"/>
          <w:lang w:val="zh-CN" w:eastAsia="zh-CN" w:bidi="zh-CN"/>
        </w:rPr>
        <w:t>应遵循“预防</w:t>
      </w:r>
      <w:r>
        <w:rPr>
          <w:rFonts w:hint="eastAsia" w:ascii="方正仿宋_GBK" w:hAnsi="方正仿宋_GBK" w:eastAsia="方正仿宋_GBK" w:cs="方正仿宋_GBK"/>
          <w:color w:val="auto"/>
          <w:sz w:val="30"/>
          <w:szCs w:val="30"/>
          <w:highlight w:val="none"/>
        </w:rPr>
        <w:t>为主，综合治理”的原则，因地制宜制定综合防除方案</w:t>
      </w:r>
      <w:r>
        <w:rPr>
          <w:rFonts w:hint="eastAsia" w:ascii="方正仿宋_GBK" w:hAnsi="方正仿宋_GBK" w:eastAsia="方正仿宋_GBK" w:cs="方正仿宋_GBK"/>
          <w:color w:val="auto"/>
          <w:sz w:val="30"/>
          <w:szCs w:val="30"/>
          <w:highlight w:val="none"/>
          <w:lang w:eastAsia="zh-CN"/>
        </w:rPr>
        <w:t>。</w:t>
      </w:r>
    </w:p>
    <w:p>
      <w:pPr>
        <w:pStyle w:val="35"/>
        <w:spacing w:after="180" w:line="600" w:lineRule="exact"/>
        <w:ind w:firstLine="750" w:firstLineChars="250"/>
        <w:rPr>
          <w:rFonts w:hint="eastAsia" w:ascii="方正仿宋_GBK" w:hAnsi="方正仿宋_GBK" w:eastAsia="方正仿宋_GBK" w:cs="方正仿宋_GBK"/>
          <w:color w:val="auto"/>
          <w:sz w:val="30"/>
          <w:szCs w:val="30"/>
          <w:highlight w:val="none"/>
          <w:lang w:eastAsia="zh-CN"/>
        </w:rPr>
      </w:pPr>
      <w:r>
        <w:rPr>
          <w:rFonts w:hint="eastAsia" w:ascii="方正仿宋_GBK" w:hAnsi="方正仿宋_GBK" w:eastAsia="方正仿宋_GBK" w:cs="方正仿宋_GBK"/>
          <w:color w:val="auto"/>
          <w:sz w:val="30"/>
          <w:szCs w:val="30"/>
          <w:highlight w:val="none"/>
          <w:lang w:val="en-US" w:eastAsia="zh-CN" w:bidi="zh-CN"/>
        </w:rPr>
        <w:t>②</w:t>
      </w:r>
      <w:r>
        <w:rPr>
          <w:rFonts w:hint="eastAsia" w:ascii="方正仿宋_GBK" w:hAnsi="方正仿宋_GBK" w:eastAsia="方正仿宋_GBK" w:cs="方正仿宋_GBK"/>
          <w:color w:val="auto"/>
          <w:sz w:val="30"/>
          <w:szCs w:val="30"/>
          <w:highlight w:val="none"/>
        </w:rPr>
        <w:t>草坪</w:t>
      </w:r>
      <w:r>
        <w:rPr>
          <w:rFonts w:hint="eastAsia" w:ascii="方正仿宋_GBK" w:hAnsi="方正仿宋_GBK" w:eastAsia="方正仿宋_GBK" w:cs="方正仿宋_GBK"/>
          <w:color w:val="auto"/>
          <w:sz w:val="30"/>
          <w:szCs w:val="30"/>
          <w:highlight w:val="none"/>
          <w:lang w:val="zh-CN" w:eastAsia="zh-CN"/>
        </w:rPr>
        <w:t>/</w:t>
      </w:r>
      <w:r>
        <w:rPr>
          <w:rFonts w:hint="eastAsia" w:ascii="方正仿宋_GBK" w:hAnsi="方正仿宋_GBK" w:eastAsia="方正仿宋_GBK" w:cs="方正仿宋_GBK"/>
          <w:color w:val="auto"/>
          <w:sz w:val="30"/>
          <w:szCs w:val="30"/>
          <w:highlight w:val="none"/>
        </w:rPr>
        <w:t>草本地存在中大型、恶性及缠绕性杂草时应及时清除</w:t>
      </w:r>
      <w:r>
        <w:rPr>
          <w:rFonts w:hint="eastAsia" w:ascii="方正仿宋_GBK" w:hAnsi="方正仿宋_GBK" w:eastAsia="方正仿宋_GBK" w:cs="方正仿宋_GBK"/>
          <w:color w:val="auto"/>
          <w:sz w:val="30"/>
          <w:szCs w:val="30"/>
          <w:highlight w:val="none"/>
          <w:lang w:eastAsia="zh-CN"/>
        </w:rPr>
        <w:t>。</w:t>
      </w:r>
    </w:p>
    <w:p>
      <w:pPr>
        <w:pStyle w:val="35"/>
        <w:spacing w:after="180" w:line="600" w:lineRule="exact"/>
        <w:ind w:firstLine="750" w:firstLineChars="25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③</w:t>
      </w:r>
      <w:r>
        <w:rPr>
          <w:rFonts w:hint="eastAsia" w:ascii="方正仿宋_GBK" w:hAnsi="方正仿宋_GBK" w:eastAsia="方正仿宋_GBK" w:cs="方正仿宋_GBK"/>
          <w:color w:val="auto"/>
          <w:sz w:val="30"/>
          <w:szCs w:val="30"/>
          <w:highlight w:val="none"/>
        </w:rPr>
        <w:t>应及时清除明显影响景观的杂草。</w:t>
      </w:r>
    </w:p>
    <w:p>
      <w:pPr>
        <w:pStyle w:val="35"/>
        <w:numPr>
          <w:ilvl w:val="-1"/>
          <w:numId w:val="0"/>
        </w:numPr>
        <w:tabs>
          <w:tab w:val="left" w:pos="811"/>
        </w:tabs>
        <w:spacing w:after="18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2</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控制方法应符合下列规定：</w:t>
      </w:r>
    </w:p>
    <w:p>
      <w:pPr>
        <w:pStyle w:val="35"/>
        <w:spacing w:after="180" w:line="600" w:lineRule="exact"/>
        <w:ind w:firstLine="520"/>
        <w:rPr>
          <w:rFonts w:hint="eastAsia" w:ascii="方正仿宋_GBK" w:hAnsi="方正仿宋_GBK" w:eastAsia="方正仿宋_GBK" w:cs="方正仿宋_GBK"/>
          <w:color w:val="auto"/>
          <w:sz w:val="30"/>
          <w:szCs w:val="30"/>
          <w:highlight w:val="none"/>
          <w:lang w:val="zh-CN" w:eastAsia="zh-CN" w:bidi="zh-CN"/>
        </w:rPr>
      </w:pPr>
      <w:r>
        <w:rPr>
          <w:rFonts w:hint="eastAsia" w:ascii="方正仿宋_GBK" w:hAnsi="方正仿宋_GBK" w:eastAsia="方正仿宋_GBK" w:cs="方正仿宋_GBK"/>
          <w:color w:val="auto"/>
          <w:sz w:val="30"/>
          <w:szCs w:val="30"/>
          <w:highlight w:val="none"/>
          <w:lang w:val="en-US" w:eastAsia="zh-CN" w:bidi="zh-CN"/>
        </w:rPr>
        <w:t>①</w:t>
      </w:r>
      <w:r>
        <w:rPr>
          <w:rFonts w:hint="eastAsia" w:ascii="方正仿宋_GBK" w:hAnsi="方正仿宋_GBK" w:eastAsia="方正仿宋_GBK" w:cs="方正仿宋_GBK"/>
          <w:color w:val="auto"/>
          <w:sz w:val="30"/>
          <w:szCs w:val="30"/>
          <w:highlight w:val="none"/>
          <w:lang w:val="zh-CN" w:eastAsia="zh-CN" w:bidi="zh-CN"/>
        </w:rPr>
        <w:t>及时清理路边荒地杂草。</w:t>
      </w:r>
    </w:p>
    <w:p>
      <w:pPr>
        <w:pStyle w:val="35"/>
        <w:spacing w:after="180" w:line="600" w:lineRule="exact"/>
        <w:ind w:firstLine="520"/>
        <w:rPr>
          <w:rFonts w:hint="eastAsia" w:ascii="方正仿宋_GBK" w:hAnsi="方正仿宋_GBK" w:eastAsia="方正仿宋_GBK" w:cs="方正仿宋_GBK"/>
          <w:color w:val="auto"/>
          <w:sz w:val="30"/>
          <w:szCs w:val="30"/>
          <w:highlight w:val="none"/>
          <w:lang w:val="zh-CN" w:eastAsia="zh-CN" w:bidi="zh-CN"/>
        </w:rPr>
      </w:pPr>
      <w:r>
        <w:rPr>
          <w:rFonts w:hint="eastAsia" w:ascii="方正仿宋_GBK" w:hAnsi="方正仿宋_GBK" w:eastAsia="方正仿宋_GBK" w:cs="方正仿宋_GBK"/>
          <w:color w:val="auto"/>
          <w:sz w:val="30"/>
          <w:szCs w:val="30"/>
          <w:highlight w:val="none"/>
          <w:lang w:val="en-US" w:eastAsia="zh-CN" w:bidi="zh-CN"/>
        </w:rPr>
        <w:t>②</w:t>
      </w:r>
      <w:r>
        <w:rPr>
          <w:rFonts w:hint="eastAsia" w:ascii="方正仿宋_GBK" w:hAnsi="方正仿宋_GBK" w:eastAsia="方正仿宋_GBK" w:cs="方正仿宋_GBK"/>
          <w:color w:val="auto"/>
          <w:sz w:val="30"/>
          <w:szCs w:val="30"/>
          <w:highlight w:val="none"/>
          <w:lang w:val="zh-CN" w:eastAsia="zh-CN" w:bidi="zh-CN"/>
        </w:rPr>
        <w:t>科学进行肥水管理，增强草坪竞争力，抑制杂草发生。</w:t>
      </w:r>
    </w:p>
    <w:p>
      <w:pPr>
        <w:pStyle w:val="35"/>
        <w:numPr>
          <w:ilvl w:val="-1"/>
          <w:numId w:val="0"/>
        </w:numPr>
        <w:tabs>
          <w:tab w:val="left" w:pos="811"/>
        </w:tabs>
        <w:spacing w:after="180" w:line="600" w:lineRule="exact"/>
        <w:ind w:firstLine="602" w:firstLineChars="20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lang w:val="en-US" w:eastAsia="zh-CN"/>
        </w:rPr>
        <w:t>3</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sz w:val="30"/>
          <w:szCs w:val="30"/>
          <w:highlight w:val="none"/>
        </w:rPr>
        <w:t>除草方法应符合下列规定：</w:t>
      </w:r>
    </w:p>
    <w:p>
      <w:pPr>
        <w:pStyle w:val="35"/>
        <w:spacing w:after="180" w:line="600" w:lineRule="exact"/>
        <w:ind w:firstLine="520"/>
        <w:rPr>
          <w:rFonts w:hint="eastAsia" w:ascii="方正仿宋_GBK" w:hAnsi="方正仿宋_GBK" w:eastAsia="方正仿宋_GBK" w:cs="方正仿宋_GBK"/>
          <w:color w:val="auto"/>
          <w:sz w:val="30"/>
          <w:szCs w:val="30"/>
          <w:highlight w:val="none"/>
          <w:lang w:val="zh-CN" w:eastAsia="zh-CN" w:bidi="zh-CN"/>
        </w:rPr>
      </w:pPr>
      <w:r>
        <w:rPr>
          <w:rFonts w:hint="eastAsia" w:ascii="方正仿宋_GBK" w:hAnsi="方正仿宋_GBK" w:eastAsia="方正仿宋_GBK" w:cs="方正仿宋_GBK"/>
          <w:color w:val="auto"/>
          <w:sz w:val="30"/>
          <w:szCs w:val="30"/>
          <w:highlight w:val="none"/>
          <w:lang w:val="en-US" w:eastAsia="zh-CN" w:bidi="zh-CN"/>
        </w:rPr>
        <w:t>①</w:t>
      </w:r>
      <w:r>
        <w:rPr>
          <w:rFonts w:hint="eastAsia" w:ascii="方正仿宋_GBK" w:hAnsi="方正仿宋_GBK" w:eastAsia="方正仿宋_GBK" w:cs="方正仿宋_GBK"/>
          <w:color w:val="auto"/>
          <w:sz w:val="30"/>
          <w:szCs w:val="30"/>
          <w:highlight w:val="none"/>
          <w:lang w:val="zh-CN" w:eastAsia="zh-CN" w:bidi="zh-CN"/>
        </w:rPr>
        <w:t>除草以人工挑除为主，连根挑净，清理出场。</w:t>
      </w:r>
    </w:p>
    <w:p>
      <w:pPr>
        <w:pStyle w:val="35"/>
        <w:spacing w:after="180" w:line="600" w:lineRule="exact"/>
        <w:ind w:firstLine="520"/>
        <w:rPr>
          <w:rFonts w:hint="eastAsia" w:ascii="方正仿宋_GBK" w:hAnsi="方正仿宋_GBK" w:eastAsia="方正仿宋_GBK" w:cs="方正仿宋_GBK"/>
          <w:color w:val="auto"/>
          <w:sz w:val="30"/>
          <w:szCs w:val="30"/>
          <w:highlight w:val="none"/>
          <w:lang w:val="zh-CN" w:eastAsia="zh-CN" w:bidi="zh-CN"/>
        </w:rPr>
      </w:pPr>
      <w:r>
        <w:rPr>
          <w:rFonts w:hint="eastAsia" w:ascii="方正仿宋_GBK" w:hAnsi="方正仿宋_GBK" w:eastAsia="方正仿宋_GBK" w:cs="方正仿宋_GBK"/>
          <w:color w:val="auto"/>
          <w:sz w:val="30"/>
          <w:szCs w:val="30"/>
          <w:highlight w:val="none"/>
          <w:lang w:val="en-US" w:eastAsia="zh-CN" w:bidi="zh-CN"/>
        </w:rPr>
        <w:t>②</w:t>
      </w:r>
      <w:r>
        <w:rPr>
          <w:rFonts w:hint="eastAsia" w:ascii="方正仿宋_GBK" w:hAnsi="方正仿宋_GBK" w:eastAsia="方正仿宋_GBK" w:cs="方正仿宋_GBK"/>
          <w:color w:val="auto"/>
          <w:sz w:val="30"/>
          <w:szCs w:val="30"/>
          <w:highlight w:val="none"/>
          <w:lang w:val="zh-CN" w:eastAsia="zh-CN" w:bidi="zh-CN"/>
        </w:rPr>
        <w:t>必要时采用机械修剪、生物或化学药剂进行防治。</w:t>
      </w:r>
    </w:p>
    <w:p>
      <w:pPr>
        <w:pStyle w:val="38"/>
        <w:spacing w:line="600" w:lineRule="exact"/>
        <w:ind w:left="468" w:firstLine="0"/>
        <w:rPr>
          <w:rFonts w:hint="eastAsia" w:ascii="方正仿宋_GBK" w:hAnsi="方正仿宋_GBK" w:eastAsia="方正仿宋_GBK" w:cs="方正仿宋_GBK"/>
          <w:b/>
          <w:bCs/>
          <w:color w:val="auto"/>
          <w:sz w:val="30"/>
          <w:szCs w:val="30"/>
          <w:highlight w:val="none"/>
        </w:rPr>
      </w:pPr>
      <w:r>
        <w:rPr>
          <w:rFonts w:hint="eastAsia" w:ascii="方正仿宋_GBK" w:hAnsi="方正仿宋_GBK" w:eastAsia="方正仿宋_GBK" w:cs="方正仿宋_GBK"/>
          <w:b/>
          <w:bCs/>
          <w:color w:val="auto"/>
          <w:sz w:val="30"/>
          <w:szCs w:val="30"/>
          <w:highlight w:val="none"/>
          <w:lang w:val="en-US" w:eastAsia="zh-CN"/>
        </w:rPr>
        <w:t>5、</w:t>
      </w:r>
      <w:r>
        <w:rPr>
          <w:rFonts w:hint="eastAsia" w:ascii="方正仿宋_GBK" w:hAnsi="方正仿宋_GBK" w:eastAsia="方正仿宋_GBK" w:cs="方正仿宋_GBK"/>
          <w:b/>
          <w:bCs/>
          <w:color w:val="auto"/>
          <w:sz w:val="30"/>
          <w:szCs w:val="30"/>
          <w:highlight w:val="none"/>
        </w:rPr>
        <w:t>草坪类绿化维护明细表</w:t>
      </w:r>
    </w:p>
    <w:tbl>
      <w:tblPr>
        <w:tblStyle w:val="11"/>
        <w:tblW w:w="8142" w:type="dxa"/>
        <w:jc w:val="center"/>
        <w:tblLayout w:type="fixed"/>
        <w:tblCellMar>
          <w:top w:w="0" w:type="dxa"/>
          <w:left w:w="10" w:type="dxa"/>
          <w:bottom w:w="0" w:type="dxa"/>
          <w:right w:w="10" w:type="dxa"/>
        </w:tblCellMar>
      </w:tblPr>
      <w:tblGrid>
        <w:gridCol w:w="1562"/>
        <w:gridCol w:w="1411"/>
        <w:gridCol w:w="7"/>
        <w:gridCol w:w="2945"/>
        <w:gridCol w:w="2217"/>
      </w:tblGrid>
      <w:tr>
        <w:tblPrEx>
          <w:tblCellMar>
            <w:top w:w="0" w:type="dxa"/>
            <w:left w:w="10" w:type="dxa"/>
            <w:bottom w:w="0" w:type="dxa"/>
            <w:right w:w="10" w:type="dxa"/>
          </w:tblCellMar>
        </w:tblPrEx>
        <w:trPr>
          <w:trHeight w:val="504" w:hRule="exact"/>
          <w:jc w:val="center"/>
        </w:trPr>
        <w:tc>
          <w:tcPr>
            <w:tcW w:w="1562" w:type="dxa"/>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作业内容</w:t>
            </w:r>
          </w:p>
        </w:tc>
        <w:tc>
          <w:tcPr>
            <w:tcW w:w="1418" w:type="dxa"/>
            <w:gridSpan w:val="2"/>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材料名称</w:t>
            </w:r>
          </w:p>
        </w:tc>
        <w:tc>
          <w:tcPr>
            <w:tcW w:w="2945" w:type="dxa"/>
            <w:tcBorders>
              <w:top w:val="single" w:color="auto" w:sz="4" w:space="0"/>
              <w:left w:val="single" w:color="auto" w:sz="4" w:space="0"/>
            </w:tcBorders>
            <w:shd w:val="clear" w:color="auto" w:fill="FFFFFF"/>
            <w:vAlign w:val="center"/>
          </w:tcPr>
          <w:p>
            <w:pPr>
              <w:pStyle w:val="36"/>
              <w:spacing w:line="300" w:lineRule="exact"/>
              <w:ind w:firstLine="560"/>
              <w:jc w:val="center"/>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rPr>
              <w:t>养护标准</w:t>
            </w:r>
          </w:p>
        </w:tc>
        <w:tc>
          <w:tcPr>
            <w:tcW w:w="2217" w:type="dxa"/>
            <w:tcBorders>
              <w:top w:val="single" w:color="auto" w:sz="4" w:space="0"/>
              <w:left w:val="single" w:color="auto" w:sz="4" w:space="0"/>
              <w:right w:val="single" w:color="auto" w:sz="4" w:space="0"/>
            </w:tcBorders>
            <w:shd w:val="clear" w:color="auto" w:fill="FFFFFF"/>
            <w:vAlign w:val="center"/>
          </w:tcPr>
          <w:p>
            <w:pPr>
              <w:pStyle w:val="36"/>
              <w:spacing w:line="300" w:lineRule="exact"/>
              <w:ind w:firstLine="560"/>
              <w:jc w:val="center"/>
              <w:rPr>
                <w:rFonts w:hint="eastAsia" w:ascii="方正仿宋_GBK" w:hAnsi="方正仿宋_GBK" w:eastAsia="方正仿宋_GBK" w:cs="方正仿宋_GBK"/>
                <w:b/>
                <w:bCs/>
                <w:color w:val="auto"/>
                <w:sz w:val="24"/>
                <w:szCs w:val="24"/>
                <w:highlight w:val="none"/>
              </w:rPr>
            </w:pPr>
            <w:r>
              <w:rPr>
                <w:rFonts w:hint="eastAsia" w:ascii="方正仿宋_GBK" w:hAnsi="方正仿宋_GBK" w:eastAsia="方正仿宋_GBK" w:cs="方正仿宋_GBK"/>
                <w:b/>
                <w:bCs/>
                <w:color w:val="auto"/>
                <w:sz w:val="24"/>
                <w:szCs w:val="24"/>
                <w:highlight w:val="none"/>
              </w:rPr>
              <w:t>备注</w:t>
            </w:r>
          </w:p>
        </w:tc>
      </w:tr>
      <w:tr>
        <w:tblPrEx>
          <w:tblCellMar>
            <w:top w:w="0" w:type="dxa"/>
            <w:left w:w="10" w:type="dxa"/>
            <w:bottom w:w="0" w:type="dxa"/>
            <w:right w:w="10" w:type="dxa"/>
          </w:tblCellMar>
        </w:tblPrEx>
        <w:trPr>
          <w:trHeight w:val="1313" w:hRule="exact"/>
          <w:jc w:val="center"/>
        </w:trPr>
        <w:tc>
          <w:tcPr>
            <w:tcW w:w="1562" w:type="dxa"/>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w:t>
            </w:r>
          </w:p>
        </w:tc>
        <w:tc>
          <w:tcPr>
            <w:tcW w:w="1418" w:type="dxa"/>
            <w:gridSpan w:val="2"/>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自来水</w:t>
            </w:r>
          </w:p>
        </w:tc>
        <w:tc>
          <w:tcPr>
            <w:tcW w:w="2945" w:type="dxa"/>
            <w:tcBorders>
              <w:top w:val="single" w:color="auto" w:sz="4" w:space="0"/>
              <w:left w:val="single" w:color="auto" w:sz="4" w:space="0"/>
            </w:tcBorders>
            <w:shd w:val="clear" w:color="auto" w:fill="FFFFFF"/>
            <w:vAlign w:val="center"/>
          </w:tcPr>
          <w:p>
            <w:pPr>
              <w:pStyle w:val="36"/>
              <w:spacing w:after="180" w:line="30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灌溉次数按养护等级确定，草坪20公斤</w:t>
            </w:r>
            <w:r>
              <w:rPr>
                <w:rFonts w:hint="eastAsia" w:ascii="方正仿宋_GBK" w:hAnsi="方正仿宋_GBK" w:eastAsia="方正仿宋_GBK" w:cs="方正仿宋_GBK"/>
                <w:color w:val="auto"/>
                <w:sz w:val="24"/>
                <w:szCs w:val="24"/>
                <w:highlight w:val="none"/>
                <w:lang w:val="en-US" w:eastAsia="zh-CN" w:bidi="en-US"/>
              </w:rPr>
              <w:t>/</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zh-CN" w:eastAsia="zh-CN" w:bidi="zh-CN"/>
              </w:rPr>
              <w:t>•次。</w:t>
            </w:r>
          </w:p>
        </w:tc>
        <w:tc>
          <w:tcPr>
            <w:tcW w:w="2217" w:type="dxa"/>
            <w:tcBorders>
              <w:top w:val="single" w:color="auto" w:sz="4" w:space="0"/>
              <w:left w:val="single" w:color="auto" w:sz="4" w:space="0"/>
              <w:right w:val="single" w:color="auto" w:sz="4" w:space="0"/>
            </w:tcBorders>
            <w:shd w:val="clear" w:color="auto" w:fill="FFFFFF"/>
            <w:vAlign w:val="center"/>
          </w:tcPr>
          <w:p>
            <w:pPr>
              <w:pStyle w:val="36"/>
              <w:spacing w:line="300" w:lineRule="exact"/>
              <w:ind w:firstLine="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用水量参考《成都市绿化养护管理技术标准（试行）》。</w:t>
            </w:r>
          </w:p>
        </w:tc>
      </w:tr>
      <w:tr>
        <w:tblPrEx>
          <w:tblCellMar>
            <w:top w:w="0" w:type="dxa"/>
            <w:left w:w="10" w:type="dxa"/>
            <w:bottom w:w="0" w:type="dxa"/>
            <w:right w:w="10" w:type="dxa"/>
          </w:tblCellMar>
        </w:tblPrEx>
        <w:trPr>
          <w:trHeight w:val="2334" w:hRule="exact"/>
          <w:jc w:val="center"/>
        </w:trPr>
        <w:tc>
          <w:tcPr>
            <w:tcW w:w="1562" w:type="dxa"/>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施肥</w:t>
            </w:r>
          </w:p>
        </w:tc>
        <w:tc>
          <w:tcPr>
            <w:tcW w:w="1418" w:type="dxa"/>
            <w:gridSpan w:val="2"/>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尿素</w:t>
            </w:r>
          </w:p>
        </w:tc>
        <w:tc>
          <w:tcPr>
            <w:tcW w:w="2945" w:type="dxa"/>
            <w:tcBorders>
              <w:top w:val="single" w:color="auto" w:sz="4" w:space="0"/>
              <w:left w:val="single" w:color="auto" w:sz="4" w:space="0"/>
            </w:tcBorders>
            <w:shd w:val="clear" w:color="auto" w:fill="FFFFFF"/>
            <w:vAlign w:val="center"/>
          </w:tcPr>
          <w:p>
            <w:pPr>
              <w:pStyle w:val="36"/>
              <w:spacing w:line="30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施肥次数按养护等级确定，追肥量按10克/</w:t>
            </w:r>
            <w:r>
              <w:rPr>
                <w:rFonts w:hint="eastAsia" w:ascii="方正仿宋_GBK" w:hAnsi="方正仿宋_GBK" w:eastAsia="方正仿宋_GBK" w:cs="方正仿宋_GBK"/>
                <w:color w:val="auto"/>
                <w:kern w:val="2"/>
                <w:sz w:val="24"/>
                <w:szCs w:val="24"/>
                <w:highlight w:val="none"/>
                <w:lang w:val="en-US" w:eastAsia="zh-CN" w:bidi="ar"/>
              </w:rPr>
              <w:t>㎡•次</w:t>
            </w:r>
            <w:r>
              <w:rPr>
                <w:rFonts w:hint="eastAsia" w:ascii="方正仿宋_GBK" w:hAnsi="方正仿宋_GBK" w:eastAsia="方正仿宋_GBK" w:cs="方正仿宋_GBK"/>
                <w:color w:val="auto"/>
                <w:sz w:val="24"/>
                <w:szCs w:val="24"/>
                <w:highlight w:val="none"/>
                <w:lang w:val="zh-CN" w:eastAsia="zh-CN" w:bidi="zh-CN"/>
              </w:rPr>
              <w:t>。</w:t>
            </w:r>
          </w:p>
        </w:tc>
        <w:tc>
          <w:tcPr>
            <w:tcW w:w="2217" w:type="dxa"/>
            <w:tcBorders>
              <w:top w:val="single" w:color="auto" w:sz="4" w:space="0"/>
              <w:left w:val="single" w:color="auto" w:sz="4" w:space="0"/>
              <w:right w:val="single" w:color="auto" w:sz="4" w:space="0"/>
            </w:tcBorders>
            <w:shd w:val="clear" w:color="auto" w:fill="FFFFFF"/>
            <w:vAlign w:val="center"/>
          </w:tcPr>
          <w:p>
            <w:pPr>
              <w:pStyle w:val="36"/>
              <w:spacing w:line="300" w:lineRule="exact"/>
              <w:ind w:firstLine="0"/>
              <w:jc w:val="both"/>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施肥量主要参考《成都市绿化养护管理技术标准（试行）》</w:t>
            </w:r>
          </w:p>
        </w:tc>
      </w:tr>
      <w:tr>
        <w:tblPrEx>
          <w:tblCellMar>
            <w:top w:w="0" w:type="dxa"/>
            <w:left w:w="10" w:type="dxa"/>
            <w:bottom w:w="0" w:type="dxa"/>
            <w:right w:w="10" w:type="dxa"/>
          </w:tblCellMar>
        </w:tblPrEx>
        <w:trPr>
          <w:trHeight w:val="988" w:hRule="exact"/>
          <w:jc w:val="center"/>
        </w:trPr>
        <w:tc>
          <w:tcPr>
            <w:tcW w:w="1562" w:type="dxa"/>
            <w:vMerge w:val="restart"/>
            <w:tcBorders>
              <w:top w:val="single" w:color="auto" w:sz="4" w:space="0"/>
              <w:left w:val="single" w:color="auto" w:sz="4" w:space="0"/>
            </w:tcBorders>
            <w:shd w:val="clear" w:color="auto" w:fill="FFFFFF"/>
            <w:vAlign w:val="center"/>
          </w:tcPr>
          <w:p>
            <w:pPr>
              <w:pStyle w:val="36"/>
              <w:spacing w:after="220"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病虫害防治（常用药剂）</w:t>
            </w:r>
          </w:p>
        </w:tc>
        <w:tc>
          <w:tcPr>
            <w:tcW w:w="1418" w:type="dxa"/>
            <w:gridSpan w:val="2"/>
            <w:tcBorders>
              <w:top w:val="single" w:color="auto" w:sz="4" w:space="0"/>
              <w:left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杀虫剂（80敌敌畏乳油％）</w:t>
            </w:r>
          </w:p>
        </w:tc>
        <w:tc>
          <w:tcPr>
            <w:tcW w:w="2945" w:type="dxa"/>
            <w:tcBorders>
              <w:top w:val="single" w:color="auto" w:sz="4" w:space="0"/>
              <w:left w:val="single" w:color="auto" w:sz="4" w:space="0"/>
            </w:tcBorders>
            <w:shd w:val="clear" w:color="auto" w:fill="FFFFFF"/>
            <w:vAlign w:val="center"/>
          </w:tcPr>
          <w:p>
            <w:pPr>
              <w:pStyle w:val="36"/>
              <w:spacing w:line="30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打药次数根据养护等级确定，按1</w:t>
            </w:r>
            <w:r>
              <w:rPr>
                <w:rFonts w:hint="eastAsia" w:ascii="方正仿宋_GBK" w:hAnsi="方正仿宋_GBK" w:eastAsia="方正仿宋_GBK" w:cs="方正仿宋_GBK"/>
                <w:color w:val="auto"/>
                <w:sz w:val="24"/>
                <w:szCs w:val="24"/>
                <w:highlight w:val="none"/>
                <w:lang w:val="en-US" w:eastAsia="zh-CN" w:bidi="en-US"/>
              </w:rPr>
              <w:t>500-2000</w:t>
            </w:r>
            <w:r>
              <w:rPr>
                <w:rFonts w:hint="eastAsia" w:ascii="方正仿宋_GBK" w:hAnsi="方正仿宋_GBK" w:eastAsia="方正仿宋_GBK" w:cs="方正仿宋_GBK"/>
                <w:color w:val="auto"/>
                <w:sz w:val="24"/>
                <w:szCs w:val="24"/>
                <w:highlight w:val="none"/>
              </w:rPr>
              <w:t>倍液喷雾，每次净用量：</w:t>
            </w:r>
            <w:r>
              <w:rPr>
                <w:rFonts w:hint="eastAsia" w:ascii="方正仿宋_GBK" w:hAnsi="方正仿宋_GBK" w:eastAsia="方正仿宋_GBK" w:cs="方正仿宋_GBK"/>
                <w:color w:val="auto"/>
                <w:sz w:val="24"/>
                <w:szCs w:val="24"/>
                <w:highlight w:val="none"/>
                <w:lang w:val="en-US" w:eastAsia="zh-CN" w:bidi="en-US"/>
              </w:rPr>
              <w:t>300g/</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eastAsia="zh-CN"/>
              </w:rPr>
              <w:t>。</w:t>
            </w:r>
          </w:p>
        </w:tc>
        <w:tc>
          <w:tcPr>
            <w:tcW w:w="2217" w:type="dxa"/>
            <w:vMerge w:val="restart"/>
            <w:tcBorders>
              <w:top w:val="single" w:color="auto" w:sz="4" w:space="0"/>
              <w:left w:val="single" w:color="auto" w:sz="4" w:space="0"/>
              <w:right w:val="single" w:color="auto" w:sz="4" w:space="0"/>
            </w:tcBorders>
            <w:shd w:val="clear" w:color="auto" w:fill="FFFFFF"/>
            <w:vAlign w:val="center"/>
          </w:tcPr>
          <w:p>
            <w:pPr>
              <w:pStyle w:val="36"/>
              <w:spacing w:after="200" w:line="30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参照药物使用说明及实际调查情况</w:t>
            </w:r>
            <w:r>
              <w:rPr>
                <w:rFonts w:hint="eastAsia" w:ascii="方正仿宋_GBK" w:hAnsi="方正仿宋_GBK" w:eastAsia="方正仿宋_GBK" w:cs="方正仿宋_GBK"/>
                <w:color w:val="auto"/>
                <w:sz w:val="24"/>
                <w:szCs w:val="24"/>
                <w:highlight w:val="none"/>
                <w:lang w:eastAsia="zh-CN"/>
              </w:rPr>
              <w:t>。</w:t>
            </w:r>
          </w:p>
        </w:tc>
      </w:tr>
      <w:tr>
        <w:tblPrEx>
          <w:tblCellMar>
            <w:top w:w="0" w:type="dxa"/>
            <w:left w:w="10" w:type="dxa"/>
            <w:bottom w:w="0" w:type="dxa"/>
            <w:right w:w="10" w:type="dxa"/>
          </w:tblCellMar>
        </w:tblPrEx>
        <w:trPr>
          <w:trHeight w:val="863" w:hRule="exact"/>
          <w:jc w:val="center"/>
        </w:trPr>
        <w:tc>
          <w:tcPr>
            <w:tcW w:w="1562" w:type="dxa"/>
            <w:vMerge w:val="continue"/>
            <w:tcBorders>
              <w:left w:val="single" w:color="auto" w:sz="4" w:space="0"/>
              <w:bottom w:val="single" w:color="auto" w:sz="4" w:space="0"/>
            </w:tcBorders>
            <w:shd w:val="clear" w:color="auto" w:fill="FFFFFF"/>
            <w:vAlign w:val="center"/>
          </w:tcPr>
          <w:p>
            <w:pPr>
              <w:spacing w:line="300" w:lineRule="exact"/>
              <w:jc w:val="center"/>
              <w:rPr>
                <w:rFonts w:hint="eastAsia" w:ascii="方正仿宋_GBK" w:hAnsi="方正仿宋_GBK" w:eastAsia="方正仿宋_GBK" w:cs="方正仿宋_GBK"/>
                <w:color w:val="auto"/>
                <w:sz w:val="24"/>
                <w:szCs w:val="24"/>
                <w:highlight w:val="none"/>
                <w:lang w:eastAsia="zh-CN"/>
              </w:rPr>
            </w:pPr>
          </w:p>
        </w:tc>
        <w:tc>
          <w:tcPr>
            <w:tcW w:w="1418" w:type="dxa"/>
            <w:gridSpan w:val="2"/>
            <w:tcBorders>
              <w:top w:val="single" w:color="auto" w:sz="4" w:space="0"/>
              <w:left w:val="single" w:color="auto" w:sz="4" w:space="0"/>
              <w:bottom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杀菌剂（50%</w:t>
            </w:r>
          </w:p>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多菌灵可湿性粉剂）</w:t>
            </w:r>
          </w:p>
        </w:tc>
        <w:tc>
          <w:tcPr>
            <w:tcW w:w="2945" w:type="dxa"/>
            <w:tcBorders>
              <w:top w:val="single" w:color="auto" w:sz="4" w:space="0"/>
              <w:left w:val="single" w:color="auto" w:sz="4" w:space="0"/>
              <w:bottom w:val="single" w:color="auto" w:sz="4" w:space="0"/>
            </w:tcBorders>
            <w:shd w:val="clear" w:color="auto" w:fill="FFFFFF"/>
            <w:vAlign w:val="center"/>
          </w:tcPr>
          <w:p>
            <w:pPr>
              <w:pStyle w:val="36"/>
              <w:spacing w:after="200" w:line="30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打药次数根据养护等级确定，每次用量</w:t>
            </w:r>
            <w:r>
              <w:rPr>
                <w:rFonts w:hint="eastAsia" w:ascii="方正仿宋_GBK" w:hAnsi="方正仿宋_GBK" w:eastAsia="方正仿宋_GBK" w:cs="方正仿宋_GBK"/>
                <w:color w:val="auto"/>
                <w:sz w:val="24"/>
                <w:szCs w:val="24"/>
                <w:highlight w:val="none"/>
                <w:lang w:val="en-US" w:eastAsia="zh-CN" w:bidi="en-US"/>
              </w:rPr>
              <w:t>300g/</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eastAsia="zh-CN"/>
              </w:rPr>
              <w:t>。</w:t>
            </w:r>
          </w:p>
        </w:tc>
        <w:tc>
          <w:tcPr>
            <w:tcW w:w="2217" w:type="dxa"/>
            <w:vMerge w:val="continue"/>
            <w:tcBorders>
              <w:left w:val="single" w:color="auto" w:sz="4" w:space="0"/>
              <w:bottom w:val="single" w:color="auto" w:sz="4" w:space="0"/>
              <w:right w:val="single" w:color="auto" w:sz="4" w:space="0"/>
            </w:tcBorders>
            <w:shd w:val="clear" w:color="auto" w:fill="FFFFFF"/>
            <w:vAlign w:val="center"/>
          </w:tcPr>
          <w:p>
            <w:pPr>
              <w:spacing w:line="300" w:lineRule="exact"/>
              <w:jc w:val="both"/>
              <w:rPr>
                <w:rFonts w:hint="eastAsia" w:ascii="方正仿宋_GBK" w:hAnsi="方正仿宋_GBK" w:eastAsia="方正仿宋_GBK" w:cs="方正仿宋_GBK"/>
                <w:color w:val="auto"/>
                <w:sz w:val="24"/>
                <w:szCs w:val="24"/>
                <w:highlight w:val="none"/>
                <w:lang w:eastAsia="zh-CN"/>
              </w:rPr>
            </w:pPr>
          </w:p>
        </w:tc>
      </w:tr>
      <w:tr>
        <w:tblPrEx>
          <w:tblCellMar>
            <w:top w:w="0" w:type="dxa"/>
            <w:left w:w="10" w:type="dxa"/>
            <w:bottom w:w="0" w:type="dxa"/>
            <w:right w:w="10" w:type="dxa"/>
          </w:tblCellMar>
        </w:tblPrEx>
        <w:trPr>
          <w:trHeight w:val="944" w:hRule="exact"/>
          <w:jc w:val="center"/>
        </w:trPr>
        <w:tc>
          <w:tcPr>
            <w:tcW w:w="1562" w:type="dxa"/>
            <w:tcBorders>
              <w:top w:val="single" w:color="auto" w:sz="4" w:space="0"/>
              <w:left w:val="single" w:color="auto" w:sz="4" w:space="0"/>
              <w:bottom w:val="single" w:color="auto" w:sz="4" w:space="0"/>
            </w:tcBorders>
            <w:shd w:val="clear" w:color="auto" w:fill="FFFFFF"/>
            <w:vAlign w:val="center"/>
          </w:tcPr>
          <w:p>
            <w:pPr>
              <w:pStyle w:val="36"/>
              <w:spacing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松土、除草</w:t>
            </w:r>
          </w:p>
        </w:tc>
        <w:tc>
          <w:tcPr>
            <w:tcW w:w="1411" w:type="dxa"/>
            <w:tcBorders>
              <w:top w:val="single" w:color="auto" w:sz="4" w:space="0"/>
              <w:left w:val="single" w:color="auto" w:sz="4" w:space="0"/>
              <w:bottom w:val="single" w:color="auto" w:sz="4" w:space="0"/>
            </w:tcBorders>
            <w:shd w:val="clear" w:color="auto" w:fill="FFFFFF"/>
            <w:vAlign w:val="center"/>
          </w:tcPr>
          <w:p>
            <w:pPr>
              <w:pStyle w:val="36"/>
              <w:spacing w:after="200" w:line="300" w:lineRule="exact"/>
              <w:ind w:firstLine="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除草剂（金消杂）</w:t>
            </w:r>
          </w:p>
        </w:tc>
        <w:tc>
          <w:tcPr>
            <w:tcW w:w="2952" w:type="dxa"/>
            <w:gridSpan w:val="2"/>
            <w:tcBorders>
              <w:top w:val="single" w:color="auto" w:sz="4" w:space="0"/>
              <w:left w:val="single" w:color="auto" w:sz="4" w:space="0"/>
              <w:bottom w:val="single" w:color="auto" w:sz="4" w:space="0"/>
            </w:tcBorders>
            <w:shd w:val="clear" w:color="auto" w:fill="FFFFFF"/>
            <w:vAlign w:val="center"/>
          </w:tcPr>
          <w:p>
            <w:pPr>
              <w:pStyle w:val="36"/>
              <w:spacing w:after="180" w:line="300" w:lineRule="exact"/>
              <w:ind w:firstLine="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除草次数根据养护等级确定，</w:t>
            </w:r>
            <w:r>
              <w:rPr>
                <w:rFonts w:hint="eastAsia" w:ascii="方正仿宋_GBK" w:hAnsi="方正仿宋_GBK" w:eastAsia="方正仿宋_GBK" w:cs="方正仿宋_GBK"/>
                <w:color w:val="auto"/>
                <w:sz w:val="24"/>
                <w:szCs w:val="24"/>
                <w:highlight w:val="none"/>
                <w:lang w:val="en-US" w:eastAsia="zh-CN" w:bidi="en-US"/>
              </w:rPr>
              <w:t>40ml/</w:t>
            </w:r>
            <w:r>
              <w:rPr>
                <w:rFonts w:hint="eastAsia" w:ascii="方正仿宋_GBK" w:hAnsi="方正仿宋_GBK" w:eastAsia="方正仿宋_GBK" w:cs="方正仿宋_GBK"/>
                <w:color w:val="auto"/>
                <w:sz w:val="24"/>
                <w:szCs w:val="24"/>
                <w:highlight w:val="none"/>
              </w:rPr>
              <w:t>亩</w:t>
            </w:r>
            <w:r>
              <w:rPr>
                <w:rFonts w:hint="eastAsia" w:ascii="方正仿宋_GBK" w:hAnsi="方正仿宋_GBK" w:eastAsia="方正仿宋_GBK" w:cs="方正仿宋_GBK"/>
                <w:color w:val="auto"/>
                <w:sz w:val="24"/>
                <w:szCs w:val="24"/>
                <w:highlight w:val="none"/>
                <w:lang w:val="zh-CN" w:eastAsia="zh-CN" w:bidi="zh-CN"/>
              </w:rPr>
              <w:t>•次。</w:t>
            </w:r>
          </w:p>
        </w:tc>
        <w:tc>
          <w:tcPr>
            <w:tcW w:w="22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00" w:lineRule="exact"/>
              <w:ind w:firstLine="0"/>
              <w:jc w:val="both"/>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rPr>
              <w:t>考虑人工除草与药物除草结合，用量参照药物使用说明</w:t>
            </w:r>
            <w:r>
              <w:rPr>
                <w:rFonts w:hint="eastAsia" w:ascii="方正仿宋_GBK" w:hAnsi="方正仿宋_GBK" w:eastAsia="方正仿宋_GBK" w:cs="方正仿宋_GBK"/>
                <w:color w:val="auto"/>
                <w:sz w:val="24"/>
                <w:szCs w:val="24"/>
                <w:highlight w:val="none"/>
                <w:lang w:eastAsia="zh-CN"/>
              </w:rPr>
              <w:t>。</w:t>
            </w:r>
          </w:p>
        </w:tc>
      </w:tr>
    </w:tbl>
    <w:p>
      <w:pPr>
        <w:pStyle w:val="38"/>
        <w:spacing w:after="180" w:line="580" w:lineRule="exact"/>
        <w:ind w:left="475" w:firstLine="0"/>
        <w:rPr>
          <w:rFonts w:hint="eastAsia" w:ascii="方正仿宋_GBK" w:hAnsi="方正仿宋_GBK" w:eastAsia="方正仿宋_GBK" w:cs="方正仿宋_GBK"/>
          <w:b/>
          <w:bCs/>
          <w:color w:val="auto"/>
          <w:sz w:val="30"/>
          <w:szCs w:val="30"/>
          <w:highlight w:val="none"/>
          <w:lang w:eastAsia="zh-CN"/>
        </w:rPr>
      </w:pPr>
      <w:r>
        <w:rPr>
          <w:rFonts w:hint="eastAsia" w:ascii="方正仿宋_GBK" w:hAnsi="方正仿宋_GBK" w:eastAsia="方正仿宋_GBK" w:cs="方正仿宋_GBK"/>
          <w:b/>
          <w:bCs/>
          <w:color w:val="auto"/>
          <w:sz w:val="30"/>
          <w:szCs w:val="30"/>
          <w:highlight w:val="none"/>
          <w:lang w:val="en-US" w:eastAsia="zh-CN"/>
        </w:rPr>
        <w:t>（四）地栽时令花卉养护</w:t>
      </w:r>
      <w:r>
        <w:rPr>
          <w:rFonts w:hint="eastAsia" w:ascii="方正仿宋_GBK" w:hAnsi="方正仿宋_GBK" w:eastAsia="方正仿宋_GBK" w:cs="方正仿宋_GBK"/>
          <w:b/>
          <w:bCs/>
          <w:color w:val="auto"/>
          <w:sz w:val="30"/>
          <w:szCs w:val="30"/>
          <w:highlight w:val="none"/>
          <w:lang w:eastAsia="zh-CN"/>
        </w:rPr>
        <w:t>（</w:t>
      </w:r>
      <w:r>
        <w:rPr>
          <w:rFonts w:hint="eastAsia" w:ascii="方正仿宋_GBK" w:hAnsi="方正仿宋_GBK" w:eastAsia="方正仿宋_GBK" w:cs="方正仿宋_GBK"/>
          <w:b/>
          <w:bCs/>
          <w:color w:val="auto"/>
          <w:kern w:val="0"/>
          <w:sz w:val="30"/>
          <w:szCs w:val="30"/>
          <w:highlight w:val="none"/>
          <w:lang w:val="zh-CN" w:eastAsia="zh-TW" w:bidi="zh-TW"/>
        </w:rPr>
        <w:t>983.22㎡</w:t>
      </w:r>
      <w:r>
        <w:rPr>
          <w:rFonts w:hint="eastAsia" w:ascii="方正仿宋_GBK" w:hAnsi="方正仿宋_GBK" w:eastAsia="方正仿宋_GBK" w:cs="方正仿宋_GBK"/>
          <w:b/>
          <w:bCs/>
          <w:color w:val="auto"/>
          <w:sz w:val="30"/>
          <w:szCs w:val="30"/>
          <w:highlight w:val="none"/>
          <w:lang w:eastAsia="zh-CN"/>
        </w:rPr>
        <w:t>）</w:t>
      </w:r>
    </w:p>
    <w:p>
      <w:pPr>
        <w:pStyle w:val="35"/>
        <w:tabs>
          <w:tab w:val="left" w:pos="811"/>
        </w:tabs>
        <w:spacing w:after="180" w:line="58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1.</w:t>
      </w:r>
      <w:r>
        <w:rPr>
          <w:rFonts w:hint="eastAsia" w:ascii="方正仿宋_GBK" w:hAnsi="方正仿宋_GBK" w:eastAsia="方正仿宋_GBK" w:cs="方正仿宋_GBK"/>
          <w:color w:val="auto"/>
          <w:sz w:val="30"/>
          <w:szCs w:val="30"/>
          <w:highlight w:val="none"/>
        </w:rPr>
        <w:t>根据</w:t>
      </w:r>
      <w:r>
        <w:rPr>
          <w:rFonts w:hint="eastAsia" w:ascii="方正仿宋_GBK" w:hAnsi="方正仿宋_GBK" w:eastAsia="方正仿宋_GBK" w:cs="方正仿宋_GBK"/>
          <w:color w:val="auto"/>
          <w:sz w:val="30"/>
          <w:szCs w:val="30"/>
          <w:highlight w:val="none"/>
          <w:lang w:eastAsia="zh-CN"/>
        </w:rPr>
        <w:t>采购</w:t>
      </w:r>
      <w:r>
        <w:rPr>
          <w:rFonts w:hint="eastAsia" w:ascii="方正仿宋_GBK" w:hAnsi="方正仿宋_GBK" w:eastAsia="方正仿宋_GBK" w:cs="方正仿宋_GBK"/>
          <w:color w:val="auto"/>
          <w:sz w:val="30"/>
          <w:szCs w:val="30"/>
          <w:highlight w:val="none"/>
        </w:rPr>
        <w:t>人要求及实际情况，每年更换</w:t>
      </w:r>
      <w:r>
        <w:rPr>
          <w:rFonts w:hint="eastAsia" w:ascii="方正仿宋_GBK" w:hAnsi="方正仿宋_GBK" w:eastAsia="方正仿宋_GBK" w:cs="方正仿宋_GBK"/>
          <w:color w:val="auto"/>
          <w:sz w:val="30"/>
          <w:szCs w:val="30"/>
          <w:highlight w:val="none"/>
          <w:lang w:val="en-US" w:eastAsia="zh-CN"/>
        </w:rPr>
        <w:t>不少于</w:t>
      </w:r>
      <w:r>
        <w:rPr>
          <w:rFonts w:hint="eastAsia" w:ascii="方正仿宋_GBK" w:hAnsi="方正仿宋_GBK" w:eastAsia="方正仿宋_GBK" w:cs="方正仿宋_GBK"/>
          <w:color w:val="auto"/>
          <w:sz w:val="30"/>
          <w:szCs w:val="30"/>
          <w:highlight w:val="none"/>
        </w:rPr>
        <w:t>6次，每平方米64株鲜花。</w:t>
      </w:r>
    </w:p>
    <w:p>
      <w:pPr>
        <w:pStyle w:val="35"/>
        <w:tabs>
          <w:tab w:val="left" w:pos="811"/>
        </w:tabs>
        <w:spacing w:after="180" w:line="580" w:lineRule="exact"/>
        <w:ind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2.</w:t>
      </w:r>
      <w:r>
        <w:rPr>
          <w:rFonts w:hint="eastAsia" w:ascii="方正仿宋_GBK" w:hAnsi="方正仿宋_GBK" w:eastAsia="方正仿宋_GBK" w:cs="方正仿宋_GBK"/>
          <w:color w:val="auto"/>
          <w:sz w:val="30"/>
          <w:szCs w:val="30"/>
          <w:highlight w:val="none"/>
        </w:rPr>
        <w:t>各重要节点四季鲜花不断，密度控制在适宜</w:t>
      </w:r>
      <w:r>
        <w:rPr>
          <w:rFonts w:hint="eastAsia" w:ascii="方正仿宋_GBK" w:hAnsi="方正仿宋_GBK" w:eastAsia="方正仿宋_GBK" w:cs="方正仿宋_GBK"/>
          <w:color w:val="auto"/>
          <w:sz w:val="30"/>
          <w:szCs w:val="30"/>
          <w:highlight w:val="none"/>
          <w:lang w:eastAsia="zh-CN"/>
        </w:rPr>
        <w:t>鲜花</w:t>
      </w:r>
      <w:r>
        <w:rPr>
          <w:rFonts w:hint="eastAsia" w:ascii="方正仿宋_GBK" w:hAnsi="方正仿宋_GBK" w:eastAsia="方正仿宋_GBK" w:cs="方正仿宋_GBK"/>
          <w:color w:val="auto"/>
          <w:sz w:val="30"/>
          <w:szCs w:val="30"/>
          <w:highlight w:val="none"/>
        </w:rPr>
        <w:t>生长的范围内，重点在五一、国庆、元旦、</w:t>
      </w:r>
      <w:r>
        <w:rPr>
          <w:rFonts w:hint="eastAsia" w:ascii="方正仿宋_GBK" w:hAnsi="方正仿宋_GBK" w:eastAsia="方正仿宋_GBK" w:cs="方正仿宋_GBK"/>
          <w:color w:val="auto"/>
          <w:sz w:val="30"/>
          <w:szCs w:val="30"/>
          <w:highlight w:val="none"/>
          <w:lang w:val="en-US" w:eastAsia="zh-CN"/>
        </w:rPr>
        <w:t>春节</w:t>
      </w:r>
      <w:r>
        <w:rPr>
          <w:rFonts w:hint="eastAsia" w:ascii="方正仿宋_GBK" w:hAnsi="方正仿宋_GBK" w:eastAsia="方正仿宋_GBK" w:cs="方正仿宋_GBK"/>
          <w:color w:val="auto"/>
          <w:sz w:val="30"/>
          <w:szCs w:val="30"/>
          <w:highlight w:val="none"/>
        </w:rPr>
        <w:t>四个节庆进行布置。</w:t>
      </w:r>
    </w:p>
    <w:p>
      <w:pPr>
        <w:pStyle w:val="35"/>
        <w:tabs>
          <w:tab w:val="left" w:pos="811"/>
        </w:tabs>
        <w:spacing w:after="180" w:line="580" w:lineRule="exact"/>
        <w:ind w:left="0" w:firstLine="600" w:firstLineChars="200"/>
        <w:rPr>
          <w:rFonts w:hint="eastAsia" w:ascii="方正仿宋_GBK" w:hAnsi="方正仿宋_GBK" w:eastAsia="方正仿宋_GBK" w:cs="方正仿宋_GBK"/>
          <w:color w:val="auto"/>
          <w:sz w:val="30"/>
          <w:szCs w:val="30"/>
          <w:highlight w:val="none"/>
        </w:rPr>
      </w:pPr>
      <w:r>
        <w:rPr>
          <w:rFonts w:hint="eastAsia" w:ascii="方正仿宋_GBK" w:hAnsi="方正仿宋_GBK" w:eastAsia="方正仿宋_GBK" w:cs="方正仿宋_GBK"/>
          <w:color w:val="auto"/>
          <w:sz w:val="30"/>
          <w:szCs w:val="30"/>
          <w:highlight w:val="none"/>
          <w:lang w:val="en-US" w:eastAsia="zh-CN"/>
        </w:rPr>
        <w:t>3.</w:t>
      </w:r>
      <w:r>
        <w:rPr>
          <w:rFonts w:hint="eastAsia" w:ascii="方正仿宋_GBK" w:hAnsi="方正仿宋_GBK" w:eastAsia="方正仿宋_GBK" w:cs="方正仿宋_GBK"/>
          <w:color w:val="auto"/>
          <w:sz w:val="30"/>
          <w:szCs w:val="30"/>
          <w:highlight w:val="none"/>
        </w:rPr>
        <w:t>花坛内残花一周清理两次。</w:t>
      </w:r>
    </w:p>
    <w:p>
      <w:pPr>
        <w:pStyle w:val="35"/>
        <w:tabs>
          <w:tab w:val="left" w:pos="811"/>
        </w:tabs>
        <w:spacing w:after="180" w:line="580" w:lineRule="exact"/>
        <w:ind w:left="0" w:firstLine="600" w:firstLineChars="200"/>
        <w:rPr>
          <w:rFonts w:hint="eastAsia" w:ascii="Times New Roman" w:hAnsi="Times New Roman" w:cs="Times New Roman"/>
          <w:b w:val="0"/>
          <w:bCs w:val="0"/>
          <w:color w:val="auto"/>
          <w:sz w:val="28"/>
          <w:szCs w:val="22"/>
          <w:highlight w:val="none"/>
          <w:lang w:val="en-US" w:eastAsia="zh-CN"/>
        </w:rPr>
      </w:pPr>
      <w:r>
        <w:rPr>
          <w:rFonts w:hint="eastAsia" w:ascii="方正仿宋_GBK" w:hAnsi="方正仿宋_GBK" w:eastAsia="方正仿宋_GBK" w:cs="方正仿宋_GBK"/>
          <w:color w:val="auto"/>
          <w:sz w:val="30"/>
          <w:szCs w:val="30"/>
          <w:highlight w:val="none"/>
          <w:lang w:val="en-US" w:eastAsia="zh-CN"/>
        </w:rPr>
        <w:t>4.</w:t>
      </w:r>
      <w:r>
        <w:rPr>
          <w:rFonts w:hint="eastAsia" w:ascii="方正仿宋_GBK" w:hAnsi="方正仿宋_GBK" w:eastAsia="方正仿宋_GBK" w:cs="方正仿宋_GBK"/>
          <w:color w:val="auto"/>
          <w:sz w:val="30"/>
          <w:szCs w:val="30"/>
          <w:highlight w:val="none"/>
        </w:rPr>
        <w:t>花坛内做到无残损、无杂草、无病虫害。</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四、</w:t>
      </w:r>
      <w:r>
        <w:rPr>
          <w:rFonts w:hint="eastAsia" w:ascii="Times New Roman" w:hAnsi="Times New Roman" w:cs="Times New Roman"/>
          <w:b/>
          <w:bCs/>
          <w:color w:val="auto"/>
          <w:sz w:val="28"/>
          <w:szCs w:val="22"/>
          <w:highlight w:val="none"/>
          <w:lang w:val="en-US" w:eastAsia="zh-CN"/>
        </w:rPr>
        <w:t>服务标准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（一）养护的直观标准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1.长势树木长势旺盛。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2.叶片叶色正常、叶大而肥厚、不黄叶、不焦叶、不卷叶、无明显虫屎、虫网、被虫咬食叶片数量每株在10%以下。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3.枝干树干挺直、倾斜度不超过10度，树干基部无蘖芽滋生、枝干粗壮、无明显枯枝、死桩、基本无蛀干害虫的活卵、活虫，介壳虫在主、侧枝上基本无活虫。</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4.树冠完整美观、分枝点合适、侧枝分布均匀、枝条疏密适当，内膛不乱，通光透光。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5.行道树分枝点高低、树高、冠幅基本一致，无连续两株缺株、相邻5株的高差＜10%。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6.花灌木着花率高、开花繁茂、无落花落蕾现象。色块灌木无缺株断行、覆盖度达100%，色块分明，线条清晰流畅。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7.绿篱、造型灌木形状轮廓清晰，表面平整，圆滑、不露空缺、不露枝干、不露捆扎物。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8.藤本长藤分布合理、枝叶覆盖均匀、附着牢固、覆盖度达85%以上。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9.草花生长健壮、花繁叶茂、无残花败叶。花坛整洁美观、四季有花、层次分明、图案清晰、色彩搭配适宜。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10.草坪生长茂盛、叶色正常、基本无秃斑、无枯草层、无杂草、无病虫害、覆盖度达98%以上，留茬高度经常保持在6-8cm。</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（二）养护的施工标准</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1.浇水排水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原则浇水应根据不同植物生物学特性、树龄、季节、土壤干湿程度确定。做到适时、适量、不遗漏。每次浇水要浇足浇透。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 xml:space="preserve">夏季高温季节应在早晨和傍晚进行、冬季宜午后进行。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 xml:space="preserve">雨季应注意排涝、及时排出积水。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2.施肥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 xml:space="preserve">定期对树木、花卉、草坪等进行施肥。施肥应根据植物种类、树龄、立地条件、生长情况及肥料种类等具体情况而定。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 xml:space="preserve">施肥对象：定植1.5年以内的乔、灌木；生长不良的树木；木本花卉；草坪及草花。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 xml:space="preserve">施肥分基肥、追肥两类。基肥一般采用有机肥，在植物休眠期内进行，追肥一般采用化肥或复合肥在植物生长期内进行。基肥应充分腐熟后按一定比例与细土混合后施用，化肥应溶解后再施用。干施化肥一定要注意均匀，用量宜少不宜多，施后必须及时充分浇水，以免伤根伤叶。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 xml:space="preserve">施肥次数乔木每年施基肥1次，追肥1次；灌木每年施基肥1次，追肥2次；色块灌木和绿篱每年施基肥2次，追肥4次；草坪每年结合打孔施基肥2次，追肥不少于9次；草花以施叶面肥为主，每半月1次。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 xml:space="preserve">乔、灌木施肥应挖掘施肥沟、穴，以不伤或少伤树根为准，深度不浅于30公分。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3.修剪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 xml:space="preserve">根据树种习性、设计意图、养护季节、景观效果为原则，达到均衡树势、调节生长、姿态优美、花繁叶茂的目的。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修剪包括除芽、去蘖、摘心摘芽、疏枝、短截、整形、更冠等技术。修剪次数乔木不少于1次/年，灌木不少于12次/年，绿篱、造型灌木不少于15次/年，色块灌木不少于8次/年。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养护性修剪分常规修剪和造型（整形）修剪两类。常规修剪以保持自然树型为基本要求，按照“多疏少截”的原则及时剥芽、去蘖、合理短截并疏剪内膛枝、重叠枝、交叉枝、下垂枝、腐枯枝、病虫枝、徒长枝、衰弱枝和损伤枝，保持内膛通风透光，树冠丰满。造型修剪以剪、锯、捆、扎等手段，将树冠整修成特定的形状，达到外形</w:t>
      </w:r>
      <w:r>
        <w:rPr>
          <w:rFonts w:hint="eastAsia" w:cs="Times New Roman"/>
          <w:b w:val="0"/>
          <w:bCs w:val="0"/>
          <w:color w:val="auto"/>
          <w:sz w:val="28"/>
          <w:szCs w:val="22"/>
          <w:highlight w:val="none"/>
          <w:lang w:val="en-US" w:eastAsia="zh-CN"/>
        </w:rPr>
        <w:t>轮廓清晰</w:t>
      </w:r>
      <w:r>
        <w:rPr>
          <w:rFonts w:hint="eastAsia" w:ascii="Times New Roman" w:hAnsi="Times New Roman" w:cs="Times New Roman"/>
          <w:b w:val="0"/>
          <w:bCs w:val="0"/>
          <w:color w:val="auto"/>
          <w:sz w:val="28"/>
          <w:szCs w:val="22"/>
          <w:highlight w:val="none"/>
          <w:lang w:val="en-US" w:eastAsia="zh-CN"/>
        </w:rPr>
        <w:t xml:space="preserve">、树冠表面平整、圆滑、不露空缺，不露枝干、不露捆扎物。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 xml:space="preserve">乔木的修剪一般只进行常规修枝，对主、侧枝尚未定型的树木可采取短截技术逐年形成三级分枝骨架。庭荫树的分枝点应随着树木生长逐步提高，树冠与树干高度的比例应在7：3至6：4之间。行道树在同一路段的分枝点高低、树高、冠幅大小应基本一致，上方有架空电力线时，应按电力部门的相关规定及时剪除影响安全的枝条(每年秋冬季修剪一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 xml:space="preserve">灌木的修剪一般以保持其自然姿态，疏剪过密枝条，保持内膛通风透光。对丛生灌木的衰老主枝，应本着“留新去老”的原则培养徒长枝或分期短截老枝进行更新。观花灌木和观花小乔木的修剪应掌握花芽发育规律，对当年新梢上开花的花木应于早春萌发前修剪，短截上年的已花枝条，促使新枝萌发。对当年形成花芽，次年早春开花的花木，应在开花后适度修剪，对着花率低的老枝要进行逐年更新。在多年生枝上开花的花木，应保持培养老枝，剪去过密新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（6）</w:t>
      </w:r>
      <w:r>
        <w:rPr>
          <w:rFonts w:hint="eastAsia" w:ascii="Times New Roman" w:hAnsi="Times New Roman" w:cs="Times New Roman"/>
          <w:b w:val="0"/>
          <w:bCs w:val="0"/>
          <w:color w:val="auto"/>
          <w:sz w:val="28"/>
          <w:szCs w:val="22"/>
          <w:highlight w:val="none"/>
          <w:lang w:val="en-US" w:eastAsia="zh-CN"/>
        </w:rPr>
        <w:t xml:space="preserve">绿篱和造型灌木（含色块灌木）的修剪，一般按造型修剪的方法进行，按照规定的形状和高度修剪。每次修剪应保持形状轮廓线条清晰、表面平整、圆滑。修剪后新梢生长超过10cm时，应进行第二次修剪。若生长过密影响通风透光时，要进行内膛疏剪。当生长高度影响景观效果时要进行强度修剪，强度修剪宜在休眠期进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（7）</w:t>
      </w:r>
      <w:r>
        <w:rPr>
          <w:rFonts w:hint="eastAsia" w:ascii="Times New Roman" w:hAnsi="Times New Roman" w:cs="Times New Roman"/>
          <w:b w:val="0"/>
          <w:bCs w:val="0"/>
          <w:color w:val="auto"/>
          <w:sz w:val="28"/>
          <w:szCs w:val="22"/>
          <w:highlight w:val="none"/>
          <w:lang w:val="en-US" w:eastAsia="zh-CN"/>
        </w:rPr>
        <w:t xml:space="preserve">草坪的修剪草坪的修剪高度应保持在6-8cm，当草高超过12cm时必须进行修剪。混播草坪修剪次数不少于20次/年，结缕草不少于5次/年。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4.病虫害防治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 xml:space="preserve">全面贯彻“预防为主，综合防治”的方针，要掌握园林植物病虫害发生规律，在预测、预报的指导下对可能发生的病虫害做好预防。已经发生的病虫害要及时治理、防止蔓延成灾。病虫害发生率应控制在10%以下。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 xml:space="preserve">病虫害的药物防治要根据不同的树种、病虫害种类和具体环境条件，正确选用农药种类、剂型、浓度和施用方法，使之既能充分发挥药效，又不产生药害，减少对环境的污染。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（3）</w:t>
      </w:r>
      <w:r>
        <w:rPr>
          <w:rFonts w:hint="eastAsia" w:ascii="Times New Roman" w:hAnsi="Times New Roman" w:cs="Times New Roman"/>
          <w:b w:val="0"/>
          <w:bCs w:val="0"/>
          <w:color w:val="auto"/>
          <w:sz w:val="28"/>
          <w:szCs w:val="22"/>
          <w:highlight w:val="none"/>
          <w:lang w:val="en-US" w:eastAsia="zh-CN"/>
        </w:rPr>
        <w:t>喷药应</w:t>
      </w:r>
      <w:r>
        <w:rPr>
          <w:rFonts w:hint="eastAsia" w:cs="Times New Roman"/>
          <w:b w:val="0"/>
          <w:bCs w:val="0"/>
          <w:color w:val="auto"/>
          <w:sz w:val="28"/>
          <w:szCs w:val="22"/>
          <w:highlight w:val="none"/>
          <w:lang w:val="en-US" w:eastAsia="zh-CN"/>
        </w:rPr>
        <w:t>呈</w:t>
      </w:r>
      <w:r>
        <w:rPr>
          <w:rFonts w:hint="eastAsia" w:ascii="Times New Roman" w:hAnsi="Times New Roman" w:cs="Times New Roman"/>
          <w:b w:val="0"/>
          <w:bCs w:val="0"/>
          <w:color w:val="auto"/>
          <w:sz w:val="28"/>
          <w:szCs w:val="22"/>
          <w:highlight w:val="none"/>
          <w:lang w:val="en-US" w:eastAsia="zh-CN"/>
        </w:rPr>
        <w:t xml:space="preserve">雾状，做到由内向外、由上向下、叶面叶背喷药均匀，不留空白。喷药应在无风的晴天进行，阴雨或高温炎热的中午不宜喷药。喷药时要注意行人安全、避开人流高峰时段，喷药范围内有食品、水果、鱼池等，要待移出或遮盖后方能进行。喷药后要立即清洗药械，不准乱倒残液。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（4）</w:t>
      </w:r>
      <w:r>
        <w:rPr>
          <w:rFonts w:hint="eastAsia" w:ascii="Times New Roman" w:hAnsi="Times New Roman" w:cs="Times New Roman"/>
          <w:b w:val="0"/>
          <w:bCs w:val="0"/>
          <w:color w:val="auto"/>
          <w:sz w:val="28"/>
          <w:szCs w:val="22"/>
          <w:highlight w:val="none"/>
          <w:lang w:val="en-US" w:eastAsia="zh-CN"/>
        </w:rPr>
        <w:t xml:space="preserve">对药械难以喷到顶端的高大树木或蛀干害虫，可采用树干注射法防治。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（5）</w:t>
      </w:r>
      <w:r>
        <w:rPr>
          <w:rFonts w:hint="eastAsia" w:ascii="Times New Roman" w:hAnsi="Times New Roman" w:cs="Times New Roman"/>
          <w:b w:val="0"/>
          <w:bCs w:val="0"/>
          <w:color w:val="auto"/>
          <w:sz w:val="28"/>
          <w:szCs w:val="22"/>
          <w:highlight w:val="none"/>
          <w:lang w:val="en-US" w:eastAsia="zh-CN"/>
        </w:rPr>
        <w:t xml:space="preserve">施药要掌握有利时机，害虫在孵化期或幼虫三龄期以前施药最为有效、真菌病害要在孢子萌发期或侵染初期施药。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（6）</w:t>
      </w:r>
      <w:r>
        <w:rPr>
          <w:rFonts w:hint="eastAsia" w:ascii="Times New Roman" w:hAnsi="Times New Roman" w:cs="Times New Roman"/>
          <w:b w:val="0"/>
          <w:bCs w:val="0"/>
          <w:color w:val="auto"/>
          <w:sz w:val="28"/>
          <w:szCs w:val="22"/>
          <w:highlight w:val="none"/>
          <w:lang w:val="en-US" w:eastAsia="zh-CN"/>
        </w:rPr>
        <w:t xml:space="preserve">挖除地下害虫时，深度应在5～20cm以内，接近树根时不能伤及根系。人工刮除树木枝干上介壳虫等虫体，要彻底干净，不得损伤枝条或枝干内皮，刮除树木枝干上的腐烂病害时，要将受害部位全部清除干净，伤口要进行消毒并涂抹保护剂，刮落的虫体和带病的树皮，要及时收集烧毁。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（7）</w:t>
      </w:r>
      <w:r>
        <w:rPr>
          <w:rFonts w:hint="eastAsia" w:ascii="Times New Roman" w:hAnsi="Times New Roman" w:cs="Times New Roman"/>
          <w:b w:val="0"/>
          <w:bCs w:val="0"/>
          <w:color w:val="auto"/>
          <w:sz w:val="28"/>
          <w:szCs w:val="22"/>
          <w:highlight w:val="none"/>
          <w:lang w:val="en-US" w:eastAsia="zh-CN"/>
        </w:rPr>
        <w:t xml:space="preserve">农药要妥善保管。施药人员应注意自身的安全，必须按规定穿戴工作服、工作帽、戴好风镜、口罩、手套及其他防护用具。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5.松土、除草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 xml:space="preserve">松土土壤板结时要及时进行松土，松土深度5～10cm为宜。草坪应用打孔机松土，每年不少于2次。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 xml:space="preserve">掌握“除早、除小、除了”的原则，随时清除杂草，除草必须连根剔除。绿地内应做到基本无杂草，草坪的纯净度应达到95%以上。 </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6.补栽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 xml:space="preserve">保持绿地植物的种植量，因管护不当造成的缺株断行应适时补栽。补栽应使用同品种、基本同规格的苗木，保证补栽后的景观效果。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因管护不当造成草坪秃斑应随缺随补，保证草坪的覆盖度和致密度。补草可采用点栽、播种和铺设等不同方法。</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 xml:space="preserve">7.支撑、扶正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cs="Times New Roman"/>
          <w:b w:val="0"/>
          <w:bCs w:val="0"/>
          <w:color w:val="auto"/>
          <w:sz w:val="28"/>
          <w:szCs w:val="22"/>
          <w:highlight w:val="none"/>
          <w:lang w:val="en-US" w:eastAsia="zh-CN"/>
        </w:rPr>
        <w:t>（1）</w:t>
      </w:r>
      <w:r>
        <w:rPr>
          <w:rFonts w:hint="eastAsia" w:ascii="Times New Roman" w:hAnsi="Times New Roman" w:cs="Times New Roman"/>
          <w:b w:val="0"/>
          <w:bCs w:val="0"/>
          <w:color w:val="auto"/>
          <w:sz w:val="28"/>
          <w:szCs w:val="22"/>
          <w:highlight w:val="none"/>
          <w:lang w:val="en-US" w:eastAsia="zh-CN"/>
        </w:rPr>
        <w:t>倾斜度超过10度的树木，须进行扶正，落叶树在休眠期进行，常绿树在萌芽前进行。扶正前应先疏剪部分</w:t>
      </w:r>
      <w:r>
        <w:rPr>
          <w:rFonts w:hint="eastAsia" w:cs="Times New Roman"/>
          <w:b w:val="0"/>
          <w:bCs w:val="0"/>
          <w:color w:val="auto"/>
          <w:sz w:val="28"/>
          <w:szCs w:val="22"/>
          <w:highlight w:val="none"/>
          <w:lang w:val="en-US" w:eastAsia="zh-CN"/>
        </w:rPr>
        <w:t>枝丫</w:t>
      </w:r>
      <w:r>
        <w:rPr>
          <w:rFonts w:hint="eastAsia" w:ascii="Times New Roman" w:hAnsi="Times New Roman" w:cs="Times New Roman"/>
          <w:b w:val="0"/>
          <w:bCs w:val="0"/>
          <w:color w:val="auto"/>
          <w:sz w:val="28"/>
          <w:szCs w:val="22"/>
          <w:highlight w:val="none"/>
          <w:lang w:val="en-US" w:eastAsia="zh-CN"/>
        </w:rPr>
        <w:t xml:space="preserve">或进行短截，确保扶正树木的成活。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val="0"/>
          <w:bCs w:val="0"/>
          <w:color w:val="auto"/>
          <w:sz w:val="28"/>
          <w:szCs w:val="22"/>
          <w:highlight w:val="none"/>
          <w:lang w:val="en-US" w:eastAsia="zh-CN"/>
        </w:rPr>
        <w:t>（2）</w:t>
      </w:r>
      <w:r>
        <w:rPr>
          <w:rFonts w:hint="eastAsia" w:ascii="Times New Roman" w:hAnsi="Times New Roman" w:cs="Times New Roman"/>
          <w:b w:val="0"/>
          <w:bCs w:val="0"/>
          <w:color w:val="auto"/>
          <w:sz w:val="28"/>
          <w:szCs w:val="22"/>
          <w:highlight w:val="none"/>
          <w:lang w:val="en-US" w:eastAsia="zh-CN"/>
        </w:rPr>
        <w:t>新栽大树和扶正后的树木应进行支撑。支撑材料在同一路段或区域内应当统一，支撑方式要规范、整齐。支撑着力点应超过树高的1/2以上，支撑材料在着力点与树干接触处应铺垫软质材料，以免损伤树皮。每年雨季前要对支撑进行一次全面检查，对松动的支撑要及时加固，对坎入树皮的捆扎物要及时解除。</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cs="Times New Roman"/>
          <w:b/>
          <w:bCs/>
          <w:color w:val="auto"/>
          <w:sz w:val="28"/>
          <w:szCs w:val="22"/>
          <w:highlight w:val="none"/>
          <w:lang w:val="en-US" w:eastAsia="zh-CN"/>
        </w:rPr>
        <w:t>五</w:t>
      </w:r>
      <w:r>
        <w:rPr>
          <w:rFonts w:hint="eastAsia" w:ascii="Times New Roman" w:hAnsi="Times New Roman" w:cs="Times New Roman"/>
          <w:b/>
          <w:bCs/>
          <w:color w:val="auto"/>
          <w:sz w:val="28"/>
          <w:szCs w:val="22"/>
          <w:highlight w:val="none"/>
          <w:lang w:val="en-US" w:eastAsia="zh-CN"/>
        </w:rPr>
        <w:t>、其他要求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（一）</w:t>
      </w:r>
      <w:r>
        <w:rPr>
          <w:rFonts w:hint="eastAsia" w:cs="Times New Roman"/>
          <w:b/>
          <w:bCs/>
          <w:color w:val="auto"/>
          <w:sz w:val="28"/>
          <w:szCs w:val="22"/>
          <w:highlight w:val="none"/>
          <w:lang w:val="en-US" w:eastAsia="zh-CN"/>
        </w:rPr>
        <w:t>★</w:t>
      </w:r>
      <w:r>
        <w:rPr>
          <w:rFonts w:hint="eastAsia" w:cs="Times New Roman"/>
          <w:b w:val="0"/>
          <w:bCs w:val="0"/>
          <w:color w:val="auto"/>
          <w:sz w:val="28"/>
          <w:szCs w:val="22"/>
          <w:highlight w:val="none"/>
          <w:lang w:val="en-US" w:eastAsia="zh-CN"/>
        </w:rPr>
        <w:t>绿地保洁。</w:t>
      </w:r>
      <w:r>
        <w:rPr>
          <w:rFonts w:hint="eastAsia" w:ascii="Times New Roman" w:hAnsi="Times New Roman" w:cs="Times New Roman"/>
          <w:b w:val="0"/>
          <w:bCs w:val="0"/>
          <w:color w:val="auto"/>
          <w:sz w:val="28"/>
          <w:szCs w:val="22"/>
          <w:highlight w:val="none"/>
          <w:lang w:val="en-US" w:eastAsia="zh-CN"/>
        </w:rPr>
        <w:t>随时保持绿地清洁、美观，及时清运草屑、树枝、死树等施工残留物，现场堆放时间不得超过当天</w:t>
      </w:r>
      <w:r>
        <w:rPr>
          <w:rFonts w:hint="eastAsia"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（二）</w:t>
      </w:r>
      <w:r>
        <w:rPr>
          <w:rFonts w:hint="eastAsia" w:cs="Times New Roman"/>
          <w:b/>
          <w:bCs/>
          <w:color w:val="auto"/>
          <w:sz w:val="28"/>
          <w:szCs w:val="22"/>
          <w:highlight w:val="none"/>
          <w:lang w:val="en-US" w:eastAsia="zh-CN"/>
        </w:rPr>
        <w:t>★</w:t>
      </w:r>
      <w:r>
        <w:rPr>
          <w:rFonts w:hint="eastAsia" w:ascii="Times New Roman" w:hAnsi="Times New Roman" w:eastAsia="方正仿宋" w:cs="Times New Roman"/>
          <w:b w:val="0"/>
          <w:bCs w:val="0"/>
          <w:color w:val="auto"/>
          <w:kern w:val="2"/>
          <w:sz w:val="28"/>
          <w:szCs w:val="22"/>
          <w:highlight w:val="none"/>
          <w:lang w:val="en-US" w:eastAsia="zh-CN" w:bidi="ar-SA"/>
        </w:rPr>
        <w:t>安全施工。绿化养护的各道工序施工要做到以人为本、安全施工、文明作业。绿化养护施工要统一着安全装，道路绿化养护施工设施工警示语或警示标志，保证施工人员和过往行人的安全。</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（三）</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供应商须针对本项目</w:t>
      </w:r>
      <w:r>
        <w:rPr>
          <w:rFonts w:hint="eastAsia" w:cs="Times New Roman"/>
          <w:b w:val="0"/>
          <w:bCs w:val="0"/>
          <w:color w:val="auto"/>
          <w:sz w:val="28"/>
          <w:szCs w:val="22"/>
          <w:highlight w:val="none"/>
          <w:lang w:val="en-US" w:eastAsia="zh-CN"/>
        </w:rPr>
        <w:t>制定</w:t>
      </w:r>
      <w:r>
        <w:rPr>
          <w:rFonts w:hint="eastAsia" w:ascii="Times New Roman" w:hAnsi="Times New Roman" w:cs="Times New Roman"/>
          <w:b w:val="0"/>
          <w:bCs w:val="0"/>
          <w:color w:val="auto"/>
          <w:sz w:val="28"/>
          <w:szCs w:val="22"/>
          <w:highlight w:val="none"/>
          <w:lang w:val="en-US" w:eastAsia="zh-CN"/>
        </w:rPr>
        <w:t>相关的管理规章制度、安全生产守则，并提交采购人备案，</w:t>
      </w:r>
      <w:r>
        <w:rPr>
          <w:rFonts w:hint="eastAsia" w:cs="Times New Roman"/>
          <w:b w:val="0"/>
          <w:bCs w:val="0"/>
          <w:color w:val="auto"/>
          <w:sz w:val="28"/>
          <w:szCs w:val="22"/>
          <w:highlight w:val="none"/>
          <w:lang w:val="en-US" w:eastAsia="zh-CN"/>
        </w:rPr>
        <w:t>落实应急方案、服务质量目标，接受</w:t>
      </w:r>
      <w:r>
        <w:rPr>
          <w:rFonts w:hint="eastAsia" w:ascii="Times New Roman" w:hAnsi="Times New Roman" w:cs="Times New Roman"/>
          <w:b w:val="0"/>
          <w:bCs w:val="0"/>
          <w:color w:val="auto"/>
          <w:sz w:val="28"/>
          <w:szCs w:val="22"/>
          <w:highlight w:val="none"/>
          <w:lang w:val="en-US" w:eastAsia="zh-CN"/>
        </w:rPr>
        <w:t>采购人的监督</w:t>
      </w:r>
      <w:r>
        <w:rPr>
          <w:rFonts w:hint="eastAsia"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（四）供应商须建立日常管理台账（含管护日志、工作计划、工人工资支付资料等）。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（五）</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供应商须将各岗位人员安排（或变动）情况报采购人备案，以便于采购人对人员工作情况进行监督</w:t>
      </w:r>
      <w:r>
        <w:rPr>
          <w:rFonts w:hint="eastAsia"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（六）</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供应商须加强对项目工作人员的教育，保证工作人员遵纪守法，使用礼貌用语，文明服务</w:t>
      </w:r>
      <w:r>
        <w:rPr>
          <w:rFonts w:hint="eastAsia" w:cs="Times New Roman"/>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left="278" w:leftChars="87" w:firstLine="280" w:firstLineChars="1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（七）</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供应商须抓好安全工作，督促工作人员佩戴安全标志，遵</w:t>
      </w:r>
      <w:r>
        <w:rPr>
          <w:rFonts w:hint="eastAsia" w:cs="Times New Roman"/>
          <w:b w:val="0"/>
          <w:bCs w:val="0"/>
          <w:color w:val="auto"/>
          <w:sz w:val="28"/>
          <w:szCs w:val="22"/>
          <w:highlight w:val="none"/>
          <w:lang w:val="en-US" w:eastAsia="zh-CN"/>
        </w:rPr>
        <w:t xml:space="preserve"> </w:t>
      </w:r>
      <w:r>
        <w:rPr>
          <w:rFonts w:hint="eastAsia" w:ascii="Times New Roman" w:hAnsi="Times New Roman" w:cs="Times New Roman"/>
          <w:b w:val="0"/>
          <w:bCs w:val="0"/>
          <w:color w:val="auto"/>
          <w:sz w:val="28"/>
          <w:szCs w:val="22"/>
          <w:highlight w:val="none"/>
          <w:lang w:val="en-US" w:eastAsia="zh-CN"/>
        </w:rPr>
        <w:t>承担。</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（八）</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供应商须保证项目工作人员的工资必须每月定期发放，不得拖欠，同时，须在每月的月末前，把工资的发放记录以文本文件的格式提交采购人备案，否则，采购人有权暂停支付服务费。</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（九）</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供应商须无条件接受采购人的监督和检查，对采购人提出合理的意见必须及时</w:t>
      </w:r>
      <w:r>
        <w:rPr>
          <w:rFonts w:hint="eastAsia" w:cs="Times New Roman"/>
          <w:b w:val="0"/>
          <w:bCs w:val="0"/>
          <w:color w:val="auto"/>
          <w:sz w:val="28"/>
          <w:szCs w:val="22"/>
          <w:highlight w:val="none"/>
          <w:lang w:val="en-US" w:eastAsia="zh-CN"/>
        </w:rPr>
        <w:t>作出</w:t>
      </w:r>
      <w:r>
        <w:rPr>
          <w:rFonts w:hint="eastAsia" w:ascii="Times New Roman" w:hAnsi="Times New Roman" w:cs="Times New Roman"/>
          <w:b w:val="0"/>
          <w:bCs w:val="0"/>
          <w:color w:val="auto"/>
          <w:sz w:val="28"/>
          <w:szCs w:val="22"/>
          <w:highlight w:val="none"/>
          <w:lang w:val="en-US" w:eastAsia="zh-CN"/>
        </w:rPr>
        <w:t>有效响应，如对采购人提出的合理意见不予理会的，采购人有权停止支付服务费，至供应商做出有效整改为止。</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（十）</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因供应商管理不善或操作不当等原因发生事故对采购人、供应商或第三方造成人身、财产等损害或损失，由供应商承担全部责任并负责善后处理。</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（十一）</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供应商需严格按照劳动和社会保障以及安全生产有关法律和法规雇、聘工作人员组织开展工作，确保养护管理工作的顺利开展。若发生此类法律诉讼及纠纷，概由供应商承担一切法律和经济责任。</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（十二）</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人工费、服务材料价格上涨等均属于供应商的商业风险，供应商不得以此为由向采购人主张变更价格或解除本合同。</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（十三）</w:t>
      </w:r>
      <w:r>
        <w:rPr>
          <w:rFonts w:hint="eastAsia" w:cs="Times New Roman"/>
          <w:b/>
          <w:bCs/>
          <w:color w:val="auto"/>
          <w:sz w:val="28"/>
          <w:szCs w:val="22"/>
          <w:highlight w:val="none"/>
          <w:lang w:val="en-US" w:eastAsia="zh-CN"/>
        </w:rPr>
        <w:t>★</w:t>
      </w:r>
      <w:r>
        <w:rPr>
          <w:rFonts w:hint="eastAsia" w:ascii="Times New Roman" w:hAnsi="Times New Roman" w:cs="Times New Roman"/>
          <w:b w:val="0"/>
          <w:bCs w:val="0"/>
          <w:color w:val="auto"/>
          <w:sz w:val="28"/>
          <w:szCs w:val="22"/>
          <w:highlight w:val="none"/>
          <w:lang w:val="en-US" w:eastAsia="zh-CN"/>
        </w:rPr>
        <w:t>供应商应当承担本项目管护服务过程中的一切安全生产、保管、看护、管理等责任。</w:t>
      </w:r>
      <w:r>
        <w:rPr>
          <w:rFonts w:hint="eastAsia" w:ascii="Times New Roman" w:hAnsi="Times New Roman" w:cs="Times New Roman"/>
          <w:b/>
          <w:bCs/>
          <w:color w:val="auto"/>
          <w:sz w:val="28"/>
          <w:szCs w:val="22"/>
          <w:highlight w:val="none"/>
          <w:lang w:val="en-US" w:eastAsia="zh-CN"/>
        </w:rPr>
        <w:t>（供应商须提供承诺函，如未提供视为未实质性响应）</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六</w:t>
      </w: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岗位</w:t>
      </w:r>
      <w:r>
        <w:rPr>
          <w:rFonts w:hint="eastAsia" w:ascii="Times New Roman" w:hAnsi="Times New Roman" w:cs="Times New Roman"/>
          <w:b/>
          <w:bCs/>
          <w:color w:val="auto"/>
          <w:sz w:val="28"/>
          <w:szCs w:val="22"/>
          <w:highlight w:val="none"/>
          <w:lang w:val="en-US" w:eastAsia="zh-CN"/>
        </w:rPr>
        <w:t>配置要求</w:t>
      </w:r>
    </w:p>
    <w:tbl>
      <w:tblPr>
        <w:tblStyle w:val="11"/>
        <w:tblW w:w="8851" w:type="dxa"/>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992"/>
        <w:gridCol w:w="1125"/>
        <w:gridCol w:w="2531"/>
        <w:gridCol w:w="346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737"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hint="eastAsia" w:ascii="方正仿宋_GBK" w:hAnsi="方正仿宋_GBK" w:eastAsia="方正仿宋_GBK" w:cs="方正仿宋_GBK"/>
                <w:b/>
                <w:bCs/>
                <w:color w:val="auto"/>
                <w:kern w:val="0"/>
                <w:sz w:val="30"/>
                <w:szCs w:val="30"/>
                <w:highlight w:val="none"/>
                <w:lang w:val="en-US" w:eastAsia="zh-CN" w:bidi="zh-TW"/>
              </w:rPr>
            </w:pPr>
            <w:r>
              <w:rPr>
                <w:rFonts w:hint="eastAsia" w:ascii="方正仿宋_GBK" w:hAnsi="方正仿宋_GBK" w:eastAsia="方正仿宋_GBK" w:cs="方正仿宋_GBK"/>
                <w:b/>
                <w:bCs/>
                <w:color w:val="auto"/>
                <w:kern w:val="0"/>
                <w:sz w:val="30"/>
                <w:szCs w:val="30"/>
                <w:highlight w:val="none"/>
                <w:lang w:val="en-US" w:eastAsia="zh-CN" w:bidi="zh-TW"/>
              </w:rPr>
              <w:t>序号</w:t>
            </w:r>
          </w:p>
        </w:tc>
        <w:tc>
          <w:tcPr>
            <w:tcW w:w="99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b/>
                <w:bCs/>
                <w:color w:val="auto"/>
                <w:kern w:val="0"/>
                <w:sz w:val="30"/>
                <w:szCs w:val="30"/>
                <w:highlight w:val="none"/>
                <w:lang w:val="en-US" w:eastAsia="zh-CN" w:bidi="zh-TW"/>
              </w:rPr>
            </w:pPr>
            <w:r>
              <w:rPr>
                <w:rFonts w:hint="eastAsia" w:ascii="方正仿宋_GBK" w:hAnsi="方正仿宋_GBK" w:eastAsia="方正仿宋_GBK" w:cs="方正仿宋_GBK"/>
                <w:b/>
                <w:bCs/>
                <w:color w:val="auto"/>
                <w:kern w:val="0"/>
                <w:sz w:val="30"/>
                <w:szCs w:val="30"/>
                <w:highlight w:val="none"/>
                <w:lang w:val="en-US" w:eastAsia="zh-CN" w:bidi="zh-TW"/>
              </w:rPr>
              <w:t>岗位名称</w:t>
            </w:r>
          </w:p>
        </w:tc>
        <w:tc>
          <w:tcPr>
            <w:tcW w:w="11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b/>
                <w:bCs/>
                <w:color w:val="auto"/>
                <w:kern w:val="0"/>
                <w:sz w:val="30"/>
                <w:szCs w:val="30"/>
                <w:highlight w:val="none"/>
                <w:lang w:val="en-US" w:eastAsia="zh-CN" w:bidi="zh-TW"/>
              </w:rPr>
            </w:pPr>
            <w:r>
              <w:rPr>
                <w:rFonts w:hint="eastAsia" w:ascii="方正仿宋_GBK" w:hAnsi="方正仿宋_GBK" w:eastAsia="方正仿宋_GBK" w:cs="方正仿宋_GBK"/>
                <w:b/>
                <w:bCs/>
                <w:color w:val="auto"/>
                <w:kern w:val="0"/>
                <w:sz w:val="30"/>
                <w:szCs w:val="30"/>
                <w:highlight w:val="none"/>
                <w:lang w:val="en-US" w:eastAsia="zh-CN" w:bidi="zh-TW"/>
              </w:rPr>
              <w:t>岗位数（个）</w:t>
            </w:r>
          </w:p>
        </w:tc>
        <w:tc>
          <w:tcPr>
            <w:tcW w:w="2531"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b/>
                <w:bCs/>
                <w:color w:val="auto"/>
                <w:kern w:val="0"/>
                <w:sz w:val="30"/>
                <w:szCs w:val="30"/>
                <w:highlight w:val="none"/>
                <w:lang w:val="en-US" w:eastAsia="zh-CN" w:bidi="zh-TW"/>
              </w:rPr>
            </w:pPr>
            <w:r>
              <w:rPr>
                <w:rFonts w:hint="eastAsia" w:ascii="方正仿宋_GBK" w:hAnsi="方正仿宋_GBK" w:eastAsia="方正仿宋_GBK" w:cs="方正仿宋_GBK"/>
                <w:b/>
                <w:bCs/>
                <w:color w:val="auto"/>
                <w:kern w:val="0"/>
                <w:sz w:val="30"/>
                <w:szCs w:val="30"/>
                <w:highlight w:val="none"/>
                <w:lang w:val="en-US" w:eastAsia="zh-CN" w:bidi="zh-TW"/>
              </w:rPr>
              <w:t>岗位配置要求</w:t>
            </w:r>
          </w:p>
        </w:tc>
        <w:tc>
          <w:tcPr>
            <w:tcW w:w="346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center"/>
          </w:tcPr>
          <w:p>
            <w:pPr>
              <w:pStyle w:val="26"/>
              <w:jc w:val="center"/>
              <w:rPr>
                <w:rFonts w:hint="default" w:ascii="方正仿宋_GBK" w:hAnsi="方正仿宋_GBK" w:eastAsia="方正仿宋_GBK" w:cs="方正仿宋_GBK"/>
                <w:b/>
                <w:bCs/>
                <w:color w:val="auto"/>
                <w:kern w:val="0"/>
                <w:sz w:val="30"/>
                <w:szCs w:val="30"/>
                <w:highlight w:val="none"/>
                <w:lang w:val="en-US" w:eastAsia="zh-CN" w:bidi="zh-TW"/>
              </w:rPr>
            </w:pPr>
            <w:r>
              <w:rPr>
                <w:rFonts w:hint="eastAsia" w:ascii="方正仿宋_GBK" w:hAnsi="方正仿宋_GBK" w:eastAsia="方正仿宋_GBK" w:cs="方正仿宋_GBK"/>
                <w:b/>
                <w:bCs/>
                <w:color w:val="auto"/>
                <w:kern w:val="0"/>
                <w:sz w:val="30"/>
                <w:szCs w:val="30"/>
                <w:highlight w:val="none"/>
                <w:lang w:val="en-US" w:eastAsia="zh-CN" w:bidi="zh-TW"/>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737" w:type="dxa"/>
            <w:tcBorders>
              <w:top w:val="nil"/>
              <w:left w:val="single" w:color="000000" w:sz="4" w:space="0"/>
              <w:bottom w:val="single" w:color="000000" w:sz="4" w:space="0"/>
              <w:right w:val="single" w:color="000000" w:sz="4" w:space="0"/>
            </w:tcBorders>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w:t>
            </w:r>
          </w:p>
        </w:tc>
        <w:tc>
          <w:tcPr>
            <w:tcW w:w="99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26"/>
              <w:jc w:val="center"/>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项目负责岗</w:t>
            </w:r>
          </w:p>
        </w:tc>
        <w:tc>
          <w:tcPr>
            <w:tcW w:w="1125" w:type="dxa"/>
            <w:tcBorders>
              <w:top w:val="nil"/>
              <w:left w:val="nil"/>
              <w:bottom w:val="single" w:color="000000"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w:t>
            </w:r>
          </w:p>
        </w:tc>
        <w:tc>
          <w:tcPr>
            <w:tcW w:w="2531" w:type="dxa"/>
            <w:tcBorders>
              <w:top w:val="nil"/>
              <w:left w:val="nil"/>
              <w:bottom w:val="single" w:color="000000"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1.定员定岗，未经采购人同意不得擅自调离；</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2.身体健康、无精神病、吸毒史；</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3.须具有园林绿化类中级或中级以上职称。</w:t>
            </w:r>
          </w:p>
        </w:tc>
        <w:tc>
          <w:tcPr>
            <w:tcW w:w="3466" w:type="dxa"/>
            <w:tcBorders>
              <w:top w:val="nil"/>
              <w:left w:val="nil"/>
              <w:bottom w:val="single" w:color="000000"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 不得擅自调离；</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2.供应商须提供有效期内的健康体检报告（含尿检）复印件；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3.提供合法有效的证书复印件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并加盖公章。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737" w:type="dxa"/>
            <w:tcBorders>
              <w:top w:val="single" w:color="auto" w:sz="4" w:space="0"/>
              <w:left w:val="single" w:color="000000" w:sz="4" w:space="0"/>
              <w:bottom w:val="single" w:color="auto" w:sz="4" w:space="0"/>
              <w:right w:val="single" w:color="000000" w:sz="4" w:space="0"/>
            </w:tcBorders>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w:t>
            </w:r>
          </w:p>
        </w:tc>
        <w:tc>
          <w:tcPr>
            <w:tcW w:w="992"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26"/>
              <w:jc w:val="center"/>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管护岗</w:t>
            </w:r>
          </w:p>
        </w:tc>
        <w:tc>
          <w:tcPr>
            <w:tcW w:w="1125"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pStyle w:val="26"/>
              <w:jc w:val="center"/>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14</w:t>
            </w:r>
          </w:p>
        </w:tc>
        <w:tc>
          <w:tcPr>
            <w:tcW w:w="2531"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1.定员定岗，未经采购人同意不得擅自调离；</w:t>
            </w:r>
          </w:p>
          <w:p>
            <w:pPr>
              <w:pStyle w:val="2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2.身体健康、无精神病、吸毒史。</w:t>
            </w:r>
          </w:p>
        </w:tc>
        <w:tc>
          <w:tcPr>
            <w:tcW w:w="3466"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 不得擅自调离；</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2.供应商须提供有效期内的健康体检报告（含尿检）复印件。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737" w:type="dxa"/>
            <w:tcBorders>
              <w:top w:val="single" w:color="auto" w:sz="4" w:space="0"/>
              <w:left w:val="single" w:color="000000" w:sz="4" w:space="0"/>
              <w:bottom w:val="single" w:color="auto" w:sz="4" w:space="0"/>
              <w:right w:val="single" w:color="000000" w:sz="4" w:space="0"/>
            </w:tcBorders>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w:t>
            </w:r>
          </w:p>
        </w:tc>
        <w:tc>
          <w:tcPr>
            <w:tcW w:w="992"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驾驶岗</w:t>
            </w:r>
          </w:p>
        </w:tc>
        <w:tc>
          <w:tcPr>
            <w:tcW w:w="1125"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w:t>
            </w:r>
          </w:p>
        </w:tc>
        <w:tc>
          <w:tcPr>
            <w:tcW w:w="2531"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1.定员定岗，未经采购人同意不得擅自调离；</w:t>
            </w:r>
          </w:p>
          <w:p>
            <w:pPr>
              <w:pStyle w:val="2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2.身体健康、无精神病、吸毒史；</w:t>
            </w:r>
          </w:p>
          <w:p>
            <w:pPr>
              <w:pStyle w:val="2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3.驾驶员驾驶证须满足设施设备配置中准驾车型驾驶证要求。</w:t>
            </w:r>
          </w:p>
        </w:tc>
        <w:tc>
          <w:tcPr>
            <w:tcW w:w="3466"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1.定员定岗，未经采购人同意 不得擅自调离；</w:t>
            </w:r>
          </w:p>
          <w:p>
            <w:pPr>
              <w:pStyle w:val="2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2.供应商须提供有效期内的健康体检报告（含尿检）复印件；</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3.提供合法有效的驾驶证复印</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件并加盖公章。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36" w:hRule="atLeast"/>
          <w:jc w:val="center"/>
        </w:trPr>
        <w:tc>
          <w:tcPr>
            <w:tcW w:w="737" w:type="dxa"/>
            <w:tcBorders>
              <w:top w:val="single" w:color="auto" w:sz="4" w:space="0"/>
              <w:left w:val="single" w:color="000000" w:sz="4" w:space="0"/>
              <w:bottom w:val="single" w:color="auto" w:sz="4" w:space="0"/>
              <w:right w:val="single" w:color="000000" w:sz="4" w:space="0"/>
            </w:tcBorders>
            <w:vAlign w:val="center"/>
          </w:tcPr>
          <w:p>
            <w:pPr>
              <w:pStyle w:val="26"/>
              <w:jc w:val="center"/>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合计</w:t>
            </w:r>
          </w:p>
        </w:tc>
        <w:tc>
          <w:tcPr>
            <w:tcW w:w="992" w:type="dxa"/>
            <w:tcBorders>
              <w:top w:val="single" w:color="auto" w:sz="4" w:space="0"/>
              <w:left w:val="single" w:color="000000" w:sz="4" w:space="0"/>
              <w:bottom w:val="single" w:color="auto" w:sz="4" w:space="0"/>
              <w:right w:val="single" w:color="000000" w:sz="4" w:space="0"/>
            </w:tcBorders>
            <w:tcMar>
              <w:top w:w="0" w:type="dxa"/>
              <w:left w:w="105" w:type="dxa"/>
              <w:bottom w:w="0" w:type="dxa"/>
              <w:right w:w="105" w:type="dxa"/>
            </w:tcMar>
            <w:vAlign w:val="center"/>
          </w:tcPr>
          <w:p>
            <w:pPr>
              <w:pStyle w:val="26"/>
              <w:jc w:val="center"/>
              <w:rPr>
                <w:rFonts w:hint="eastAsia" w:ascii="方正仿宋_GBK" w:hAnsi="方正仿宋_GBK" w:eastAsia="方正仿宋_GBK" w:cs="方正仿宋_GBK"/>
                <w:color w:val="auto"/>
                <w:kern w:val="0"/>
                <w:sz w:val="24"/>
                <w:szCs w:val="24"/>
                <w:highlight w:val="none"/>
                <w:lang w:val="en-US" w:eastAsia="zh-CN" w:bidi="zh-TW"/>
              </w:rPr>
            </w:pPr>
          </w:p>
        </w:tc>
        <w:tc>
          <w:tcPr>
            <w:tcW w:w="1125"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pStyle w:val="26"/>
              <w:jc w:val="center"/>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18</w:t>
            </w:r>
          </w:p>
        </w:tc>
        <w:tc>
          <w:tcPr>
            <w:tcW w:w="2531"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pStyle w:val="26"/>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p>
        </w:tc>
        <w:tc>
          <w:tcPr>
            <w:tcW w:w="3466" w:type="dxa"/>
            <w:tcBorders>
              <w:top w:val="single" w:color="auto" w:sz="4" w:space="0"/>
              <w:left w:val="nil"/>
              <w:bottom w:val="single" w:color="auto" w:sz="4" w:space="0"/>
              <w:right w:val="single" w:color="000000" w:sz="4" w:space="0"/>
            </w:tcBorders>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方正仿宋_GBK" w:hAnsi="方正仿宋_GBK" w:eastAsia="方正仿宋_GBK" w:cs="方正仿宋_GBK"/>
                <w:color w:val="auto"/>
                <w:kern w:val="0"/>
                <w:sz w:val="24"/>
                <w:szCs w:val="24"/>
                <w:highlight w:val="none"/>
                <w:lang w:val="en-US" w:eastAsia="zh-CN" w:bidi="zh-TW"/>
              </w:rPr>
            </w:pPr>
          </w:p>
        </w:tc>
      </w:tr>
    </w:tbl>
    <w:p>
      <w:pPr>
        <w:pStyle w:val="26"/>
        <w:ind w:firstLine="560" w:firstLineChars="200"/>
        <w:jc w:val="both"/>
        <w:rPr>
          <w:rFonts w:hint="eastAsia" w:ascii="Times New Roman" w:hAnsi="Times New Roman" w:eastAsia="方正仿宋" w:cs="Times New Roman"/>
          <w:b/>
          <w:bCs/>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说明：1.上表描述内容为完成本项目需求所设岗位数量及要求，岗位数量不等同于实际服务人数。供应商须在遵守相关法律法规的基础之上，根据岗位配置要求及自身经营情况，核定所需人数，进行人员配置。在投标时需提供岗位配备分工表，并列明各岗位名称、配置岗位数量，格式自拟。</w:t>
      </w:r>
      <w:r>
        <w:rPr>
          <w:rFonts w:hint="eastAsia" w:ascii="Times New Roman" w:hAnsi="Times New Roman" w:eastAsia="方正仿宋" w:cs="Times New Roman"/>
          <w:b/>
          <w:bCs/>
          <w:color w:val="auto"/>
          <w:kern w:val="2"/>
          <w:sz w:val="28"/>
          <w:szCs w:val="22"/>
          <w:highlight w:val="none"/>
          <w:lang w:val="en-US" w:eastAsia="zh-CN" w:bidi="ar-SA"/>
        </w:rPr>
        <w:t>（</w:t>
      </w:r>
      <w:r>
        <w:rPr>
          <w:rFonts w:hint="eastAsia" w:ascii="Times New Roman" w:hAnsi="Times New Roman" w:eastAsia="方正仿宋" w:cs="Times New Roman"/>
          <w:b/>
          <w:bCs/>
          <w:color w:val="auto"/>
          <w:kern w:val="2"/>
          <w:sz w:val="28"/>
          <w:szCs w:val="22"/>
          <w:highlight w:val="none"/>
          <w:lang w:val="en-US" w:eastAsia="zh-Hans" w:bidi="ar-SA"/>
        </w:rPr>
        <w:t>提供岗位配备分工表</w:t>
      </w:r>
      <w:r>
        <w:rPr>
          <w:rFonts w:hint="eastAsia" w:ascii="Times New Roman" w:hAnsi="Times New Roman" w:eastAsia="方正仿宋" w:cs="Times New Roman"/>
          <w:b/>
          <w:bCs/>
          <w:color w:val="auto"/>
          <w:kern w:val="2"/>
          <w:sz w:val="28"/>
          <w:szCs w:val="22"/>
          <w:highlight w:val="none"/>
          <w:lang w:val="en-US" w:eastAsia="zh-CN" w:bidi="ar-SA"/>
        </w:rPr>
        <w:t>）</w:t>
      </w:r>
    </w:p>
    <w:p>
      <w:pPr>
        <w:pStyle w:val="26"/>
        <w:numPr>
          <w:ilvl w:val="0"/>
          <w:numId w:val="0"/>
        </w:numPr>
        <w:ind w:firstLine="560" w:firstLineChars="0"/>
        <w:jc w:val="both"/>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lang w:val="en-US" w:eastAsia="zh-CN" w:bidi="ar-SA"/>
        </w:rPr>
        <w:t>2.</w:t>
      </w:r>
      <w:r>
        <w:rPr>
          <w:rFonts w:hint="eastAsia" w:ascii="Times New Roman" w:hAnsi="Times New Roman" w:eastAsia="方正仿宋" w:cs="Times New Roman"/>
          <w:b w:val="0"/>
          <w:bCs w:val="0"/>
          <w:color w:val="auto"/>
          <w:kern w:val="2"/>
          <w:sz w:val="28"/>
          <w:szCs w:val="22"/>
          <w:highlight w:val="none"/>
          <w:lang w:val="en-US" w:eastAsia="zh-CN" w:bidi="ar-SA"/>
        </w:rPr>
        <w:t>在投标时，供应商须承诺以下内容：（1）自中标通知书收到之日起5个工作日内将全部人员配置到位，并投入项目使用。（2）自中标通知书收到之日起5个工作日内将全部人员姓名、性别、年龄、有效在职证明及所要求的证件资料等材料交采购人核验；（3）中标后配置的人员符合本项目要求。（4）各岗位人员安排不得重复。（5）体检报告于中标通知书收到之日起30日内提交采购人核验（提供承诺函并加盖公章）。</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七</w:t>
      </w:r>
      <w:r>
        <w:rPr>
          <w:rFonts w:hint="eastAsia" w:ascii="Times New Roman" w:hAnsi="Times New Roman" w:cs="Times New Roman"/>
          <w:b/>
          <w:bCs/>
          <w:color w:val="auto"/>
          <w:sz w:val="28"/>
          <w:szCs w:val="22"/>
          <w:highlight w:val="none"/>
          <w:lang w:val="en-US" w:eastAsia="zh-CN"/>
        </w:rPr>
        <w:t>、设施设备要求</w:t>
      </w:r>
    </w:p>
    <w:tbl>
      <w:tblPr>
        <w:tblStyle w:val="12"/>
        <w:tblW w:w="8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widowControl w:val="0"/>
              <w:jc w:val="center"/>
              <w:rPr>
                <w:rFonts w:hint="eastAsia" w:ascii="方正仿宋_GBK" w:hAnsi="方正仿宋_GBK" w:eastAsia="方正仿宋_GBK" w:cs="方正仿宋_GBK"/>
                <w:b w:val="0"/>
                <w:bCs w:val="0"/>
                <w:color w:val="auto"/>
                <w:kern w:val="0"/>
                <w:sz w:val="30"/>
                <w:szCs w:val="30"/>
                <w:highlight w:val="none"/>
                <w:lang w:val="en-US" w:eastAsia="zh-CN" w:bidi="zh-TW"/>
              </w:rPr>
            </w:pPr>
            <w:r>
              <w:rPr>
                <w:rFonts w:hint="eastAsia" w:ascii="方正仿宋_GBK" w:hAnsi="方正仿宋_GBK" w:eastAsia="方正仿宋_GBK" w:cs="方正仿宋_GBK"/>
                <w:b w:val="0"/>
                <w:bCs w:val="0"/>
                <w:color w:val="auto"/>
                <w:kern w:val="0"/>
                <w:sz w:val="30"/>
                <w:szCs w:val="30"/>
                <w:highlight w:val="none"/>
                <w:lang w:val="en-US" w:eastAsia="zh-CN" w:bidi="zh-TW"/>
              </w:rPr>
              <w:t>序号</w:t>
            </w:r>
          </w:p>
        </w:tc>
        <w:tc>
          <w:tcPr>
            <w:tcW w:w="2130" w:type="dxa"/>
            <w:vAlign w:val="center"/>
          </w:tcPr>
          <w:p>
            <w:pPr>
              <w:pStyle w:val="26"/>
              <w:widowControl w:val="0"/>
              <w:jc w:val="center"/>
              <w:rPr>
                <w:rFonts w:hint="eastAsia" w:ascii="方正仿宋_GBK" w:hAnsi="方正仿宋_GBK" w:eastAsia="方正仿宋_GBK" w:cs="方正仿宋_GBK"/>
                <w:b w:val="0"/>
                <w:bCs w:val="0"/>
                <w:color w:val="auto"/>
                <w:kern w:val="0"/>
                <w:sz w:val="30"/>
                <w:szCs w:val="30"/>
                <w:highlight w:val="none"/>
                <w:lang w:val="en-US" w:eastAsia="zh-CN" w:bidi="zh-TW"/>
              </w:rPr>
            </w:pPr>
            <w:r>
              <w:rPr>
                <w:rFonts w:hint="eastAsia" w:ascii="方正仿宋_GBK" w:hAnsi="方正仿宋_GBK" w:eastAsia="方正仿宋_GBK" w:cs="方正仿宋_GBK"/>
                <w:b w:val="0"/>
                <w:bCs w:val="0"/>
                <w:color w:val="auto"/>
                <w:kern w:val="0"/>
                <w:sz w:val="30"/>
                <w:szCs w:val="30"/>
                <w:highlight w:val="none"/>
                <w:lang w:val="en-US" w:eastAsia="zh-CN" w:bidi="zh-TW"/>
              </w:rPr>
              <w:t>设施设备类型</w:t>
            </w:r>
          </w:p>
        </w:tc>
        <w:tc>
          <w:tcPr>
            <w:tcW w:w="2131" w:type="dxa"/>
            <w:vAlign w:val="center"/>
          </w:tcPr>
          <w:p>
            <w:pPr>
              <w:pStyle w:val="26"/>
              <w:widowControl w:val="0"/>
              <w:jc w:val="center"/>
              <w:rPr>
                <w:rFonts w:hint="eastAsia" w:ascii="方正仿宋_GBK" w:hAnsi="方正仿宋_GBK" w:eastAsia="方正仿宋_GBK" w:cs="方正仿宋_GBK"/>
                <w:b w:val="0"/>
                <w:bCs w:val="0"/>
                <w:color w:val="auto"/>
                <w:kern w:val="0"/>
                <w:sz w:val="30"/>
                <w:szCs w:val="30"/>
                <w:highlight w:val="none"/>
                <w:lang w:val="en-US" w:eastAsia="zh-CN" w:bidi="zh-TW"/>
              </w:rPr>
            </w:pPr>
            <w:r>
              <w:rPr>
                <w:rFonts w:hint="eastAsia" w:ascii="方正仿宋_GBK" w:hAnsi="方正仿宋_GBK" w:eastAsia="方正仿宋_GBK" w:cs="方正仿宋_GBK"/>
                <w:b w:val="0"/>
                <w:bCs w:val="0"/>
                <w:color w:val="auto"/>
                <w:kern w:val="0"/>
                <w:sz w:val="30"/>
                <w:szCs w:val="30"/>
                <w:highlight w:val="none"/>
                <w:lang w:val="en-US" w:eastAsia="zh-CN" w:bidi="zh-TW"/>
              </w:rPr>
              <w:t>数量</w:t>
            </w:r>
          </w:p>
        </w:tc>
        <w:tc>
          <w:tcPr>
            <w:tcW w:w="2333" w:type="dxa"/>
            <w:vAlign w:val="center"/>
          </w:tcPr>
          <w:p>
            <w:pPr>
              <w:pStyle w:val="26"/>
              <w:widowControl w:val="0"/>
              <w:jc w:val="center"/>
              <w:rPr>
                <w:rFonts w:hint="eastAsia" w:ascii="方正仿宋_GBK" w:hAnsi="方正仿宋_GBK" w:eastAsia="方正仿宋_GBK" w:cs="方正仿宋_GBK"/>
                <w:b w:val="0"/>
                <w:bCs w:val="0"/>
                <w:color w:val="auto"/>
                <w:kern w:val="0"/>
                <w:sz w:val="30"/>
                <w:szCs w:val="30"/>
                <w:highlight w:val="none"/>
                <w:lang w:val="en-US" w:eastAsia="zh-CN" w:bidi="zh-TW"/>
              </w:rPr>
            </w:pPr>
            <w:r>
              <w:rPr>
                <w:rFonts w:hint="eastAsia" w:ascii="方正仿宋_GBK" w:hAnsi="方正仿宋_GBK" w:eastAsia="方正仿宋_GBK" w:cs="方正仿宋_GBK"/>
                <w:b w:val="0"/>
                <w:bCs w:val="0"/>
                <w:color w:val="auto"/>
                <w:kern w:val="0"/>
                <w:sz w:val="30"/>
                <w:szCs w:val="30"/>
                <w:highlight w:val="none"/>
                <w:lang w:val="en-US" w:eastAsia="zh-CN" w:bidi="zh-TW"/>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洒水车</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 辆</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核定载质量≥8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货车</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 辆</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核定载质量≥2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巡查车</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1 辆</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4 门 5 座三厢车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4</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剪草机</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4 台</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5</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草坪打孔机</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2 台</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6</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喷雾器</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 台</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7</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割灌机</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 台</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8</w:t>
            </w:r>
          </w:p>
        </w:tc>
        <w:tc>
          <w:tcPr>
            <w:tcW w:w="2130"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绿篱修剪机</w:t>
            </w:r>
          </w:p>
        </w:tc>
        <w:tc>
          <w:tcPr>
            <w:tcW w:w="2131"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3 台</w:t>
            </w:r>
          </w:p>
        </w:tc>
        <w:tc>
          <w:tcPr>
            <w:tcW w:w="2333" w:type="dxa"/>
            <w:vAlign w:val="center"/>
          </w:tcPr>
          <w:p>
            <w:pPr>
              <w:pStyle w:val="26"/>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方正仿宋_GBK" w:hAnsi="方正仿宋_GBK" w:eastAsia="方正仿宋_GBK" w:cs="方正仿宋_GBK"/>
                <w:color w:val="auto"/>
                <w:kern w:val="0"/>
                <w:sz w:val="24"/>
                <w:szCs w:val="24"/>
                <w:highlight w:val="none"/>
                <w:lang w:val="en-US" w:eastAsia="zh-CN" w:bidi="zh-TW"/>
              </w:rPr>
            </w:pPr>
            <w:r>
              <w:rPr>
                <w:rFonts w:hint="eastAsia" w:ascii="方正仿宋_GBK" w:hAnsi="方正仿宋_GBK" w:eastAsia="方正仿宋_GBK" w:cs="方正仿宋_GBK"/>
                <w:color w:val="auto"/>
                <w:kern w:val="0"/>
                <w:sz w:val="24"/>
                <w:szCs w:val="24"/>
                <w:highlight w:val="none"/>
                <w:lang w:val="en-US" w:eastAsia="zh-CN" w:bidi="zh-TW"/>
              </w:rPr>
              <w:t>/</w:t>
            </w:r>
          </w:p>
        </w:tc>
      </w:tr>
    </w:tbl>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说明：</w:t>
      </w:r>
      <w:r>
        <w:rPr>
          <w:rFonts w:hint="default" w:ascii="Times New Roman" w:hAnsi="Times New Roman" w:eastAsia="方正仿宋" w:cs="Times New Roman"/>
          <w:b w:val="0"/>
          <w:bCs w:val="0"/>
          <w:color w:val="auto"/>
          <w:kern w:val="2"/>
          <w:sz w:val="28"/>
          <w:szCs w:val="22"/>
          <w:highlight w:val="none"/>
          <w:lang w:val="en-US" w:eastAsia="zh-CN" w:bidi="ar-SA"/>
        </w:rPr>
        <w:t>设施设备配置要求采用承诺方式响应。供应商须承诺以下内容：（1）收到中标通知书5个工作日内提供设施设备配置清单及相关证明材料交采购人核验，清单主要包括设施设备权属状况（自有或非自有）、取得使用权时间、配置数量等信息；相关证明材料</w:t>
      </w:r>
      <w:r>
        <w:rPr>
          <w:rFonts w:hint="eastAsia" w:ascii="Times New Roman" w:hAnsi="Times New Roman" w:eastAsia="方正仿宋" w:cs="Times New Roman"/>
          <w:b w:val="0"/>
          <w:bCs w:val="0"/>
          <w:color w:val="auto"/>
          <w:kern w:val="2"/>
          <w:sz w:val="28"/>
          <w:szCs w:val="22"/>
          <w:highlight w:val="none"/>
          <w:lang w:val="en-US" w:eastAsia="zh-CN" w:bidi="ar-SA"/>
        </w:rPr>
        <w:t>包括：</w:t>
      </w:r>
      <w:r>
        <w:rPr>
          <w:rFonts w:hint="default" w:ascii="Times New Roman" w:hAnsi="Times New Roman" w:eastAsia="方正仿宋" w:cs="Times New Roman"/>
          <w:b w:val="0"/>
          <w:bCs w:val="0"/>
          <w:color w:val="auto"/>
          <w:kern w:val="2"/>
          <w:sz w:val="28"/>
          <w:szCs w:val="22"/>
          <w:highlight w:val="none"/>
          <w:lang w:val="en-US" w:eastAsia="zh-CN" w:bidi="ar-SA"/>
        </w:rPr>
        <w:t>自有机动车辆需提供车辆购置发票和有效的行驶证复印件，非自有机动车辆，需提供供应商合法取得使用权的证明材料（其中须包含有效期内的行驶证复印件）；其他设施设备属于供应商自有的，应提供购置发票，非自有的，须提供供应商合法取得使用权的证明材料。（2）收到中标通知书5个工作日内，将设施设备配齐并投入到项目使用。（3）供应商须承诺在服务过程中所使用的设施设备与投标文件中响应配备的设施设备一致（提供承诺函并加盖公章）</w:t>
      </w:r>
      <w:r>
        <w:rPr>
          <w:rFonts w:hint="eastAsia" w:ascii="Times New Roman" w:hAnsi="Times New Roman" w:eastAsia="方正仿宋" w:cs="Times New Roman"/>
          <w:b w:val="0"/>
          <w:bCs w:val="0"/>
          <w:color w:val="auto"/>
          <w:kern w:val="2"/>
          <w:sz w:val="28"/>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八</w:t>
      </w:r>
      <w:r>
        <w:rPr>
          <w:rFonts w:hint="default" w:ascii="Times New Roman" w:hAnsi="Times New Roman" w:cs="Times New Roman"/>
          <w:b/>
          <w:bCs/>
          <w:color w:val="auto"/>
          <w:sz w:val="28"/>
          <w:szCs w:val="22"/>
          <w:highlight w:val="none"/>
          <w:lang w:val="en-US" w:eastAsia="zh-CN"/>
        </w:rPr>
        <w:t>、</w:t>
      </w:r>
      <w:r>
        <w:rPr>
          <w:rFonts w:hint="eastAsia" w:cs="Times New Roman"/>
          <w:b/>
          <w:bCs/>
          <w:color w:val="auto"/>
          <w:sz w:val="28"/>
          <w:szCs w:val="22"/>
          <w:highlight w:val="none"/>
          <w:lang w:val="en-US" w:eastAsia="zh-CN"/>
        </w:rPr>
        <w:t>服务</w:t>
      </w:r>
      <w:r>
        <w:rPr>
          <w:rFonts w:hint="eastAsia" w:ascii="Times New Roman" w:hAnsi="Times New Roman" w:cs="Times New Roman"/>
          <w:b/>
          <w:bCs/>
          <w:color w:val="auto"/>
          <w:sz w:val="28"/>
          <w:szCs w:val="22"/>
          <w:highlight w:val="none"/>
          <w:lang w:val="en-US" w:eastAsia="zh-CN"/>
        </w:rPr>
        <w:t>方案编制要求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供应商根据本项目要求及自身经营情况，编写如下服务方案：</w:t>
      </w:r>
    </w:p>
    <w:p>
      <w:pPr>
        <w:keepNext w:val="0"/>
        <w:keepLines w:val="0"/>
        <w:pageBreakBefore w:val="0"/>
        <w:widowControl/>
        <w:kinsoku/>
        <w:wordWrap/>
        <w:overflowPunct/>
        <w:topLinePunct w:val="0"/>
        <w:autoSpaceDE w:val="0"/>
        <w:autoSpaceDN w:val="0"/>
        <w:bidi w:val="0"/>
        <w:adjustRightInd w:val="0"/>
        <w:snapToGrid/>
        <w:spacing w:line="360" w:lineRule="auto"/>
        <w:ind w:firstLine="560" w:firstLineChars="200"/>
        <w:jc w:val="left"/>
        <w:textAlignment w:val="auto"/>
        <w:outlineLvl w:val="0"/>
        <w:rPr>
          <w:rFonts w:hint="eastAsia" w:ascii="Times New Roman" w:hAnsi="Times New Roman" w:cs="Times New Roman"/>
          <w:b w:val="0"/>
          <w:bCs w:val="0"/>
          <w:color w:val="auto"/>
          <w:sz w:val="28"/>
          <w:szCs w:val="22"/>
          <w:highlight w:val="none"/>
          <w:lang w:val="en-US" w:eastAsia="zh-CN"/>
        </w:rPr>
      </w:pPr>
      <w:r>
        <w:rPr>
          <w:rFonts w:hint="default"/>
          <w:b w:val="0"/>
          <w:bCs w:val="0"/>
          <w:color w:val="auto"/>
          <w:sz w:val="28"/>
          <w:szCs w:val="22"/>
          <w:highlight w:val="none"/>
          <w:lang w:val="en-US" w:eastAsia="zh-CN"/>
        </w:rPr>
        <w:t>（一）供应商提供</w:t>
      </w:r>
      <w:r>
        <w:rPr>
          <w:rFonts w:hint="eastAsia"/>
          <w:b w:val="0"/>
          <w:bCs w:val="0"/>
          <w:color w:val="auto"/>
          <w:sz w:val="28"/>
          <w:szCs w:val="22"/>
          <w:highlight w:val="none"/>
          <w:lang w:val="en-US" w:eastAsia="zh-CN"/>
        </w:rPr>
        <w:t>项目分析</w:t>
      </w:r>
      <w:r>
        <w:rPr>
          <w:rFonts w:hint="default"/>
          <w:b w:val="0"/>
          <w:bCs w:val="0"/>
          <w:color w:val="auto"/>
          <w:sz w:val="28"/>
          <w:szCs w:val="22"/>
          <w:highlight w:val="none"/>
          <w:lang w:val="en-US" w:eastAsia="zh-CN"/>
        </w:rPr>
        <w:t>方案，内容包含：</w:t>
      </w:r>
      <w:r>
        <w:rPr>
          <w:rFonts w:hint="eastAsia" w:ascii="Times New Roman" w:hAnsi="Times New Roman" w:eastAsia="方正仿宋" w:cs="Times New Roman"/>
          <w:color w:val="auto"/>
          <w:kern w:val="2"/>
          <w:sz w:val="28"/>
          <w:szCs w:val="22"/>
          <w:highlight w:val="none"/>
          <w:lang w:val="en-US" w:eastAsia="zh-CN" w:bidi="zh-TW"/>
        </w:rPr>
        <w:t>①项目背景分析；②行业背景；③项目重难点分析；④应对措施；⑤关键节点的把握；⑥现场情况了解及分析，</w:t>
      </w:r>
      <w:r>
        <w:rPr>
          <w:rFonts w:hint="eastAsia" w:ascii="Times New Roman" w:hAnsi="Times New Roman" w:eastAsia="方正仿宋" w:cs="Times New Roman"/>
          <w:bCs w:val="0"/>
          <w:color w:val="auto"/>
          <w:spacing w:val="0"/>
          <w:kern w:val="2"/>
          <w:sz w:val="28"/>
          <w:szCs w:val="22"/>
          <w:highlight w:val="none"/>
          <w:lang w:val="en-US" w:eastAsia="zh-CN" w:bidi="zh-TW"/>
        </w:rPr>
        <w:t>共6项</w:t>
      </w:r>
      <w:r>
        <w:rPr>
          <w:rFonts w:hint="eastAsia" w:ascii="Times New Roman" w:hAnsi="Times New Roman" w:cs="Times New Roman"/>
          <w:b w:val="0"/>
          <w:bCs w:val="0"/>
          <w:color w:val="auto"/>
          <w:sz w:val="28"/>
          <w:szCs w:val="22"/>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560" w:firstLineChars="200"/>
        <w:jc w:val="left"/>
        <w:textAlignment w:val="auto"/>
        <w:outlineLvl w:val="0"/>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（二）供应商提供管护作业方案，内容包含：①浇水、施肥；②病虫害防治；③植物的修剪；④绿地清洁卫生；⑤绿化巡查，共5项。</w:t>
      </w:r>
    </w:p>
    <w:p>
      <w:pPr>
        <w:keepNext w:val="0"/>
        <w:keepLines w:val="0"/>
        <w:pageBreakBefore w:val="0"/>
        <w:widowControl/>
        <w:kinsoku/>
        <w:wordWrap/>
        <w:overflowPunct/>
        <w:topLinePunct w:val="0"/>
        <w:autoSpaceDE w:val="0"/>
        <w:autoSpaceDN w:val="0"/>
        <w:bidi w:val="0"/>
        <w:adjustRightInd w:val="0"/>
        <w:snapToGrid/>
        <w:spacing w:line="360" w:lineRule="auto"/>
        <w:ind w:firstLine="560" w:firstLineChars="200"/>
        <w:jc w:val="left"/>
        <w:textAlignment w:val="auto"/>
        <w:outlineLvl w:val="0"/>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（三）供应商提供日常养护管理方案，内容包含：①养护管理内容；②养护管理措施；③养护管理档案建立，共3项。</w:t>
      </w:r>
    </w:p>
    <w:p>
      <w:pPr>
        <w:keepNext w:val="0"/>
        <w:keepLines w:val="0"/>
        <w:pageBreakBefore w:val="0"/>
        <w:widowControl/>
        <w:kinsoku/>
        <w:wordWrap/>
        <w:overflowPunct/>
        <w:topLinePunct w:val="0"/>
        <w:autoSpaceDE w:val="0"/>
        <w:autoSpaceDN w:val="0"/>
        <w:bidi w:val="0"/>
        <w:adjustRightInd w:val="0"/>
        <w:snapToGrid/>
        <w:spacing w:line="360" w:lineRule="auto"/>
        <w:ind w:firstLine="560" w:firstLineChars="200"/>
        <w:jc w:val="left"/>
        <w:textAlignment w:val="auto"/>
        <w:outlineLvl w:val="0"/>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（四）供应商提供质量管理方案，内容包含：①质量控制目标；②质量管理机构设置；③质量保障措施，共3项。</w:t>
      </w:r>
    </w:p>
    <w:p>
      <w:pPr>
        <w:keepNext w:val="0"/>
        <w:keepLines w:val="0"/>
        <w:pageBreakBefore w:val="0"/>
        <w:widowControl/>
        <w:kinsoku/>
        <w:wordWrap/>
        <w:overflowPunct/>
        <w:topLinePunct w:val="0"/>
        <w:autoSpaceDE w:val="0"/>
        <w:autoSpaceDN w:val="0"/>
        <w:bidi w:val="0"/>
        <w:adjustRightInd w:val="0"/>
        <w:snapToGrid/>
        <w:spacing w:line="360" w:lineRule="auto"/>
        <w:ind w:firstLine="560" w:firstLineChars="200"/>
        <w:jc w:val="left"/>
        <w:textAlignment w:val="auto"/>
        <w:outlineLvl w:val="0"/>
        <w:rPr>
          <w:rFonts w:hint="eastAsia" w:ascii="Times New Roman" w:hAnsi="Times New Roman" w:cs="Times New Roman"/>
          <w:b w:val="0"/>
          <w:bCs w:val="0"/>
          <w:color w:val="auto"/>
          <w:sz w:val="28"/>
          <w:szCs w:val="22"/>
          <w:highlight w:val="none"/>
          <w:lang w:val="en-US" w:eastAsia="zh-CN"/>
        </w:rPr>
      </w:pPr>
      <w:r>
        <w:rPr>
          <w:rFonts w:hint="eastAsia" w:ascii="Times New Roman" w:hAnsi="Times New Roman" w:cs="Times New Roman"/>
          <w:b w:val="0"/>
          <w:bCs w:val="0"/>
          <w:color w:val="auto"/>
          <w:sz w:val="28"/>
          <w:szCs w:val="22"/>
          <w:highlight w:val="none"/>
          <w:lang w:val="en-US" w:eastAsia="zh-CN"/>
        </w:rPr>
        <w:t>（五）供应商提供</w:t>
      </w:r>
      <w:r>
        <w:rPr>
          <w:rFonts w:hint="eastAsia" w:ascii="Times New Roman" w:hAnsi="Times New Roman" w:eastAsia="方正仿宋" w:cs="Times New Roman"/>
          <w:color w:val="auto"/>
          <w:kern w:val="2"/>
          <w:sz w:val="28"/>
          <w:szCs w:val="22"/>
          <w:highlight w:val="none"/>
          <w:lang w:val="en-US" w:eastAsia="zh-CN" w:bidi="zh-TW"/>
        </w:rPr>
        <w:t>应急管护措施</w:t>
      </w:r>
      <w:r>
        <w:rPr>
          <w:rFonts w:hint="eastAsia" w:ascii="Times New Roman" w:hAnsi="Times New Roman" w:cs="Times New Roman"/>
          <w:b w:val="0"/>
          <w:bCs w:val="0"/>
          <w:color w:val="auto"/>
          <w:sz w:val="28"/>
          <w:szCs w:val="22"/>
          <w:highlight w:val="none"/>
          <w:lang w:val="en-US" w:eastAsia="zh-CN"/>
        </w:rPr>
        <w:t>，内容包含：</w:t>
      </w:r>
      <w:r>
        <w:rPr>
          <w:rFonts w:hint="eastAsia" w:ascii="Times New Roman" w:hAnsi="Times New Roman" w:eastAsia="方正仿宋" w:cs="Times New Roman"/>
          <w:bCs w:val="0"/>
          <w:color w:val="auto"/>
          <w:spacing w:val="0"/>
          <w:kern w:val="2"/>
          <w:sz w:val="28"/>
          <w:szCs w:val="22"/>
          <w:highlight w:val="none"/>
          <w:lang w:val="en-US" w:eastAsia="zh-CN" w:bidi="zh-TW"/>
        </w:rPr>
        <w:t>①</w:t>
      </w:r>
      <w:r>
        <w:rPr>
          <w:rFonts w:hint="eastAsia" w:ascii="Times New Roman" w:hAnsi="Times New Roman" w:eastAsia="方正仿宋" w:cs="Times New Roman"/>
          <w:color w:val="auto"/>
          <w:kern w:val="2"/>
          <w:sz w:val="28"/>
          <w:szCs w:val="22"/>
          <w:highlight w:val="none"/>
          <w:lang w:val="en-US" w:eastAsia="zh-CN" w:bidi="zh-TW"/>
        </w:rPr>
        <w:t>应急人员配置；</w:t>
      </w:r>
      <w:r>
        <w:rPr>
          <w:rFonts w:hint="eastAsia" w:ascii="Times New Roman" w:hAnsi="Times New Roman" w:eastAsia="方正仿宋" w:cs="Times New Roman"/>
          <w:bCs w:val="0"/>
          <w:color w:val="auto"/>
          <w:spacing w:val="0"/>
          <w:kern w:val="2"/>
          <w:sz w:val="28"/>
          <w:szCs w:val="22"/>
          <w:highlight w:val="none"/>
          <w:lang w:val="en-US" w:eastAsia="zh-CN" w:bidi="zh-TW"/>
        </w:rPr>
        <w:t>②</w:t>
      </w:r>
      <w:r>
        <w:rPr>
          <w:rFonts w:hint="eastAsia" w:ascii="Times New Roman" w:hAnsi="Times New Roman" w:eastAsia="方正仿宋" w:cs="Times New Roman"/>
          <w:color w:val="auto"/>
          <w:kern w:val="2"/>
          <w:sz w:val="28"/>
          <w:szCs w:val="22"/>
          <w:highlight w:val="none"/>
          <w:lang w:val="en-US" w:eastAsia="zh-CN" w:bidi="zh-TW"/>
        </w:rPr>
        <w:t>应急响应时间；</w:t>
      </w:r>
      <w:r>
        <w:rPr>
          <w:rFonts w:hint="eastAsia" w:ascii="Times New Roman" w:hAnsi="Times New Roman" w:eastAsia="方正仿宋" w:cs="Times New Roman"/>
          <w:bCs w:val="0"/>
          <w:color w:val="auto"/>
          <w:spacing w:val="0"/>
          <w:kern w:val="2"/>
          <w:sz w:val="28"/>
          <w:szCs w:val="22"/>
          <w:highlight w:val="none"/>
          <w:lang w:val="en-US" w:eastAsia="zh-CN" w:bidi="zh-TW"/>
        </w:rPr>
        <w:t>③</w:t>
      </w:r>
      <w:r>
        <w:rPr>
          <w:rFonts w:hint="eastAsia" w:ascii="Times New Roman" w:hAnsi="Times New Roman" w:eastAsia="方正仿宋" w:cs="Times New Roman"/>
          <w:color w:val="auto"/>
          <w:kern w:val="2"/>
          <w:sz w:val="28"/>
          <w:szCs w:val="22"/>
          <w:highlight w:val="none"/>
          <w:lang w:val="en-US" w:eastAsia="zh-CN" w:bidi="zh-TW"/>
        </w:rPr>
        <w:t>应急物资配备内容</w:t>
      </w:r>
      <w:r>
        <w:rPr>
          <w:rFonts w:hint="eastAsia" w:ascii="Times New Roman" w:hAnsi="Times New Roman" w:cs="Times New Roman"/>
          <w:b w:val="0"/>
          <w:bCs w:val="0"/>
          <w:color w:val="auto"/>
          <w:sz w:val="28"/>
          <w:szCs w:val="22"/>
          <w:highlight w:val="none"/>
          <w:lang w:val="en-US" w:eastAsia="zh-CN"/>
        </w:rPr>
        <w:t>，共3项。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bCs/>
          <w:color w:val="auto"/>
          <w:sz w:val="28"/>
          <w:szCs w:val="22"/>
          <w:highlight w:val="none"/>
          <w:lang w:val="en-US" w:eastAsia="zh-CN"/>
        </w:rPr>
      </w:pPr>
      <w:r>
        <w:rPr>
          <w:rFonts w:hint="default"/>
          <w:b w:val="0"/>
          <w:bCs w:val="0"/>
          <w:color w:val="auto"/>
          <w:sz w:val="28"/>
          <w:szCs w:val="22"/>
          <w:highlight w:val="none"/>
          <w:lang w:val="en-US" w:eastAsia="zh-CN"/>
        </w:rPr>
        <w:t>注：本项目服务方案要求不作为实质性要求，仅作为评审因素，投标人应当根据实际情况提供真实、客观的证明材料，具体评审标准详见“评审标准”表。</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default"/>
          <w:b/>
          <w:bCs/>
          <w:color w:val="auto"/>
          <w:sz w:val="28"/>
          <w:szCs w:val="22"/>
          <w:highlight w:val="none"/>
          <w:lang w:val="en-US" w:eastAsia="zh-CN"/>
        </w:rPr>
      </w:pPr>
      <w:r>
        <w:rPr>
          <w:rFonts w:hint="default"/>
          <w:b/>
          <w:bCs/>
          <w:color w:val="auto"/>
          <w:sz w:val="28"/>
          <w:szCs w:val="22"/>
          <w:highlight w:val="none"/>
          <w:lang w:val="en-US" w:eastAsia="zh-CN"/>
        </w:rPr>
        <w:t>★</w:t>
      </w:r>
      <w:r>
        <w:rPr>
          <w:rFonts w:hint="eastAsia"/>
          <w:b/>
          <w:bCs/>
          <w:color w:val="auto"/>
          <w:sz w:val="28"/>
          <w:szCs w:val="22"/>
          <w:highlight w:val="none"/>
          <w:lang w:val="en-US" w:eastAsia="zh-CN"/>
        </w:rPr>
        <w:t>九、</w:t>
      </w:r>
      <w:r>
        <w:rPr>
          <w:rFonts w:hint="default"/>
          <w:b/>
          <w:bCs/>
          <w:color w:val="auto"/>
          <w:sz w:val="28"/>
          <w:szCs w:val="22"/>
          <w:highlight w:val="none"/>
          <w:lang w:val="en-US" w:eastAsia="zh-CN"/>
        </w:rPr>
        <w:t>商务要求（限于平台提供的模板限制，无法充分体现本项目实际要求，且无法调整，如</w:t>
      </w:r>
      <w:r>
        <w:rPr>
          <w:rFonts w:hint="eastAsia"/>
          <w:b/>
          <w:bCs/>
          <w:color w:val="auto"/>
          <w:sz w:val="28"/>
          <w:szCs w:val="22"/>
          <w:highlight w:val="none"/>
          <w:lang w:val="en-US" w:eastAsia="zh-CN"/>
        </w:rPr>
        <w:t>此处</w:t>
      </w:r>
      <w:r>
        <w:rPr>
          <w:rFonts w:hint="default"/>
          <w:b/>
          <w:bCs/>
          <w:color w:val="auto"/>
          <w:sz w:val="28"/>
          <w:szCs w:val="22"/>
          <w:highlight w:val="none"/>
          <w:lang w:val="en-US" w:eastAsia="zh-CN"/>
        </w:rPr>
        <w:t>商务要求与“3.3商务要求”中描述有不一致的，供应商在进行响应时，以</w:t>
      </w:r>
      <w:r>
        <w:rPr>
          <w:rFonts w:hint="eastAsia"/>
          <w:b/>
          <w:bCs/>
          <w:color w:val="auto"/>
          <w:sz w:val="28"/>
          <w:szCs w:val="22"/>
          <w:highlight w:val="none"/>
          <w:lang w:val="en-US" w:eastAsia="zh-CN"/>
        </w:rPr>
        <w:t>此处</w:t>
      </w:r>
      <w:r>
        <w:rPr>
          <w:rFonts w:hint="default"/>
          <w:b/>
          <w:bCs/>
          <w:color w:val="auto"/>
          <w:sz w:val="28"/>
          <w:szCs w:val="22"/>
          <w:highlight w:val="none"/>
          <w:lang w:val="en-US" w:eastAsia="zh-CN"/>
        </w:rPr>
        <w:t>商务要求为准进行响应，若未按此要求进行响应，视为未实质性响应）</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color w:val="auto"/>
          <w:sz w:val="28"/>
          <w:szCs w:val="22"/>
          <w:highlight w:val="none"/>
          <w:lang w:val="en-US" w:eastAsia="zh-CN"/>
        </w:rPr>
      </w:pPr>
      <w:r>
        <w:rPr>
          <w:rFonts w:hint="default"/>
          <w:b/>
          <w:bCs/>
          <w:color w:val="auto"/>
          <w:sz w:val="28"/>
          <w:szCs w:val="22"/>
          <w:highlight w:val="none"/>
          <w:lang w:val="en-US" w:eastAsia="zh-CN"/>
        </w:rPr>
        <w:t>（一）</w:t>
      </w:r>
      <w:r>
        <w:rPr>
          <w:rFonts w:hint="eastAsia"/>
          <w:b/>
          <w:bCs/>
          <w:color w:val="auto"/>
          <w:sz w:val="28"/>
          <w:szCs w:val="22"/>
          <w:highlight w:val="none"/>
          <w:lang w:val="en-US" w:eastAsia="zh-CN"/>
        </w:rPr>
        <w:t>服务</w:t>
      </w:r>
      <w:r>
        <w:rPr>
          <w:rFonts w:hint="default"/>
          <w:b/>
          <w:bCs/>
          <w:color w:val="auto"/>
          <w:sz w:val="28"/>
          <w:szCs w:val="22"/>
          <w:highlight w:val="none"/>
          <w:lang w:val="en-US" w:eastAsia="zh-CN"/>
        </w:rPr>
        <w:t>地点</w:t>
      </w:r>
      <w:r>
        <w:rPr>
          <w:rFonts w:hint="eastAsia"/>
          <w:b/>
          <w:bCs/>
          <w:color w:val="auto"/>
          <w:sz w:val="28"/>
          <w:szCs w:val="22"/>
          <w:highlight w:val="none"/>
          <w:lang w:val="en-US" w:eastAsia="zh-CN"/>
        </w:rPr>
        <w:t>与期限</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4"/>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1</w:t>
      </w:r>
      <w:r>
        <w:rPr>
          <w:rFonts w:hint="eastAsia"/>
          <w:b w:val="0"/>
          <w:bCs w:val="0"/>
          <w:color w:val="auto"/>
          <w:sz w:val="28"/>
          <w:szCs w:val="22"/>
          <w:highlight w:val="none"/>
          <w:lang w:val="en-US" w:eastAsia="zh-CN"/>
        </w:rPr>
        <w:t>. 服务地点</w:t>
      </w:r>
      <w:r>
        <w:rPr>
          <w:rFonts w:hint="default"/>
          <w:b w:val="0"/>
          <w:bCs w:val="0"/>
          <w:color w:val="auto"/>
          <w:sz w:val="28"/>
          <w:szCs w:val="22"/>
          <w:highlight w:val="none"/>
          <w:lang w:val="en-US" w:eastAsia="zh-CN"/>
        </w:rPr>
        <w:t>：成都市双流区怡心街道辖区</w:t>
      </w:r>
      <w:r>
        <w:rPr>
          <w:rFonts w:hint="eastAsia"/>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2</w:t>
      </w:r>
      <w:r>
        <w:rPr>
          <w:rFonts w:hint="eastAsia"/>
          <w:b w:val="0"/>
          <w:bCs w:val="0"/>
          <w:color w:val="auto"/>
          <w:sz w:val="28"/>
          <w:szCs w:val="22"/>
          <w:highlight w:val="none"/>
          <w:lang w:val="en-US" w:eastAsia="zh-CN"/>
        </w:rPr>
        <w:t>. 服务期限</w:t>
      </w:r>
      <w:r>
        <w:rPr>
          <w:rFonts w:hint="default"/>
          <w:b w:val="0"/>
          <w:bCs w:val="0"/>
          <w:color w:val="auto"/>
          <w:sz w:val="28"/>
          <w:szCs w:val="22"/>
          <w:highlight w:val="none"/>
          <w:lang w:val="en-US" w:eastAsia="zh-CN"/>
        </w:rPr>
        <w:t>：进场服务之日起三年，合同一年一签，经考核合格后续签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b w:val="0"/>
          <w:bCs w:val="0"/>
          <w:color w:val="auto"/>
          <w:sz w:val="28"/>
          <w:szCs w:val="22"/>
          <w:highlight w:val="none"/>
          <w:lang w:val="en-US" w:eastAsia="zh-CN"/>
        </w:rPr>
      </w:pPr>
      <w:r>
        <w:rPr>
          <w:rFonts w:hint="eastAsia"/>
          <w:b w:val="0"/>
          <w:bCs w:val="0"/>
          <w:color w:val="auto"/>
          <w:sz w:val="28"/>
          <w:szCs w:val="22"/>
          <w:highlight w:val="none"/>
          <w:lang w:val="en-US" w:eastAsia="zh-CN"/>
        </w:rPr>
        <w:t>3.续签时间及条件：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（1）</w:t>
      </w:r>
      <w:r>
        <w:rPr>
          <w:rFonts w:hint="default"/>
          <w:b w:val="0"/>
          <w:bCs w:val="0"/>
          <w:color w:val="auto"/>
          <w:sz w:val="28"/>
          <w:szCs w:val="22"/>
          <w:highlight w:val="none"/>
          <w:lang w:val="en-US" w:eastAsia="zh-CN"/>
        </w:rPr>
        <w:t>续签</w:t>
      </w:r>
      <w:r>
        <w:rPr>
          <w:rFonts w:hint="eastAsia"/>
          <w:b w:val="0"/>
          <w:bCs w:val="0"/>
          <w:color w:val="auto"/>
          <w:sz w:val="28"/>
          <w:szCs w:val="22"/>
          <w:highlight w:val="none"/>
          <w:lang w:val="en-US" w:eastAsia="zh-CN"/>
        </w:rPr>
        <w:t>时间</w:t>
      </w:r>
      <w:r>
        <w:rPr>
          <w:rFonts w:hint="default"/>
          <w:b w:val="0"/>
          <w:bCs w:val="0"/>
          <w:color w:val="auto"/>
          <w:sz w:val="28"/>
          <w:szCs w:val="22"/>
          <w:highlight w:val="none"/>
          <w:lang w:val="en-US" w:eastAsia="zh-CN"/>
        </w:rPr>
        <w:t>：合同一年期满，经采购人考核（以《成都市双流区城市园林绿化管理考核评分标准》为准）合格后可续签合同。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（2）</w:t>
      </w:r>
      <w:r>
        <w:rPr>
          <w:rFonts w:hint="default"/>
          <w:b w:val="0"/>
          <w:bCs w:val="0"/>
          <w:color w:val="auto"/>
          <w:sz w:val="28"/>
          <w:szCs w:val="22"/>
          <w:highlight w:val="none"/>
          <w:lang w:val="en-US" w:eastAsia="zh-CN"/>
        </w:rPr>
        <w:t>续签条件：续签合同须同时满足以下前提条件：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①未出现连续两次月考核得分在80分及以下的；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②全年12个月考核结果平均分在85分及以上；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③履约过程中未出现转包和分包的情形。</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b/>
          <w:bCs/>
          <w:color w:val="auto"/>
          <w:sz w:val="28"/>
          <w:szCs w:val="22"/>
          <w:highlight w:val="none"/>
          <w:lang w:val="en-US" w:eastAsia="zh-CN"/>
        </w:rPr>
      </w:pPr>
      <w:r>
        <w:rPr>
          <w:rFonts w:hint="default"/>
          <w:b/>
          <w:bCs/>
          <w:color w:val="auto"/>
          <w:sz w:val="28"/>
          <w:szCs w:val="22"/>
          <w:highlight w:val="none"/>
          <w:lang w:val="en-US" w:eastAsia="zh-CN"/>
        </w:rPr>
        <w:t>（二）支付约定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2"/>
          <w:highlight w:val="none"/>
          <w:lang w:val="en-US" w:eastAsia="zh-CN"/>
        </w:rPr>
      </w:pPr>
      <w:r>
        <w:rPr>
          <w:rFonts w:hint="eastAsia"/>
          <w:color w:val="auto"/>
          <w:sz w:val="28"/>
          <w:szCs w:val="22"/>
          <w:highlight w:val="none"/>
          <w:lang w:val="en-US" w:eastAsia="zh-CN"/>
        </w:rPr>
        <w:t>1.合同签订后10个工作日内支付合同金额的40%作为预付款，预付款在合同中分四个季度从应付经费中平均扣除，若该季度的养护费用因考核原因被扣除后不足以抵扣当季度应扣预付款，则剩余未扣除部分顺延至下一个季度扣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2"/>
          <w:highlight w:val="none"/>
          <w:lang w:val="en-US" w:eastAsia="zh-CN"/>
        </w:rPr>
      </w:pPr>
      <w:r>
        <w:rPr>
          <w:rFonts w:hint="eastAsia"/>
          <w:color w:val="auto"/>
          <w:sz w:val="28"/>
          <w:szCs w:val="22"/>
          <w:highlight w:val="none"/>
          <w:lang w:val="en-US" w:eastAsia="zh-CN"/>
        </w:rPr>
        <w:t>2.每季度实得经费核算方式：供应商每季度实得绿化管护服务经费=每季度价款（合同总金额/4）－每季度检查考核所扣金额－预付款/4（若有）。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olor w:val="auto"/>
          <w:sz w:val="28"/>
          <w:szCs w:val="22"/>
          <w:highlight w:val="none"/>
          <w:lang w:val="en-US" w:eastAsia="zh-CN"/>
        </w:rPr>
      </w:pPr>
      <w:r>
        <w:rPr>
          <w:rFonts w:hint="eastAsia"/>
          <w:color w:val="auto"/>
          <w:sz w:val="28"/>
          <w:szCs w:val="22"/>
          <w:highlight w:val="none"/>
          <w:lang w:val="en-US" w:eastAsia="zh-CN"/>
        </w:rPr>
        <w:t>3.支付方式及要求：采取银行转账方式，每季度考核，次季度支付。即每季度末考核结束后（不足一个季度的根据合同总金额/该年度实际天数*该季度实际养护天数），供应商向采购人递交拨付管护费的书面申请，提供采购人签字且盖章确认的考核表或考核通报，采购人在收到供应商齐全的请款资料及符合采购人要求的增值税发票后，10个工作日内（预付款除外）向供应商支付服务经费（因客观原因造成支付延期的除外，例如发生自然灾害、疫情等）。</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default"/>
          <w:b/>
          <w:bCs/>
          <w:color w:val="000000" w:themeColor="text1"/>
          <w:sz w:val="28"/>
          <w:szCs w:val="22"/>
          <w:highlight w:val="none"/>
          <w:lang w:val="en-US" w:eastAsia="zh-CN"/>
          <w14:textFill>
            <w14:solidFill>
              <w14:schemeClr w14:val="tx1"/>
            </w14:solidFill>
          </w14:textFill>
        </w:rPr>
      </w:pPr>
      <w:r>
        <w:rPr>
          <w:rFonts w:hint="default"/>
          <w:b/>
          <w:bCs/>
          <w:color w:val="auto"/>
          <w:sz w:val="28"/>
          <w:szCs w:val="22"/>
          <w:highlight w:val="none"/>
          <w:lang w:val="en-US" w:eastAsia="zh-CN"/>
        </w:rPr>
        <w:t>（</w:t>
      </w:r>
      <w:r>
        <w:rPr>
          <w:rFonts w:hint="eastAsia"/>
          <w:b/>
          <w:bCs/>
          <w:color w:val="auto"/>
          <w:sz w:val="28"/>
          <w:szCs w:val="22"/>
          <w:highlight w:val="none"/>
          <w:lang w:val="en-US" w:eastAsia="zh-CN"/>
        </w:rPr>
        <w:t>三</w:t>
      </w:r>
      <w:r>
        <w:rPr>
          <w:rFonts w:hint="default"/>
          <w:b/>
          <w:bCs/>
          <w:color w:val="auto"/>
          <w:sz w:val="28"/>
          <w:szCs w:val="22"/>
          <w:highlight w:val="none"/>
          <w:lang w:val="en-US" w:eastAsia="zh-CN"/>
        </w:rPr>
        <w:t>）验收方法和标准</w:t>
      </w:r>
      <w:r>
        <w:rPr>
          <w:rFonts w:hint="eastAsia"/>
          <w:b/>
          <w:bCs/>
          <w:color w:val="000000" w:themeColor="text1"/>
          <w:sz w:val="28"/>
          <w:szCs w:val="22"/>
          <w:highlight w:val="none"/>
          <w:lang w:val="en-US" w:eastAsia="zh-CN"/>
          <w14:textFill>
            <w14:solidFill>
              <w14:schemeClr w14:val="tx1"/>
            </w14:solidFill>
          </w14:textFill>
        </w:rPr>
        <w:t>（与采购文件3.3及2.6.5规定不一致的以本处要求为准进行响应。）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b w:val="0"/>
          <w:bCs w:val="0"/>
          <w:color w:val="auto"/>
          <w:sz w:val="28"/>
          <w:szCs w:val="22"/>
          <w:highlight w:val="none"/>
          <w:lang w:val="en-US" w:eastAsia="zh-CN"/>
        </w:rPr>
      </w:pPr>
      <w:bookmarkStart w:id="4" w:name="_Toc5634"/>
      <w:bookmarkStart w:id="5" w:name="_Toc17882"/>
      <w:r>
        <w:rPr>
          <w:rFonts w:hint="eastAsia"/>
          <w:b w:val="0"/>
          <w:bCs w:val="0"/>
          <w:color w:val="auto"/>
          <w:sz w:val="28"/>
          <w:szCs w:val="22"/>
          <w:highlight w:val="none"/>
          <w:lang w:val="en-US" w:eastAsia="zh-CN"/>
        </w:rPr>
        <w:t>1.考核按照《成都市双流区城市园林绿化管理考核办法》（附件3）要求执行。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2.养护管理具体操作按照《成都市城市绿化养护技术规程》DB510100/T 238-2017标准执行</w:t>
      </w:r>
      <w:r>
        <w:rPr>
          <w:rFonts w:hint="default"/>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3.</w:t>
      </w:r>
      <w:r>
        <w:rPr>
          <w:rFonts w:hint="default"/>
          <w:b w:val="0"/>
          <w:bCs w:val="0"/>
          <w:color w:val="auto"/>
          <w:sz w:val="28"/>
          <w:szCs w:val="22"/>
          <w:highlight w:val="none"/>
          <w:lang w:val="en-US" w:eastAsia="zh-CN"/>
        </w:rPr>
        <w:t>供应商进场开展管护工作后，采购人将按照《成都市双流区城市园林绿化管理考核办法》（附件3）的要求对供应商进行定期和不定期的检查考核，考核作为每季度评分依据（每季度考核评分=本季度月考核得分相加/4），每季度评分将作为支付管护费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4.按照《财政部关于进一步加强政府采购需求和履约验收管理的指导意见》（财库〔2016〕205号）和根据国家相关规定、招标文件的质量要求和服务指标、供应商的响应文件及承诺以及合同约定标准进行验收。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eastAsia"/>
          <w:b w:val="0"/>
          <w:bCs w:val="0"/>
          <w:color w:val="auto"/>
          <w:sz w:val="28"/>
          <w:szCs w:val="22"/>
          <w:highlight w:val="none"/>
          <w:lang w:val="en-US" w:eastAsia="zh-CN"/>
        </w:rPr>
      </w:pPr>
      <w:r>
        <w:rPr>
          <w:rFonts w:hint="eastAsia"/>
          <w:b w:val="0"/>
          <w:bCs w:val="0"/>
          <w:color w:val="auto"/>
          <w:sz w:val="28"/>
          <w:szCs w:val="22"/>
          <w:highlight w:val="none"/>
          <w:lang w:val="en-US" w:eastAsia="zh-CN"/>
        </w:rPr>
        <w:t>5.</w:t>
      </w:r>
      <w:r>
        <w:rPr>
          <w:rFonts w:hint="default"/>
          <w:b w:val="0"/>
          <w:bCs w:val="0"/>
          <w:color w:val="auto"/>
          <w:sz w:val="28"/>
          <w:szCs w:val="22"/>
          <w:highlight w:val="none"/>
          <w:lang w:val="en-US" w:eastAsia="zh-CN"/>
        </w:rPr>
        <w:t>考核标准：考核总分值为100分</w:t>
      </w:r>
      <w:r>
        <w:rPr>
          <w:rFonts w:hint="eastAsia"/>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（1）</w:t>
      </w:r>
      <w:r>
        <w:rPr>
          <w:rFonts w:hint="default"/>
          <w:b w:val="0"/>
          <w:bCs w:val="0"/>
          <w:color w:val="auto"/>
          <w:sz w:val="28"/>
          <w:szCs w:val="22"/>
          <w:highlight w:val="none"/>
          <w:lang w:val="en-US" w:eastAsia="zh-CN"/>
        </w:rPr>
        <w:t>严格按照成都市双流区城市管理局关于印发《成都市双流区城市园林绿化管理考核办法》（附件3）执行；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（2）</w:t>
      </w:r>
      <w:r>
        <w:rPr>
          <w:rFonts w:hint="default"/>
          <w:b w:val="0"/>
          <w:bCs w:val="0"/>
          <w:color w:val="auto"/>
          <w:sz w:val="28"/>
          <w:szCs w:val="22"/>
          <w:highlight w:val="none"/>
          <w:lang w:val="en-US" w:eastAsia="zh-CN"/>
        </w:rPr>
        <w:t>考核得分80分以上为合格，若连续两个月考核得分低于80分以下（含80分），采购人有权解除合同，由此造成的损失由成交供应商承担</w:t>
      </w:r>
      <w:r>
        <w:rPr>
          <w:rFonts w:hint="eastAsia"/>
          <w:b w:val="0"/>
          <w:bCs w:val="0"/>
          <w:color w:val="auto"/>
          <w:sz w:val="28"/>
          <w:szCs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3"/>
        <w:rPr>
          <w:rFonts w:hint="default"/>
          <w:b/>
          <w:bCs/>
          <w:color w:val="auto"/>
          <w:sz w:val="28"/>
          <w:szCs w:val="22"/>
          <w:highlight w:val="none"/>
          <w:lang w:val="en-US" w:eastAsia="zh-CN"/>
        </w:rPr>
      </w:pPr>
      <w:r>
        <w:rPr>
          <w:rFonts w:hint="default"/>
          <w:b/>
          <w:bCs/>
          <w:color w:val="auto"/>
          <w:sz w:val="28"/>
          <w:szCs w:val="22"/>
          <w:highlight w:val="none"/>
          <w:lang w:val="en-US" w:eastAsia="zh-CN"/>
        </w:rPr>
        <w:t>（</w:t>
      </w:r>
      <w:r>
        <w:rPr>
          <w:rFonts w:hint="eastAsia"/>
          <w:b/>
          <w:bCs/>
          <w:color w:val="auto"/>
          <w:sz w:val="28"/>
          <w:szCs w:val="22"/>
          <w:highlight w:val="none"/>
          <w:lang w:val="en-US" w:eastAsia="zh-CN"/>
        </w:rPr>
        <w:t>四</w:t>
      </w:r>
      <w:r>
        <w:rPr>
          <w:rFonts w:hint="default"/>
          <w:b/>
          <w:bCs/>
          <w:color w:val="auto"/>
          <w:sz w:val="28"/>
          <w:szCs w:val="22"/>
          <w:highlight w:val="none"/>
          <w:lang w:val="en-US" w:eastAsia="zh-CN"/>
        </w:rPr>
        <w:t>）</w:t>
      </w:r>
      <w:r>
        <w:rPr>
          <w:rFonts w:hint="eastAsia"/>
          <w:b/>
          <w:bCs/>
          <w:color w:val="auto"/>
          <w:sz w:val="28"/>
          <w:szCs w:val="22"/>
          <w:highlight w:val="none"/>
          <w:lang w:val="en-US" w:eastAsia="zh-CN"/>
        </w:rPr>
        <w:t>权利与义务</w:t>
      </w:r>
    </w:p>
    <w:bookmarkEnd w:id="4"/>
    <w:bookmarkEnd w:id="5"/>
    <w:p>
      <w:pPr>
        <w:pStyle w:val="29"/>
        <w:keepNext w:val="0"/>
        <w:keepLines w:val="0"/>
        <w:pageBreakBefore w:val="0"/>
        <w:numPr>
          <w:ilvl w:val="0"/>
          <w:numId w:val="0"/>
        </w:numPr>
        <w:kinsoku/>
        <w:overflowPunct/>
        <w:autoSpaceDE/>
        <w:autoSpaceDN/>
        <w:bidi w:val="0"/>
        <w:adjustRightInd/>
        <w:snapToGrid/>
        <w:spacing w:line="360" w:lineRule="auto"/>
        <w:ind w:left="0" w:leftChars="0" w:firstLine="562" w:firstLineChars="200"/>
        <w:outlineLvl w:val="4"/>
        <w:rPr>
          <w:rFonts w:hint="eastAsia" w:ascii="Times New Roman" w:hAnsi="Times New Roman" w:eastAsia="方正仿宋" w:cs="Times New Roman"/>
          <w:b/>
          <w:bCs/>
          <w:color w:val="auto"/>
          <w:kern w:val="2"/>
          <w:sz w:val="28"/>
          <w:szCs w:val="22"/>
          <w:highlight w:val="none"/>
          <w:lang w:val="en-US" w:eastAsia="zh-CN" w:bidi="ar-SA"/>
        </w:rPr>
      </w:pPr>
      <w:r>
        <w:rPr>
          <w:rFonts w:hint="eastAsia" w:ascii="Times New Roman" w:hAnsi="Times New Roman" w:eastAsia="方正仿宋" w:cs="Times New Roman"/>
          <w:b/>
          <w:bCs/>
          <w:color w:val="auto"/>
          <w:kern w:val="2"/>
          <w:sz w:val="28"/>
          <w:szCs w:val="22"/>
          <w:highlight w:val="none"/>
          <w:lang w:val="en-US" w:eastAsia="zh-CN" w:bidi="ar-SA"/>
        </w:rPr>
        <w:t>1.采购人的权利与义务</w:t>
      </w:r>
    </w:p>
    <w:p>
      <w:pPr>
        <w:pStyle w:val="29"/>
        <w:keepNext w:val="0"/>
        <w:keepLines w:val="0"/>
        <w:pageBreakBefore w:val="0"/>
        <w:numPr>
          <w:ilvl w:val="0"/>
          <w:numId w:val="0"/>
        </w:numPr>
        <w:kinsoku/>
        <w:overflowPunct/>
        <w:autoSpaceDE/>
        <w:autoSpaceDN/>
        <w:bidi w:val="0"/>
        <w:adjustRightInd/>
        <w:snapToGrid/>
        <w:spacing w:line="360" w:lineRule="auto"/>
        <w:ind w:left="0" w:leftChars="0" w:firstLine="560" w:firstLineChars="200"/>
        <w:outlineLvl w:val="4"/>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（1）采购人有权对合同规定范围内供应商的服务行为进行监督和检查，拥有监管权。有权定期核对供应商提供服务所配备的人员数量。对采购人认为不合理的部分有权下达整改通知书，并要求供应商限期整改。</w:t>
      </w:r>
    </w:p>
    <w:p>
      <w:pPr>
        <w:pStyle w:val="29"/>
        <w:keepNext w:val="0"/>
        <w:keepLines w:val="0"/>
        <w:pageBreakBefore w:val="0"/>
        <w:numPr>
          <w:ilvl w:val="0"/>
          <w:numId w:val="0"/>
        </w:numPr>
        <w:kinsoku/>
        <w:overflowPunct/>
        <w:autoSpaceDE/>
        <w:autoSpaceDN/>
        <w:bidi w:val="0"/>
        <w:adjustRightInd/>
        <w:snapToGrid/>
        <w:spacing w:line="360" w:lineRule="auto"/>
        <w:ind w:left="0" w:leftChars="0" w:firstLine="560" w:firstLineChars="200"/>
        <w:outlineLvl w:val="4"/>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（2）采购人有权依据双方签订的考核办法对供应商提供的服务进行定期考核。</w:t>
      </w:r>
    </w:p>
    <w:p>
      <w:pPr>
        <w:pStyle w:val="29"/>
        <w:keepNext w:val="0"/>
        <w:keepLines w:val="0"/>
        <w:pageBreakBefore w:val="0"/>
        <w:numPr>
          <w:ilvl w:val="0"/>
          <w:numId w:val="0"/>
        </w:numPr>
        <w:kinsoku/>
        <w:overflowPunct/>
        <w:autoSpaceDE/>
        <w:autoSpaceDN/>
        <w:bidi w:val="0"/>
        <w:adjustRightInd/>
        <w:snapToGrid/>
        <w:spacing w:line="360" w:lineRule="auto"/>
        <w:ind w:left="0" w:leftChars="0" w:firstLine="560" w:firstLineChars="200"/>
        <w:outlineLvl w:val="4"/>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（3）负责检查监督供应商管理工作的实施及制度的执行情况。</w:t>
      </w:r>
    </w:p>
    <w:p>
      <w:pPr>
        <w:pStyle w:val="29"/>
        <w:keepNext w:val="0"/>
        <w:keepLines w:val="0"/>
        <w:pageBreakBefore w:val="0"/>
        <w:numPr>
          <w:ilvl w:val="0"/>
          <w:numId w:val="0"/>
        </w:numPr>
        <w:kinsoku/>
        <w:overflowPunct/>
        <w:autoSpaceDE/>
        <w:autoSpaceDN/>
        <w:bidi w:val="0"/>
        <w:adjustRightInd/>
        <w:snapToGrid/>
        <w:spacing w:line="360" w:lineRule="auto"/>
        <w:ind w:left="0" w:leftChars="0" w:firstLine="560" w:firstLineChars="200"/>
        <w:outlineLvl w:val="4"/>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（4）根据合同约定，按时向供应商支付应付服务费用。</w:t>
      </w:r>
    </w:p>
    <w:p>
      <w:pPr>
        <w:pStyle w:val="29"/>
        <w:keepNext w:val="0"/>
        <w:keepLines w:val="0"/>
        <w:pageBreakBefore w:val="0"/>
        <w:numPr>
          <w:ilvl w:val="0"/>
          <w:numId w:val="0"/>
        </w:numPr>
        <w:kinsoku/>
        <w:overflowPunct/>
        <w:autoSpaceDE/>
        <w:autoSpaceDN/>
        <w:bidi w:val="0"/>
        <w:adjustRightInd/>
        <w:snapToGrid/>
        <w:spacing w:line="360" w:lineRule="auto"/>
        <w:ind w:left="0" w:leftChars="0" w:firstLine="560" w:firstLineChars="200"/>
        <w:outlineLvl w:val="4"/>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（5）国家法律法规所规定由采购人承担的其它责任。</w:t>
      </w:r>
    </w:p>
    <w:p>
      <w:pPr>
        <w:pStyle w:val="27"/>
        <w:keepNext w:val="0"/>
        <w:keepLines w:val="0"/>
        <w:pageBreakBefore w:val="0"/>
        <w:numPr>
          <w:ilvl w:val="0"/>
          <w:numId w:val="0"/>
        </w:numPr>
        <w:kinsoku/>
        <w:overflowPunct/>
        <w:autoSpaceDE/>
        <w:autoSpaceDN/>
        <w:bidi w:val="0"/>
        <w:adjustRightInd/>
        <w:snapToGrid/>
        <w:spacing w:line="360" w:lineRule="auto"/>
        <w:ind w:leftChars="200"/>
        <w:outlineLvl w:val="3"/>
        <w:rPr>
          <w:rFonts w:hint="eastAsia" w:ascii="Times New Roman" w:hAnsi="Times New Roman" w:eastAsia="方正仿宋" w:cs="Times New Roman"/>
          <w:b/>
          <w:bCs/>
          <w:color w:val="auto"/>
          <w:kern w:val="2"/>
          <w:sz w:val="28"/>
          <w:szCs w:val="22"/>
          <w:highlight w:val="none"/>
          <w:lang w:val="en-US" w:eastAsia="zh-CN" w:bidi="ar-SA"/>
        </w:rPr>
      </w:pPr>
      <w:bookmarkStart w:id="6" w:name="_Toc17404"/>
      <w:bookmarkStart w:id="7" w:name="_Toc25344"/>
      <w:r>
        <w:rPr>
          <w:rFonts w:hint="eastAsia" w:ascii="Times New Roman" w:hAnsi="Times New Roman" w:eastAsia="方正仿宋" w:cs="Times New Roman"/>
          <w:b/>
          <w:bCs/>
          <w:color w:val="auto"/>
          <w:kern w:val="2"/>
          <w:sz w:val="28"/>
          <w:szCs w:val="22"/>
          <w:highlight w:val="none"/>
          <w:lang w:val="en-US" w:eastAsia="zh-CN" w:bidi="ar-SA"/>
        </w:rPr>
        <w:t>2.供应商的权利和义务</w:t>
      </w:r>
      <w:bookmarkEnd w:id="6"/>
      <w:bookmarkEnd w:id="7"/>
    </w:p>
    <w:p>
      <w:pPr>
        <w:pStyle w:val="29"/>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firstLine="560" w:firstLineChars="200"/>
        <w:textAlignment w:val="auto"/>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（1）对合同约定的委托服务范围内的项目享有管理权及服务义务。</w:t>
      </w:r>
    </w:p>
    <w:p>
      <w:pPr>
        <w:pStyle w:val="29"/>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firstLine="560" w:firstLineChars="200"/>
        <w:textAlignment w:val="auto"/>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（2）根据合同约定向采购人收取相关服务费用，并有权在本项目管理范围内管理及合理使用。</w:t>
      </w:r>
    </w:p>
    <w:p>
      <w:pPr>
        <w:pStyle w:val="29"/>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firstLine="560" w:firstLineChars="200"/>
        <w:textAlignment w:val="auto"/>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（3）及时向采购人通告本项目服务范围内有关服务的重大事项，及时配合处理投诉。</w:t>
      </w:r>
    </w:p>
    <w:p>
      <w:pPr>
        <w:pStyle w:val="29"/>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firstLine="560" w:firstLineChars="200"/>
        <w:textAlignment w:val="auto"/>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（4）接受项目行业管理部门及政府有关部门的指导，接受采购人的监督。</w:t>
      </w:r>
    </w:p>
    <w:p>
      <w:pPr>
        <w:pStyle w:val="29"/>
        <w:keepNext w:val="0"/>
        <w:keepLines w:val="0"/>
        <w:pageBreakBefore w:val="0"/>
        <w:widowControl w:val="0"/>
        <w:numPr>
          <w:ilvl w:val="0"/>
          <w:numId w:val="0"/>
        </w:numPr>
        <w:kinsoku/>
        <w:wordWrap w:val="0"/>
        <w:overflowPunct/>
        <w:topLinePunct/>
        <w:autoSpaceDE/>
        <w:autoSpaceDN/>
        <w:bidi w:val="0"/>
        <w:adjustRightInd/>
        <w:snapToGrid/>
        <w:spacing w:line="360" w:lineRule="auto"/>
        <w:ind w:left="0" w:leftChars="0" w:firstLine="560" w:firstLineChars="200"/>
        <w:textAlignment w:val="auto"/>
        <w:rPr>
          <w:rFonts w:hint="eastAsia"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（5）国家法律法规所规定由供应商承担的其他责任。</w:t>
      </w:r>
    </w:p>
    <w:p>
      <w:pPr>
        <w:pStyle w:val="27"/>
        <w:keepNext w:val="0"/>
        <w:keepLines w:val="0"/>
        <w:pageBreakBefore w:val="0"/>
        <w:numPr>
          <w:ilvl w:val="0"/>
          <w:numId w:val="0"/>
        </w:numPr>
        <w:kinsoku/>
        <w:overflowPunct/>
        <w:autoSpaceDE/>
        <w:autoSpaceDN/>
        <w:bidi w:val="0"/>
        <w:adjustRightInd/>
        <w:snapToGrid/>
        <w:spacing w:line="360" w:lineRule="auto"/>
        <w:ind w:leftChars="200"/>
        <w:outlineLvl w:val="3"/>
        <w:rPr>
          <w:rFonts w:hint="default" w:ascii="Times New Roman" w:hAnsi="Times New Roman" w:eastAsia="方正仿宋" w:cs="Times New Roman"/>
          <w:b/>
          <w:bCs/>
          <w:color w:val="auto"/>
          <w:kern w:val="2"/>
          <w:sz w:val="28"/>
          <w:szCs w:val="22"/>
          <w:highlight w:val="none"/>
          <w:lang w:val="en-US" w:eastAsia="zh-CN" w:bidi="ar-SA"/>
        </w:rPr>
      </w:pPr>
      <w:bookmarkStart w:id="8" w:name="_Toc12769"/>
      <w:bookmarkStart w:id="9" w:name="_Toc15946"/>
      <w:r>
        <w:rPr>
          <w:rFonts w:hint="eastAsia" w:ascii="Times New Roman" w:hAnsi="Times New Roman" w:eastAsia="方正仿宋" w:cs="Times New Roman"/>
          <w:b/>
          <w:bCs/>
          <w:color w:val="auto"/>
          <w:kern w:val="2"/>
          <w:sz w:val="28"/>
          <w:szCs w:val="22"/>
          <w:highlight w:val="none"/>
          <w:lang w:val="en-US" w:eastAsia="zh-CN" w:bidi="ar-SA"/>
        </w:rPr>
        <w:t>（五）</w:t>
      </w:r>
      <w:bookmarkEnd w:id="8"/>
      <w:bookmarkEnd w:id="9"/>
      <w:r>
        <w:rPr>
          <w:rFonts w:hint="eastAsia" w:ascii="Times New Roman" w:hAnsi="Times New Roman" w:eastAsia="方正仿宋" w:cs="Times New Roman"/>
          <w:b/>
          <w:bCs/>
          <w:color w:val="auto"/>
          <w:kern w:val="2"/>
          <w:sz w:val="28"/>
          <w:szCs w:val="22"/>
          <w:highlight w:val="none"/>
          <w:lang w:val="en-US" w:eastAsia="zh-CN" w:bidi="ar-SA"/>
        </w:rPr>
        <w:t>违约责任</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cs="Times New Roman"/>
          <w:b w:val="0"/>
          <w:bCs w:val="0"/>
          <w:color w:val="auto"/>
          <w:kern w:val="2"/>
          <w:sz w:val="28"/>
          <w:szCs w:val="22"/>
          <w:highlight w:val="none"/>
          <w:lang w:val="en-US" w:eastAsia="zh-CN" w:bidi="ar-SA"/>
        </w:rPr>
        <w:t>1.</w:t>
      </w:r>
      <w:r>
        <w:rPr>
          <w:rFonts w:hint="default" w:ascii="Times New Roman" w:hAnsi="Times New Roman" w:eastAsia="方正仿宋" w:cs="Times New Roman"/>
          <w:b w:val="0"/>
          <w:bCs w:val="0"/>
          <w:color w:val="auto"/>
          <w:kern w:val="2"/>
          <w:sz w:val="28"/>
          <w:szCs w:val="22"/>
          <w:highlight w:val="none"/>
          <w:lang w:val="en-US" w:eastAsia="zh-CN" w:bidi="ar-SA"/>
        </w:rPr>
        <w:t>采购人违约责任</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w:t>
      </w:r>
      <w:r>
        <w:rPr>
          <w:rFonts w:hint="default" w:ascii="Times New Roman" w:hAnsi="Times New Roman" w:eastAsia="方正仿宋" w:cs="Times New Roman"/>
          <w:b w:val="0"/>
          <w:bCs w:val="0"/>
          <w:color w:val="auto"/>
          <w:kern w:val="2"/>
          <w:sz w:val="28"/>
          <w:szCs w:val="22"/>
          <w:highlight w:val="none"/>
          <w:lang w:val="en-US" w:eastAsia="zh-CN" w:bidi="ar-SA"/>
        </w:rPr>
        <w:t>1）采购人逾期支付采购资金的，除应及时付足采购资金外，应向供应商偿付欠款总额万分之一/日的违约金；逾期付款超过60日的，供应商有权终止合同。</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cs="Times New Roman"/>
          <w:b w:val="0"/>
          <w:bCs w:val="0"/>
          <w:color w:val="auto"/>
          <w:kern w:val="2"/>
          <w:sz w:val="28"/>
          <w:szCs w:val="22"/>
          <w:highlight w:val="none"/>
          <w:lang w:val="en-US" w:eastAsia="zh-CN" w:bidi="ar-SA"/>
        </w:rPr>
        <w:t>2.</w:t>
      </w:r>
      <w:r>
        <w:rPr>
          <w:rFonts w:hint="default" w:ascii="Times New Roman" w:hAnsi="Times New Roman" w:eastAsia="方正仿宋" w:cs="Times New Roman"/>
          <w:b w:val="0"/>
          <w:bCs w:val="0"/>
          <w:color w:val="auto"/>
          <w:kern w:val="2"/>
          <w:sz w:val="28"/>
          <w:szCs w:val="22"/>
          <w:highlight w:val="none"/>
          <w:lang w:val="en-US" w:eastAsia="zh-CN" w:bidi="ar-SA"/>
        </w:rPr>
        <w:t>供应商违约责任</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w:t>
      </w:r>
      <w:r>
        <w:rPr>
          <w:rFonts w:hint="default" w:ascii="Times New Roman" w:hAnsi="Times New Roman" w:eastAsia="方正仿宋" w:cs="Times New Roman"/>
          <w:b w:val="0"/>
          <w:bCs w:val="0"/>
          <w:color w:val="auto"/>
          <w:kern w:val="2"/>
          <w:sz w:val="28"/>
          <w:szCs w:val="22"/>
          <w:highlight w:val="none"/>
          <w:lang w:val="en-US" w:eastAsia="zh-CN" w:bidi="ar-SA"/>
        </w:rPr>
        <w:t>1）供应商必须遵守采购合同并执行合同中的各项规定，保证采购合同的正常履行</w:t>
      </w:r>
      <w:r>
        <w:rPr>
          <w:rFonts w:hint="eastAsia" w:cs="Times New Roman"/>
          <w:b w:val="0"/>
          <w:bCs w:val="0"/>
          <w:color w:val="auto"/>
          <w:kern w:val="2"/>
          <w:sz w:val="28"/>
          <w:szCs w:val="22"/>
          <w:highlight w:val="none"/>
          <w:lang w:val="en-US" w:eastAsia="zh-CN" w:bidi="ar-SA"/>
        </w:rPr>
        <w:t>：</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cs="Times New Roman"/>
          <w:b w:val="0"/>
          <w:bCs w:val="0"/>
          <w:color w:val="auto"/>
          <w:kern w:val="2"/>
          <w:sz w:val="28"/>
          <w:szCs w:val="22"/>
          <w:highlight w:val="none"/>
          <w:lang w:val="en-US" w:eastAsia="zh-CN" w:bidi="ar-SA"/>
        </w:rPr>
        <w:t>（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r>
        <w:rPr>
          <w:rFonts w:hint="default" w:ascii="Times New Roman" w:hAnsi="Times New Roman" w:eastAsia="方正仿宋" w:cs="Times New Roman"/>
          <w:b w:val="0"/>
          <w:bCs w:val="0"/>
          <w:color w:val="auto"/>
          <w:kern w:val="2"/>
          <w:sz w:val="28"/>
          <w:szCs w:val="22"/>
          <w:highlight w:val="none"/>
          <w:lang w:val="en-US" w:eastAsia="zh-CN" w:bidi="ar-SA"/>
        </w:rPr>
        <w:t>；</w:t>
      </w:r>
    </w:p>
    <w:p>
      <w:pPr>
        <w:pStyle w:val="8"/>
        <w:ind w:left="0" w:leftChars="0" w:firstLine="638" w:firstLineChars="228"/>
        <w:rPr>
          <w:rFonts w:hint="default" w:ascii="Times New Roman" w:hAnsi="Times New Roman" w:eastAsia="方正仿宋" w:cs="Times New Roman"/>
          <w:b w:val="0"/>
          <w:bCs w:val="0"/>
          <w:color w:val="auto"/>
          <w:kern w:val="2"/>
          <w:sz w:val="28"/>
          <w:szCs w:val="22"/>
          <w:highlight w:val="none"/>
          <w:lang w:val="en-US" w:eastAsia="zh-CN" w:bidi="ar-SA"/>
        </w:rPr>
      </w:pPr>
      <w:r>
        <w:rPr>
          <w:rFonts w:hint="eastAsia" w:ascii="Times New Roman" w:hAnsi="Times New Roman" w:eastAsia="方正仿宋" w:cs="Times New Roman"/>
          <w:b w:val="0"/>
          <w:bCs w:val="0"/>
          <w:color w:val="auto"/>
          <w:kern w:val="2"/>
          <w:sz w:val="28"/>
          <w:szCs w:val="22"/>
          <w:highlight w:val="none"/>
          <w:lang w:val="en-US" w:eastAsia="zh-CN" w:bidi="ar-SA"/>
        </w:rPr>
        <w:t>（</w:t>
      </w:r>
      <w:r>
        <w:rPr>
          <w:rFonts w:hint="eastAsia" w:cs="Times New Roman"/>
          <w:b w:val="0"/>
          <w:bCs w:val="0"/>
          <w:color w:val="auto"/>
          <w:kern w:val="2"/>
          <w:sz w:val="28"/>
          <w:szCs w:val="22"/>
          <w:highlight w:val="none"/>
          <w:lang w:val="en-US" w:eastAsia="zh-CN" w:bidi="ar-SA"/>
        </w:rPr>
        <w:t>3</w:t>
      </w:r>
      <w:r>
        <w:rPr>
          <w:rFonts w:hint="default" w:ascii="Times New Roman" w:hAnsi="Times New Roman" w:eastAsia="方正仿宋" w:cs="Times New Roman"/>
          <w:b w:val="0"/>
          <w:bCs w:val="0"/>
          <w:color w:val="auto"/>
          <w:kern w:val="2"/>
          <w:sz w:val="28"/>
          <w:szCs w:val="22"/>
          <w:highlight w:val="none"/>
          <w:lang w:val="en-US" w:eastAsia="zh-CN" w:bidi="ar-SA"/>
        </w:rPr>
        <w:t>）供应商应当遵守招标文件的相关要求，实施完成采购合同应当完全满足招标文件的要求，若供应商未按照采购合同履行义务，采购人有权向供应商要求合同总价款5%的违约金，若造成相关损失的，采购人有权要求供应商承担所有赔偿责任。</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b/>
          <w:bCs/>
          <w:color w:val="auto"/>
          <w:sz w:val="28"/>
          <w:szCs w:val="22"/>
          <w:highlight w:val="none"/>
          <w:lang w:val="en-US" w:eastAsia="zh-CN"/>
        </w:rPr>
      </w:pPr>
      <w:r>
        <w:rPr>
          <w:rFonts w:hint="eastAsia"/>
          <w:b/>
          <w:bCs/>
          <w:color w:val="auto"/>
          <w:sz w:val="28"/>
          <w:szCs w:val="22"/>
          <w:highlight w:val="none"/>
          <w:lang w:val="en-US" w:eastAsia="zh-CN"/>
        </w:rPr>
        <w:t>（六）解除合同的情形</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有下列情形之一的，当事人可以解除合同：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（1）</w:t>
      </w:r>
      <w:r>
        <w:rPr>
          <w:rFonts w:hint="default"/>
          <w:b w:val="0"/>
          <w:bCs w:val="0"/>
          <w:color w:val="auto"/>
          <w:sz w:val="28"/>
          <w:szCs w:val="22"/>
          <w:highlight w:val="none"/>
          <w:lang w:val="en-US" w:eastAsia="zh-CN"/>
        </w:rPr>
        <w:t>因不可抗力致使不能实现合同目的（由于非供应商或采购人原因，致使合同实质性条款无法实现的）；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（2）</w:t>
      </w:r>
      <w:r>
        <w:rPr>
          <w:rFonts w:hint="default"/>
          <w:b w:val="0"/>
          <w:bCs w:val="0"/>
          <w:color w:val="auto"/>
          <w:sz w:val="28"/>
          <w:szCs w:val="22"/>
          <w:highlight w:val="none"/>
          <w:lang w:val="en-US" w:eastAsia="zh-CN"/>
        </w:rPr>
        <w:t>在履行期限届满之前，当事人一方明确表示或者以自己的行为表明不履行主要债务；</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（3）</w:t>
      </w:r>
      <w:r>
        <w:rPr>
          <w:rFonts w:hint="default"/>
          <w:b w:val="0"/>
          <w:bCs w:val="0"/>
          <w:color w:val="auto"/>
          <w:sz w:val="28"/>
          <w:szCs w:val="22"/>
          <w:highlight w:val="none"/>
          <w:lang w:val="en-US" w:eastAsia="zh-CN"/>
        </w:rPr>
        <w:t>当事人一方迟延履行主要债务，经催告后在合理期限内仍未履行；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（4）</w:t>
      </w:r>
      <w:r>
        <w:rPr>
          <w:rFonts w:hint="default"/>
          <w:b w:val="0"/>
          <w:bCs w:val="0"/>
          <w:color w:val="auto"/>
          <w:sz w:val="28"/>
          <w:szCs w:val="22"/>
          <w:highlight w:val="none"/>
          <w:lang w:val="en-US" w:eastAsia="zh-CN"/>
        </w:rPr>
        <w:t>当事人一方迟延履行债务或者有其他违约行为致使不能实现合同目的；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3"/>
        <w:rPr>
          <w:rFonts w:hint="default"/>
          <w:b w:val="0"/>
          <w:bCs w:val="0"/>
          <w:color w:val="auto"/>
          <w:sz w:val="28"/>
          <w:szCs w:val="22"/>
          <w:highlight w:val="none"/>
          <w:lang w:val="en-US" w:eastAsia="zh-CN"/>
        </w:rPr>
      </w:pPr>
      <w:r>
        <w:rPr>
          <w:rFonts w:hint="eastAsia"/>
          <w:b w:val="0"/>
          <w:bCs w:val="0"/>
          <w:color w:val="auto"/>
          <w:sz w:val="28"/>
          <w:szCs w:val="22"/>
          <w:highlight w:val="none"/>
          <w:lang w:val="en-US" w:eastAsia="zh-CN"/>
        </w:rPr>
        <w:t>（5）</w:t>
      </w:r>
      <w:r>
        <w:rPr>
          <w:rFonts w:hint="default"/>
          <w:b w:val="0"/>
          <w:bCs w:val="0"/>
          <w:color w:val="auto"/>
          <w:sz w:val="28"/>
          <w:szCs w:val="22"/>
          <w:highlight w:val="none"/>
          <w:lang w:val="en-US" w:eastAsia="zh-CN"/>
        </w:rPr>
        <w:t>法律规定的其他情形。</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b/>
          <w:bCs/>
          <w:color w:val="auto"/>
          <w:sz w:val="28"/>
          <w:szCs w:val="22"/>
          <w:highlight w:val="none"/>
          <w:lang w:val="en-US" w:eastAsia="zh-CN"/>
        </w:rPr>
      </w:pPr>
      <w:r>
        <w:rPr>
          <w:rFonts w:hint="default"/>
          <w:b/>
          <w:bCs/>
          <w:color w:val="auto"/>
          <w:sz w:val="28"/>
          <w:szCs w:val="22"/>
          <w:highlight w:val="none"/>
          <w:lang w:val="en-US" w:eastAsia="zh-CN"/>
        </w:rPr>
        <w:t>（</w:t>
      </w:r>
      <w:r>
        <w:rPr>
          <w:rFonts w:hint="eastAsia"/>
          <w:b/>
          <w:bCs/>
          <w:color w:val="auto"/>
          <w:sz w:val="28"/>
          <w:szCs w:val="22"/>
          <w:highlight w:val="none"/>
          <w:lang w:val="en-US" w:eastAsia="zh-CN"/>
        </w:rPr>
        <w:t>七</w:t>
      </w:r>
      <w:r>
        <w:rPr>
          <w:rFonts w:hint="default"/>
          <w:b/>
          <w:bCs/>
          <w:color w:val="auto"/>
          <w:sz w:val="28"/>
          <w:szCs w:val="22"/>
          <w:highlight w:val="none"/>
          <w:lang w:val="en-US" w:eastAsia="zh-CN"/>
        </w:rPr>
        <w:t>）解决争议的方法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val="0"/>
          <w:bCs w:val="0"/>
          <w:color w:val="auto"/>
          <w:sz w:val="28"/>
          <w:szCs w:val="22"/>
          <w:highlight w:val="none"/>
          <w:lang w:val="en-US" w:eastAsia="zh-CN"/>
        </w:rPr>
      </w:pPr>
      <w:r>
        <w:rPr>
          <w:rFonts w:hint="default"/>
          <w:b w:val="0"/>
          <w:bCs w:val="0"/>
          <w:color w:val="auto"/>
          <w:sz w:val="28"/>
          <w:szCs w:val="22"/>
          <w:highlight w:val="none"/>
          <w:lang w:val="en-US" w:eastAsia="zh-CN"/>
        </w:rPr>
        <w:t>在执行合同中发生的或与合同有关的争端，双方应通过友好协商解决，经协商在60天内不能达成协议时，应提交采购人所在地人民法院起诉。</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b/>
          <w:bCs/>
          <w:color w:val="auto"/>
          <w:sz w:val="28"/>
          <w:szCs w:val="22"/>
          <w:highlight w:val="none"/>
          <w:lang w:val="en-US" w:eastAsia="zh-CN"/>
        </w:rPr>
      </w:pPr>
      <w:r>
        <w:rPr>
          <w:rFonts w:hint="default"/>
          <w:b/>
          <w:bCs/>
          <w:color w:val="auto"/>
          <w:sz w:val="28"/>
          <w:szCs w:val="22"/>
          <w:highlight w:val="none"/>
          <w:lang w:val="en-US" w:eastAsia="zh-CN"/>
        </w:rPr>
        <w:t>（</w:t>
      </w:r>
      <w:r>
        <w:rPr>
          <w:rFonts w:hint="eastAsia"/>
          <w:b/>
          <w:bCs/>
          <w:color w:val="auto"/>
          <w:sz w:val="28"/>
          <w:szCs w:val="22"/>
          <w:highlight w:val="none"/>
          <w:lang w:val="en-US" w:eastAsia="zh-CN"/>
        </w:rPr>
        <w:t>八</w:t>
      </w:r>
      <w:r>
        <w:rPr>
          <w:rFonts w:hint="default"/>
          <w:b/>
          <w:bCs/>
          <w:color w:val="auto"/>
          <w:sz w:val="28"/>
          <w:szCs w:val="22"/>
          <w:highlight w:val="none"/>
          <w:lang w:val="en-US" w:eastAsia="zh-CN"/>
        </w:rPr>
        <w:t>）最高限价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color w:val="auto"/>
          <w:sz w:val="28"/>
          <w:szCs w:val="22"/>
          <w:highlight w:val="none"/>
          <w:lang w:val="en-US" w:eastAsia="zh-CN"/>
        </w:rPr>
      </w:pPr>
      <w:r>
        <w:rPr>
          <w:rFonts w:hint="default"/>
          <w:color w:val="auto"/>
          <w:sz w:val="28"/>
          <w:szCs w:val="22"/>
          <w:highlight w:val="none"/>
          <w:lang w:val="en-US" w:eastAsia="zh-CN"/>
        </w:rPr>
        <w:t>本</w:t>
      </w:r>
      <w:r>
        <w:rPr>
          <w:rFonts w:hint="eastAsia"/>
          <w:color w:val="auto"/>
          <w:sz w:val="28"/>
          <w:szCs w:val="22"/>
          <w:highlight w:val="none"/>
          <w:lang w:val="en-US" w:eastAsia="zh-CN"/>
        </w:rPr>
        <w:t>项目</w:t>
      </w:r>
      <w:r>
        <w:rPr>
          <w:rFonts w:hint="default"/>
          <w:color w:val="auto"/>
          <w:sz w:val="28"/>
          <w:szCs w:val="22"/>
          <w:highlight w:val="none"/>
          <w:lang w:val="en-US" w:eastAsia="zh-CN"/>
        </w:rPr>
        <w:t>最高限价：1556652.27元/年</w:t>
      </w:r>
      <w:r>
        <w:rPr>
          <w:rFonts w:hint="eastAsia"/>
          <w:color w:val="auto"/>
          <w:sz w:val="28"/>
          <w:szCs w:val="22"/>
          <w:highlight w:val="none"/>
          <w:lang w:eastAsia="zh-CN"/>
        </w:rPr>
        <w:t>；</w:t>
      </w:r>
      <w:r>
        <w:rPr>
          <w:rFonts w:hint="eastAsia"/>
          <w:color w:val="auto"/>
          <w:sz w:val="28"/>
          <w:szCs w:val="22"/>
          <w:highlight w:val="none"/>
          <w:lang w:val="en-US" w:eastAsia="zh-CN"/>
        </w:rPr>
        <w:t>供应商</w:t>
      </w:r>
      <w:r>
        <w:rPr>
          <w:rFonts w:hint="default"/>
          <w:color w:val="auto"/>
          <w:sz w:val="28"/>
          <w:szCs w:val="22"/>
          <w:highlight w:val="none"/>
          <w:lang w:val="en-US" w:eastAsia="zh-CN"/>
        </w:rPr>
        <w:t>投标报价不得超过最高限价，否则视为未实质性响应，其投标文件将按无效处理。</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default"/>
          <w:b/>
          <w:bCs/>
          <w:color w:val="auto"/>
          <w:sz w:val="28"/>
          <w:szCs w:val="22"/>
          <w:highlight w:val="none"/>
          <w:lang w:val="en-US" w:eastAsia="zh-CN"/>
        </w:rPr>
      </w:pPr>
      <w:r>
        <w:rPr>
          <w:rFonts w:hint="eastAsia"/>
          <w:b/>
          <w:bCs/>
          <w:color w:val="auto"/>
          <w:sz w:val="28"/>
          <w:szCs w:val="22"/>
          <w:highlight w:val="none"/>
          <w:lang w:val="en-US" w:eastAsia="zh-CN"/>
        </w:rPr>
        <w:t>（九）报价要求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b/>
          <w:bCs/>
          <w:color w:val="auto"/>
          <w:sz w:val="28"/>
          <w:szCs w:val="22"/>
          <w:highlight w:val="none"/>
          <w:lang w:val="en-US" w:eastAsia="zh-CN"/>
        </w:rPr>
      </w:pPr>
      <w:r>
        <w:rPr>
          <w:rFonts w:hint="default"/>
          <w:color w:val="auto"/>
          <w:sz w:val="28"/>
          <w:szCs w:val="22"/>
          <w:highlight w:val="none"/>
          <w:lang w:val="en-US" w:eastAsia="zh-CN"/>
        </w:rPr>
        <w:t>所有报价一律以人民币报价。供应商报价应包含完成本项目所有服务内容所需的全部费用，包含人员费用、材料费、管理费、税费等所有费用。供应商各报价应符合政府采购法及国家和地方现行相关政策规定。</w:t>
      </w:r>
      <w:r>
        <w:rPr>
          <w:rFonts w:hint="default"/>
          <w:b/>
          <w:bCs/>
          <w:color w:val="auto"/>
          <w:sz w:val="28"/>
          <w:szCs w:val="22"/>
          <w:highlight w:val="none"/>
          <w:lang w:val="en-US" w:eastAsia="zh-CN"/>
        </w:rPr>
        <w:t>提示</w:t>
      </w:r>
      <w:r>
        <w:rPr>
          <w:rFonts w:hint="eastAsia"/>
          <w:b/>
          <w:bCs/>
          <w:color w:val="auto"/>
          <w:sz w:val="28"/>
          <w:szCs w:val="22"/>
          <w:highlight w:val="none"/>
          <w:lang w:val="en-US" w:eastAsia="zh-CN"/>
        </w:rPr>
        <w:t>：</w:t>
      </w:r>
      <w:r>
        <w:rPr>
          <w:rFonts w:hint="default"/>
          <w:b/>
          <w:bCs/>
          <w:color w:val="auto"/>
          <w:sz w:val="28"/>
          <w:szCs w:val="22"/>
          <w:highlight w:val="none"/>
          <w:lang w:val="en-US" w:eastAsia="zh-CN"/>
        </w:rPr>
        <w:t>供应商应充分核算本项目成本，以避免未充分核算成本可能造成的履约风险和法律风险。</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3"/>
        <w:rPr>
          <w:rFonts w:hint="eastAsia" w:ascii="Times New Roman" w:hAnsi="Times New Roman" w:cs="Times New Roman"/>
          <w:b/>
          <w:bCs/>
          <w:color w:val="auto"/>
          <w:sz w:val="28"/>
          <w:szCs w:val="22"/>
          <w:highlight w:val="none"/>
          <w:lang w:val="en-US" w:eastAsia="zh-CN"/>
        </w:rPr>
      </w:pPr>
      <w:r>
        <w:rPr>
          <w:rFonts w:hint="eastAsia" w:ascii="Times New Roman" w:hAnsi="Times New Roman" w:cs="Times New Roman"/>
          <w:b/>
          <w:bCs/>
          <w:color w:val="auto"/>
          <w:sz w:val="28"/>
          <w:szCs w:val="22"/>
          <w:highlight w:val="none"/>
          <w:lang w:val="en-US" w:eastAsia="zh-CN"/>
        </w:rPr>
        <w:t>（十）知识产权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color w:val="auto"/>
          <w:sz w:val="28"/>
          <w:szCs w:val="22"/>
          <w:highlight w:val="none"/>
          <w:lang w:val="en-US" w:eastAsia="zh-CN"/>
        </w:rPr>
      </w:pPr>
      <w:r>
        <w:rPr>
          <w:rFonts w:hint="default" w:ascii="Times New Roman" w:hAnsi="Times New Roman" w:cs="Times New Roman"/>
          <w:color w:val="auto"/>
          <w:sz w:val="28"/>
          <w:szCs w:val="22"/>
          <w:highlight w:val="none"/>
          <w:lang w:val="en-US" w:eastAsia="zh-CN"/>
        </w:rPr>
        <w:t xml:space="preserve">1.投标人保证在本项目中使用的任何技术、产品和服务（包括部分使用），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cs="Times New Roman"/>
          <w:color w:val="auto"/>
          <w:sz w:val="28"/>
          <w:szCs w:val="22"/>
          <w:highlight w:val="none"/>
          <w:lang w:val="en-US" w:eastAsia="zh-CN"/>
        </w:rPr>
      </w:pPr>
      <w:r>
        <w:rPr>
          <w:rFonts w:hint="default" w:ascii="Times New Roman" w:hAnsi="Times New Roman" w:cs="Times New Roman"/>
          <w:color w:val="auto"/>
          <w:sz w:val="28"/>
          <w:szCs w:val="22"/>
          <w:highlight w:val="none"/>
          <w:lang w:val="en-US" w:eastAsia="zh-CN"/>
        </w:rPr>
        <w:t xml:space="preserve">2.投标人将在采购项目实施过程中采用自有或者第三方知识成果的，使用该知识成果后，投标人需提供开发接口和开发手册等技术资料，并承诺提供无限期支持，采购人享有使用权（含采购人委托第三方在该项目后续开发的使用权）。 </w:t>
      </w:r>
    </w:p>
    <w:p>
      <w:pPr>
        <w:pStyle w:val="5"/>
        <w:rPr>
          <w:rFonts w:hint="default"/>
          <w:lang w:val="en-US" w:eastAsia="zh-CN"/>
        </w:rPr>
      </w:pPr>
    </w:p>
    <w:p>
      <w:pPr>
        <w:rPr>
          <w:rFonts w:hint="default"/>
          <w:b/>
          <w:bCs/>
          <w:color w:val="auto"/>
          <w:highlight w:val="none"/>
          <w:lang w:val="en-US" w:eastAsia="zh-CN"/>
        </w:rPr>
      </w:pPr>
      <w:r>
        <w:rPr>
          <w:rFonts w:hint="default"/>
          <w:b/>
          <w:bCs/>
          <w:color w:val="auto"/>
          <w:sz w:val="28"/>
          <w:szCs w:val="22"/>
          <w:highlight w:val="none"/>
        </w:rPr>
        <w:t>说明：本章节注明的“★”要求均为本项目不可变动的实质性要求，供应商须在“服务内容及服务要求应答表”</w:t>
      </w:r>
      <w:r>
        <w:rPr>
          <w:rFonts w:hint="eastAsia"/>
          <w:b/>
          <w:bCs/>
          <w:color w:val="auto"/>
          <w:sz w:val="28"/>
          <w:szCs w:val="22"/>
          <w:highlight w:val="none"/>
          <w:lang w:eastAsia="zh-CN"/>
        </w:rPr>
        <w:t>或“</w:t>
      </w:r>
      <w:r>
        <w:rPr>
          <w:rFonts w:hint="default"/>
          <w:b/>
          <w:bCs/>
          <w:color w:val="auto"/>
          <w:sz w:val="28"/>
          <w:szCs w:val="22"/>
          <w:highlight w:val="none"/>
        </w:rPr>
        <w:t>商务应答表</w:t>
      </w:r>
      <w:r>
        <w:rPr>
          <w:rFonts w:hint="eastAsia"/>
          <w:b/>
          <w:bCs/>
          <w:color w:val="auto"/>
          <w:sz w:val="28"/>
          <w:szCs w:val="22"/>
          <w:highlight w:val="none"/>
          <w:lang w:eastAsia="zh-CN"/>
        </w:rPr>
        <w:t>”</w:t>
      </w:r>
      <w:r>
        <w:rPr>
          <w:rFonts w:hint="default"/>
          <w:b/>
          <w:bCs/>
          <w:color w:val="auto"/>
          <w:sz w:val="28"/>
          <w:szCs w:val="22"/>
          <w:highlight w:val="none"/>
        </w:rPr>
        <w:t>逐条进行响应，否则视为未实质性响应。</w:t>
      </w:r>
      <w:r>
        <w:rPr>
          <w:rFonts w:hint="default"/>
          <w:b/>
          <w:bCs/>
          <w:color w:val="auto"/>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color w:val="auto"/>
          <w:sz w:val="28"/>
          <w:szCs w:val="22"/>
          <w:highlight w:val="none"/>
          <w:lang w:val="en-US" w:eastAsia="zh-CN"/>
        </w:rPr>
      </w:pPr>
    </w:p>
    <w:p>
      <w:pPr>
        <w:rPr>
          <w:rFonts w:hint="default"/>
          <w:color w:val="auto"/>
          <w:highlight w:val="none"/>
          <w:lang w:val="en-US" w:eastAsia="zh-CN"/>
        </w:rPr>
      </w:pP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
    <w:altName w:val="仿宋"/>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0635A9"/>
    <w:multiLevelType w:val="singleLevel"/>
    <w:tmpl w:val="A80635A9"/>
    <w:lvl w:ilvl="0" w:tentative="0">
      <w:start w:val="1"/>
      <w:numFmt w:val="chineseCounting"/>
      <w:pStyle w:val="27"/>
      <w:suff w:val="nothing"/>
      <w:lvlText w:val="第%1条  "/>
      <w:lvlJc w:val="left"/>
      <w:pPr>
        <w:ind w:left="0" w:firstLine="0"/>
      </w:pPr>
      <w:rPr>
        <w:rFonts w:hint="eastAsia"/>
      </w:rPr>
    </w:lvl>
  </w:abstractNum>
  <w:abstractNum w:abstractNumId="1">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suff w:val="nothing"/>
      <w:lvlText w:val="(%3)"/>
      <w:lvlJc w:val="left"/>
      <w:pPr>
        <w:tabs>
          <w:tab w:val="left" w:pos="0"/>
        </w:tabs>
        <w:ind w:left="0" w:firstLine="0"/>
      </w:pPr>
      <w:rPr>
        <w:rFonts w:hint="eastAsia" w:ascii="宋体" w:hAnsi="宋体" w:eastAsia="宋体" w:cs="宋体"/>
      </w:rPr>
    </w:lvl>
    <w:lvl w:ilvl="3" w:tentative="0">
      <w:start w:val="1"/>
      <w:numFmt w:val="decimal"/>
      <w:pStyle w:val="20"/>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F0625E36"/>
    <w:multiLevelType w:val="multilevel"/>
    <w:tmpl w:val="F0625E36"/>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pStyle w:val="29"/>
      <w:suff w:val="nothing"/>
      <w:lvlText w:val="%2、"/>
      <w:lvlJc w:val="left"/>
      <w:pPr>
        <w:tabs>
          <w:tab w:val="left" w:pos="0"/>
        </w:tabs>
        <w:ind w:left="63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64AE1447"/>
    <w:multiLevelType w:val="multilevel"/>
    <w:tmpl w:val="64AE1447"/>
    <w:lvl w:ilvl="0" w:tentative="0">
      <w:start w:val="1"/>
      <w:numFmt w:val="chineseCounting"/>
      <w:suff w:val="nothing"/>
      <w:lvlText w:val="（%1）"/>
      <w:lvlJc w:val="left"/>
      <w:pPr>
        <w:ind w:left="0" w:firstLine="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pStyle w:val="2"/>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lef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left"/>
      <w:pPr>
        <w:tabs>
          <w:tab w:val="left" w:pos="3780"/>
        </w:tabs>
        <w:ind w:left="3780" w:hanging="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ZTAyMTQ4MjI4Yzg1YjAyN2ZlYTczZTA0MDU0YjkifQ=="/>
  </w:docVars>
  <w:rsids>
    <w:rsidRoot w:val="00172A27"/>
    <w:rsid w:val="00820A08"/>
    <w:rsid w:val="05781409"/>
    <w:rsid w:val="062B7E61"/>
    <w:rsid w:val="06D870D9"/>
    <w:rsid w:val="07696BE2"/>
    <w:rsid w:val="07934F7B"/>
    <w:rsid w:val="084F5179"/>
    <w:rsid w:val="099726C7"/>
    <w:rsid w:val="0ABD461B"/>
    <w:rsid w:val="0CC33C24"/>
    <w:rsid w:val="0D153C31"/>
    <w:rsid w:val="0D352B8F"/>
    <w:rsid w:val="0F4B669A"/>
    <w:rsid w:val="0FA43FFC"/>
    <w:rsid w:val="124C3F44"/>
    <w:rsid w:val="124F64A1"/>
    <w:rsid w:val="126D1873"/>
    <w:rsid w:val="142E7F38"/>
    <w:rsid w:val="1540321A"/>
    <w:rsid w:val="15676D49"/>
    <w:rsid w:val="192F4936"/>
    <w:rsid w:val="19413970"/>
    <w:rsid w:val="1A801C5E"/>
    <w:rsid w:val="1AAF4FD3"/>
    <w:rsid w:val="1B5807AD"/>
    <w:rsid w:val="1B6C1E78"/>
    <w:rsid w:val="1D6F3E9B"/>
    <w:rsid w:val="1E3824DF"/>
    <w:rsid w:val="21EA4F6E"/>
    <w:rsid w:val="24150BCD"/>
    <w:rsid w:val="24C1718D"/>
    <w:rsid w:val="26834513"/>
    <w:rsid w:val="27A955A1"/>
    <w:rsid w:val="27E40A71"/>
    <w:rsid w:val="29097A72"/>
    <w:rsid w:val="2C994450"/>
    <w:rsid w:val="2FE7200E"/>
    <w:rsid w:val="303B6D1B"/>
    <w:rsid w:val="305D71D8"/>
    <w:rsid w:val="30786A6D"/>
    <w:rsid w:val="31C0486E"/>
    <w:rsid w:val="32E825BF"/>
    <w:rsid w:val="341F5D90"/>
    <w:rsid w:val="368755BD"/>
    <w:rsid w:val="373A29CC"/>
    <w:rsid w:val="37B26A07"/>
    <w:rsid w:val="39303EBC"/>
    <w:rsid w:val="3B0911E6"/>
    <w:rsid w:val="3B351E28"/>
    <w:rsid w:val="3C8B3CCA"/>
    <w:rsid w:val="3CC86CCC"/>
    <w:rsid w:val="3CD82471"/>
    <w:rsid w:val="3ED82F01"/>
    <w:rsid w:val="3F884812"/>
    <w:rsid w:val="40E87E13"/>
    <w:rsid w:val="417D2480"/>
    <w:rsid w:val="427D3229"/>
    <w:rsid w:val="42D60809"/>
    <w:rsid w:val="433D29E5"/>
    <w:rsid w:val="43E91A02"/>
    <w:rsid w:val="44865C7B"/>
    <w:rsid w:val="468C6DA7"/>
    <w:rsid w:val="47A35DD2"/>
    <w:rsid w:val="47BC6FB1"/>
    <w:rsid w:val="49F41101"/>
    <w:rsid w:val="4A0A3CB9"/>
    <w:rsid w:val="4BC66ACD"/>
    <w:rsid w:val="4BEB3226"/>
    <w:rsid w:val="4BFD4A3F"/>
    <w:rsid w:val="4C632C63"/>
    <w:rsid w:val="4DB43081"/>
    <w:rsid w:val="54104D89"/>
    <w:rsid w:val="54AF45A2"/>
    <w:rsid w:val="55472A2C"/>
    <w:rsid w:val="563A0208"/>
    <w:rsid w:val="565E29AE"/>
    <w:rsid w:val="56927968"/>
    <w:rsid w:val="56CB4F97"/>
    <w:rsid w:val="56F12C50"/>
    <w:rsid w:val="57A84FF6"/>
    <w:rsid w:val="58BA5842"/>
    <w:rsid w:val="5A2734CC"/>
    <w:rsid w:val="5A623658"/>
    <w:rsid w:val="5D331AE8"/>
    <w:rsid w:val="5DFB1F8F"/>
    <w:rsid w:val="5E0E058B"/>
    <w:rsid w:val="5E231B5D"/>
    <w:rsid w:val="5EE66E8C"/>
    <w:rsid w:val="5F1020E1"/>
    <w:rsid w:val="5F337B7D"/>
    <w:rsid w:val="5F86633C"/>
    <w:rsid w:val="603C6CB5"/>
    <w:rsid w:val="606F72DB"/>
    <w:rsid w:val="60F31CBA"/>
    <w:rsid w:val="61495116"/>
    <w:rsid w:val="62EE402D"/>
    <w:rsid w:val="6396250F"/>
    <w:rsid w:val="64136318"/>
    <w:rsid w:val="64156424"/>
    <w:rsid w:val="661341A8"/>
    <w:rsid w:val="674921B7"/>
    <w:rsid w:val="67BA0E3C"/>
    <w:rsid w:val="69A668E3"/>
    <w:rsid w:val="69F952CA"/>
    <w:rsid w:val="712534A9"/>
    <w:rsid w:val="73097D56"/>
    <w:rsid w:val="739842C3"/>
    <w:rsid w:val="755C6651"/>
    <w:rsid w:val="77C83101"/>
    <w:rsid w:val="787E75BC"/>
    <w:rsid w:val="790B3546"/>
    <w:rsid w:val="791718A4"/>
    <w:rsid w:val="791D56CF"/>
    <w:rsid w:val="7BFF10BB"/>
    <w:rsid w:val="7D676F18"/>
    <w:rsid w:val="7E10694B"/>
    <w:rsid w:val="7E1813BA"/>
    <w:rsid w:val="7FC5261C"/>
    <w:rsid w:val="7FF76C79"/>
    <w:rsid w:val="B9AF32E2"/>
    <w:rsid w:val="DFEDD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 w:cs="Times New Roman"/>
      <w:kern w:val="2"/>
      <w:sz w:val="32"/>
      <w:szCs w:val="24"/>
      <w:lang w:val="en-US" w:eastAsia="zh-CN" w:bidi="ar-SA"/>
    </w:rPr>
  </w:style>
  <w:style w:type="paragraph" w:styleId="2">
    <w:name w:val="heading 3"/>
    <w:basedOn w:val="1"/>
    <w:next w:val="1"/>
    <w:autoRedefine/>
    <w:qFormat/>
    <w:uiPriority w:val="0"/>
    <w:pPr>
      <w:keepNext/>
      <w:keepLines/>
      <w:numPr>
        <w:ilvl w:val="2"/>
        <w:numId w:val="1"/>
      </w:numPr>
      <w:spacing w:before="260" w:beforeLines="0" w:beforeAutospacing="0" w:after="260" w:afterLines="0" w:afterAutospacing="0" w:line="413" w:lineRule="auto"/>
      <w:ind w:firstLine="400" w:firstLineChars="0"/>
      <w:outlineLvl w:val="2"/>
    </w:pPr>
    <w:rPr>
      <w:rFonts w:ascii="Times New Roman" w:hAnsi="Times New Roman" w:eastAsia="宋体"/>
      <w:b/>
      <w:sz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tabs>
        <w:tab w:val="left" w:pos="0"/>
      </w:tabs>
      <w:ind w:firstLine="200" w:firstLineChars="200"/>
    </w:pPr>
  </w:style>
  <w:style w:type="paragraph" w:styleId="4">
    <w:name w:val="annotation text"/>
    <w:basedOn w:val="1"/>
    <w:autoRedefine/>
    <w:semiHidden/>
    <w:unhideWhenUsed/>
    <w:qFormat/>
    <w:uiPriority w:val="99"/>
    <w:pPr>
      <w:jc w:val="left"/>
    </w:pPr>
  </w:style>
  <w:style w:type="paragraph" w:styleId="5">
    <w:name w:val="Body Text"/>
    <w:basedOn w:val="1"/>
    <w:next w:val="1"/>
    <w:autoRedefine/>
    <w:qFormat/>
    <w:uiPriority w:val="0"/>
    <w:rPr>
      <w:rFonts w:eastAsia="宋体"/>
      <w:sz w:val="18"/>
    </w:rPr>
  </w:style>
  <w:style w:type="paragraph" w:styleId="6">
    <w:name w:val="Plain Text"/>
    <w:basedOn w:val="1"/>
    <w:autoRedefine/>
    <w:semiHidden/>
    <w:unhideWhenUsed/>
    <w:qFormat/>
    <w:uiPriority w:val="99"/>
    <w:rPr>
      <w:rFonts w:hAnsi="Courier New" w:cs="Courier New" w:asciiTheme="minorEastAsia" w:eastAsiaTheme="minorEastAsia"/>
    </w:rPr>
  </w:style>
  <w:style w:type="paragraph" w:styleId="7">
    <w:name w:val="toc 6"/>
    <w:basedOn w:val="1"/>
    <w:next w:val="1"/>
    <w:autoRedefine/>
    <w:qFormat/>
    <w:uiPriority w:val="0"/>
    <w:pPr>
      <w:tabs>
        <w:tab w:val="left" w:pos="0"/>
      </w:tabs>
      <w:ind w:left="2100"/>
    </w:pPr>
  </w:style>
  <w:style w:type="paragraph" w:styleId="8">
    <w:name w:val="table of figures"/>
    <w:basedOn w:val="1"/>
    <w:next w:val="1"/>
    <w:autoRedefine/>
    <w:qFormat/>
    <w:uiPriority w:val="99"/>
    <w:pPr>
      <w:ind w:left="200" w:leftChars="200" w:hanging="200" w:hangingChars="200"/>
    </w:pPr>
    <w:rPr>
      <w:rFonts w:ascii="Times New Roman" w:hAnsi="Times New Roman"/>
    </w:rPr>
  </w:style>
  <w:style w:type="paragraph" w:styleId="9">
    <w:name w:val="Normal (Web)"/>
    <w:basedOn w:val="1"/>
    <w:autoRedefine/>
    <w:qFormat/>
    <w:uiPriority w:val="0"/>
    <w:pPr>
      <w:spacing w:before="100" w:beforeAutospacing="1" w:after="100" w:afterAutospacing="1"/>
      <w:jc w:val="left"/>
    </w:pPr>
    <w:rPr>
      <w:rFonts w:ascii="Calibri" w:hAnsi="Calibri"/>
      <w:kern w:val="0"/>
      <w:szCs w:val="32"/>
    </w:rPr>
  </w:style>
  <w:style w:type="paragraph" w:styleId="10">
    <w:name w:val="Body Text First Indent"/>
    <w:basedOn w:val="5"/>
    <w:autoRedefine/>
    <w:qFormat/>
    <w:uiPriority w:val="0"/>
    <w:pPr>
      <w:tabs>
        <w:tab w:val="left" w:pos="0"/>
      </w:tabs>
      <w:ind w:firstLine="420" w:firstLineChars="100"/>
    </w:pPr>
    <w:rPr>
      <w:rFonts w:hAnsi="Times New Roman"/>
      <w:sz w:val="18"/>
      <w:szCs w:val="1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81"/>
    <w:basedOn w:val="13"/>
    <w:autoRedefine/>
    <w:qFormat/>
    <w:uiPriority w:val="0"/>
    <w:rPr>
      <w:rFonts w:hint="eastAsia" w:ascii="宋体" w:hAnsi="宋体" w:eastAsia="宋体" w:cs="宋体"/>
      <w:b/>
      <w:bCs/>
      <w:color w:val="000000"/>
      <w:sz w:val="22"/>
      <w:szCs w:val="22"/>
      <w:u w:val="none"/>
    </w:rPr>
  </w:style>
  <w:style w:type="character" w:customStyle="1" w:styleId="15">
    <w:name w:val="font91"/>
    <w:basedOn w:val="13"/>
    <w:autoRedefine/>
    <w:qFormat/>
    <w:uiPriority w:val="0"/>
    <w:rPr>
      <w:rFonts w:hint="eastAsia" w:ascii="宋体" w:hAnsi="宋体" w:eastAsia="宋体" w:cs="宋体"/>
      <w:b/>
      <w:bCs/>
      <w:color w:val="000000"/>
      <w:sz w:val="22"/>
      <w:szCs w:val="22"/>
      <w:u w:val="none"/>
    </w:rPr>
  </w:style>
  <w:style w:type="character" w:customStyle="1" w:styleId="16">
    <w:name w:val="font11"/>
    <w:basedOn w:val="13"/>
    <w:autoRedefine/>
    <w:qFormat/>
    <w:uiPriority w:val="0"/>
    <w:rPr>
      <w:rFonts w:hint="eastAsia" w:ascii="宋体" w:hAnsi="宋体" w:eastAsia="宋体" w:cs="宋体"/>
      <w:color w:val="000000"/>
      <w:sz w:val="22"/>
      <w:szCs w:val="22"/>
      <w:u w:val="none"/>
    </w:rPr>
  </w:style>
  <w:style w:type="table" w:customStyle="1" w:styleId="17">
    <w:name w:val="Table Normal"/>
    <w:autoRedefine/>
    <w:qFormat/>
    <w:uiPriority w:val="0"/>
    <w:tblPr>
      <w:tblCellMar>
        <w:top w:w="0" w:type="dxa"/>
        <w:left w:w="0" w:type="dxa"/>
        <w:bottom w:w="0" w:type="dxa"/>
        <w:right w:w="0" w:type="dxa"/>
      </w:tblCellMar>
    </w:tblPr>
  </w:style>
  <w:style w:type="paragraph" w:customStyle="1" w:styleId="18">
    <w:name w:val="样式2"/>
    <w:basedOn w:val="1"/>
    <w:autoRedefine/>
    <w:qFormat/>
    <w:uiPriority w:val="99"/>
    <w:pPr>
      <w:spacing w:line="600" w:lineRule="exact"/>
      <w:ind w:right="-47" w:rightChars="-47" w:firstLine="200" w:firstLineChars="200"/>
      <w:jc w:val="left"/>
    </w:pPr>
    <w:rPr>
      <w:bCs/>
      <w:sz w:val="28"/>
      <w:szCs w:val="28"/>
    </w:rPr>
  </w:style>
  <w:style w:type="paragraph" w:customStyle="1" w:styleId="19">
    <w:name w:val="正文首行缩进两字符"/>
    <w:basedOn w:val="1"/>
    <w:autoRedefine/>
    <w:qFormat/>
    <w:uiPriority w:val="0"/>
    <w:pPr>
      <w:tabs>
        <w:tab w:val="left" w:pos="0"/>
      </w:tabs>
      <w:spacing w:line="360" w:lineRule="auto"/>
      <w:ind w:firstLine="200" w:firstLineChars="200"/>
    </w:pPr>
  </w:style>
  <w:style w:type="paragraph" w:customStyle="1" w:styleId="20">
    <w:name w:val="17“1.”四级标题"/>
    <w:basedOn w:val="21"/>
    <w:autoRedefine/>
    <w:qFormat/>
    <w:uiPriority w:val="0"/>
    <w:pPr>
      <w:numPr>
        <w:ilvl w:val="3"/>
        <w:numId w:val="2"/>
      </w:numPr>
      <w:ind w:firstLine="803"/>
    </w:pPr>
  </w:style>
  <w:style w:type="paragraph" w:customStyle="1" w:styleId="21">
    <w:name w:val="02、首行缩进2字符正文"/>
    <w:basedOn w:val="1"/>
    <w:autoRedefine/>
    <w:qFormat/>
    <w:uiPriority w:val="0"/>
    <w:pPr>
      <w:tabs>
        <w:tab w:val="left" w:pos="0"/>
      </w:tabs>
      <w:wordWrap w:val="0"/>
      <w:topLinePunct/>
      <w:ind w:firstLine="480" w:firstLineChars="200"/>
    </w:pPr>
  </w:style>
  <w:style w:type="paragraph" w:customStyle="1" w:styleId="22">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23">
    <w:name w:val="_Style 1"/>
    <w:basedOn w:val="1"/>
    <w:autoRedefine/>
    <w:qFormat/>
    <w:uiPriority w:val="0"/>
    <w:pPr>
      <w:ind w:firstLine="420" w:firstLineChars="200"/>
    </w:pPr>
  </w:style>
  <w:style w:type="paragraph" w:customStyle="1" w:styleId="2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5">
    <w:name w:val="List Paragraph"/>
    <w:basedOn w:val="1"/>
    <w:autoRedefine/>
    <w:qFormat/>
    <w:uiPriority w:val="0"/>
    <w:pPr>
      <w:ind w:firstLine="420" w:firstLineChars="200"/>
    </w:pPr>
    <w:rPr>
      <w:rFonts w:eastAsia="宋体"/>
      <w:sz w:val="21"/>
      <w:szCs w:val="20"/>
    </w:rPr>
  </w:style>
  <w:style w:type="paragraph" w:customStyle="1" w:styleId="26">
    <w:name w:val="null3"/>
    <w:autoRedefine/>
    <w:hidden/>
    <w:qFormat/>
    <w:uiPriority w:val="0"/>
    <w:rPr>
      <w:rFonts w:hint="eastAsia" w:asciiTheme="minorHAnsi" w:hAnsiTheme="minorHAnsi" w:eastAsiaTheme="minorEastAsia" w:cstheme="minorBidi"/>
      <w:lang w:val="en-US" w:eastAsia="zh-Hans"/>
    </w:rPr>
  </w:style>
  <w:style w:type="paragraph" w:customStyle="1" w:styleId="27">
    <w:name w:val="21、合同二级标题序号"/>
    <w:basedOn w:val="28"/>
    <w:autoRedefine/>
    <w:qFormat/>
    <w:uiPriority w:val="0"/>
    <w:pPr>
      <w:numPr>
        <w:ilvl w:val="0"/>
        <w:numId w:val="3"/>
      </w:numPr>
      <w:tabs>
        <w:tab w:val="left" w:pos="0"/>
      </w:tabs>
      <w:ind w:firstLine="803" w:firstLineChars="200"/>
      <w:outlineLvl w:val="1"/>
    </w:pPr>
    <w:rPr>
      <w:rFonts w:ascii="宋体" w:hAnsi="宋体" w:eastAsia="宋体"/>
      <w:b/>
    </w:rPr>
  </w:style>
  <w:style w:type="paragraph" w:customStyle="1" w:styleId="28">
    <w:name w:val="01、普通正文"/>
    <w:basedOn w:val="1"/>
    <w:next w:val="7"/>
    <w:autoRedefine/>
    <w:qFormat/>
    <w:uiPriority w:val="0"/>
    <w:pPr>
      <w:tabs>
        <w:tab w:val="left" w:pos="0"/>
      </w:tabs>
      <w:wordWrap w:val="0"/>
      <w:topLinePunct/>
    </w:pPr>
    <w:rPr>
      <w:snapToGrid w:val="0"/>
    </w:rPr>
  </w:style>
  <w:style w:type="paragraph" w:customStyle="1" w:styleId="29">
    <w:name w:val="05、“(一)”正文三级标题"/>
    <w:basedOn w:val="1"/>
    <w:link w:val="30"/>
    <w:autoRedefine/>
    <w:qFormat/>
    <w:uiPriority w:val="0"/>
    <w:pPr>
      <w:numPr>
        <w:ilvl w:val="1"/>
        <w:numId w:val="4"/>
      </w:numPr>
      <w:wordWrap w:val="0"/>
      <w:topLinePunct/>
      <w:ind w:firstLine="0" w:firstLineChars="0"/>
    </w:pPr>
    <w:rPr>
      <w:rFonts w:ascii="宋体" w:hAnsi="宋体" w:eastAsia="宋体"/>
    </w:rPr>
  </w:style>
  <w:style w:type="character" w:customStyle="1" w:styleId="30">
    <w:name w:val="05、“(一)”正文三级标题 Char"/>
    <w:link w:val="29"/>
    <w:autoRedefine/>
    <w:qFormat/>
    <w:uiPriority w:val="0"/>
    <w:rPr>
      <w:rFonts w:ascii="宋体" w:hAnsi="宋体" w:eastAsia="宋体"/>
    </w:rPr>
  </w:style>
  <w:style w:type="character" w:customStyle="1" w:styleId="31">
    <w:name w:val="NormalCharacter"/>
    <w:autoRedefine/>
    <w:qFormat/>
    <w:uiPriority w:val="0"/>
  </w:style>
  <w:style w:type="paragraph" w:customStyle="1" w:styleId="32">
    <w:name w:val="GW-正文"/>
    <w:basedOn w:val="1"/>
    <w:autoRedefine/>
    <w:qFormat/>
    <w:uiPriority w:val="0"/>
    <w:pPr>
      <w:spacing w:line="360" w:lineRule="auto"/>
      <w:ind w:firstLine="200" w:firstLineChars="200"/>
    </w:pPr>
    <w:rPr>
      <w:rFonts w:eastAsia="仿宋_GB2312"/>
      <w:sz w:val="24"/>
    </w:rPr>
  </w:style>
  <w:style w:type="paragraph" w:customStyle="1" w:styleId="33">
    <w:name w:val="UserStyle_60"/>
    <w:autoRedefine/>
    <w:qFormat/>
    <w:uiPriority w:val="0"/>
    <w:rPr>
      <w:rFonts w:ascii="楷体à.ā" w:hAnsi="Calibri" w:eastAsia="楷体à.ā" w:cs="Times New Roman"/>
      <w:color w:val="000000"/>
      <w:sz w:val="24"/>
      <w:szCs w:val="22"/>
      <w:lang w:val="en-US" w:eastAsia="zh-CN" w:bidi="ar-SA"/>
    </w:rPr>
  </w:style>
  <w:style w:type="paragraph" w:customStyle="1" w:styleId="34">
    <w:name w:val="Table Text"/>
    <w:basedOn w:val="1"/>
    <w:autoRedefine/>
    <w:semiHidden/>
    <w:qFormat/>
    <w:uiPriority w:val="0"/>
    <w:rPr>
      <w:rFonts w:ascii="仿宋" w:hAnsi="仿宋" w:eastAsia="仿宋" w:cs="仿宋"/>
      <w:sz w:val="22"/>
      <w:szCs w:val="22"/>
      <w:lang w:val="en-US" w:eastAsia="en-US" w:bidi="ar-SA"/>
    </w:rPr>
  </w:style>
  <w:style w:type="paragraph" w:customStyle="1" w:styleId="35">
    <w:name w:val="Body text|1"/>
    <w:basedOn w:val="1"/>
    <w:autoRedefine/>
    <w:qFormat/>
    <w:uiPriority w:val="0"/>
    <w:pPr>
      <w:spacing w:after="60" w:line="478" w:lineRule="exact"/>
      <w:ind w:firstLine="540"/>
    </w:pPr>
    <w:rPr>
      <w:rFonts w:ascii="宋体" w:hAnsi="宋体" w:eastAsia="宋体" w:cs="宋体"/>
      <w:sz w:val="22"/>
      <w:szCs w:val="22"/>
      <w:lang w:val="zh-TW" w:eastAsia="zh-TW" w:bidi="zh-TW"/>
    </w:rPr>
  </w:style>
  <w:style w:type="paragraph" w:customStyle="1" w:styleId="36">
    <w:name w:val="Other|1"/>
    <w:basedOn w:val="1"/>
    <w:autoRedefine/>
    <w:qFormat/>
    <w:uiPriority w:val="0"/>
    <w:pPr>
      <w:spacing w:line="401" w:lineRule="auto"/>
      <w:ind w:firstLine="400"/>
    </w:pPr>
    <w:rPr>
      <w:rFonts w:ascii="宋体" w:hAnsi="宋体" w:eastAsia="宋体" w:cs="宋体"/>
      <w:sz w:val="28"/>
      <w:szCs w:val="28"/>
      <w:lang w:val="zh-TW" w:eastAsia="zh-TW" w:bidi="zh-TW"/>
    </w:rPr>
  </w:style>
  <w:style w:type="paragraph" w:customStyle="1" w:styleId="37">
    <w:name w:val="Other|2"/>
    <w:basedOn w:val="1"/>
    <w:autoRedefine/>
    <w:qFormat/>
    <w:uiPriority w:val="0"/>
    <w:pPr>
      <w:spacing w:line="367" w:lineRule="exact"/>
      <w:ind w:left="180"/>
    </w:pPr>
    <w:rPr>
      <w:rFonts w:ascii="宋体" w:hAnsi="宋体" w:eastAsia="宋体" w:cs="宋体"/>
      <w:sz w:val="22"/>
      <w:szCs w:val="22"/>
      <w:lang w:val="zh-TW" w:eastAsia="zh-TW" w:bidi="zh-TW"/>
    </w:rPr>
  </w:style>
  <w:style w:type="paragraph" w:customStyle="1" w:styleId="38">
    <w:name w:val="Table caption|1"/>
    <w:basedOn w:val="1"/>
    <w:autoRedefine/>
    <w:qFormat/>
    <w:uiPriority w:val="0"/>
    <w:pPr>
      <w:ind w:firstLine="6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2023-10-17T01:53:00Z</dcterms:created>
  <dc:creator>test</dc:creator>
  <cp:lastModifiedBy>藝</cp:lastModifiedBy>
  <cp:lastPrinted>2023-11-28T06:26:00Z</cp:lastPrinted>
  <dcterms:modified xsi:type="dcterms:W3CDTF">2024-04-16T06:51:49Z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B0ED1DEBE0204421991DEF8348C5507E_13</vt:lpwstr>
  </property>
</Properties>
</file>