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1FC2C" w14:textId="77777777" w:rsidR="00A97E6A" w:rsidRPr="0012620E" w:rsidRDefault="00025467">
      <w:pPr>
        <w:widowControl w:val="0"/>
        <w:adjustRightInd w:val="0"/>
        <w:snapToGrid w:val="0"/>
        <w:spacing w:line="360" w:lineRule="auto"/>
        <w:jc w:val="both"/>
        <w:rPr>
          <w:rFonts w:hAnsi="宋体" w:cs="宋体"/>
          <w:b/>
          <w:bCs/>
          <w:kern w:val="2"/>
          <w:sz w:val="24"/>
          <w:szCs w:val="24"/>
        </w:rPr>
      </w:pPr>
      <w:bookmarkStart w:id="0" w:name="_GoBack"/>
      <w:bookmarkEnd w:id="0"/>
      <w:r w:rsidRPr="0012620E">
        <w:rPr>
          <w:rFonts w:hAnsi="宋体" w:cs="宋体" w:hint="eastAsia"/>
          <w:b/>
          <w:bCs/>
          <w:kern w:val="2"/>
          <w:sz w:val="24"/>
          <w:szCs w:val="24"/>
        </w:rPr>
        <w:t>一、项目背景</w:t>
      </w:r>
    </w:p>
    <w:p w14:paraId="7A9413B3" w14:textId="2E3232C6" w:rsidR="00A97E6A" w:rsidRPr="0012620E" w:rsidRDefault="00A60AB2" w:rsidP="00A60AB2">
      <w:pPr>
        <w:widowControl w:val="0"/>
        <w:adjustRightInd w:val="0"/>
        <w:snapToGrid w:val="0"/>
        <w:spacing w:line="360" w:lineRule="auto"/>
        <w:ind w:firstLineChars="200" w:firstLine="480"/>
        <w:jc w:val="both"/>
        <w:rPr>
          <w:rFonts w:hAnsi="宋体" w:cs="宋体"/>
          <w:kern w:val="2"/>
          <w:sz w:val="24"/>
          <w:szCs w:val="24"/>
        </w:rPr>
      </w:pPr>
      <w:r w:rsidRPr="00A60AB2">
        <w:rPr>
          <w:rFonts w:hAnsi="宋体" w:cs="宋体" w:hint="eastAsia"/>
          <w:bCs/>
          <w:kern w:val="2"/>
          <w:sz w:val="24"/>
          <w:szCs w:val="24"/>
        </w:rPr>
        <w:t>按照《大气法》的规定，结合《柴油车污染物排放限值及测量方法》</w:t>
      </w:r>
      <w:r w:rsidRPr="00A60AB2">
        <w:rPr>
          <w:rFonts w:hAnsi="宋体" w:cs="宋体"/>
          <w:bCs/>
          <w:kern w:val="2"/>
          <w:sz w:val="24"/>
          <w:szCs w:val="24"/>
        </w:rPr>
        <w:t>GB3847- 2018</w:t>
      </w:r>
      <w:r w:rsidRPr="00A60AB2">
        <w:rPr>
          <w:rFonts w:hAnsi="宋体" w:cs="宋体" w:hint="eastAsia"/>
          <w:bCs/>
          <w:kern w:val="2"/>
          <w:sz w:val="24"/>
          <w:szCs w:val="24"/>
        </w:rPr>
        <w:t>规定要求，在郫都区辖区内开展柴油车尾气抽测工作，具体抽测区域由</w:t>
      </w:r>
      <w:proofErr w:type="gramStart"/>
      <w:r w:rsidRPr="00A60AB2">
        <w:rPr>
          <w:rFonts w:hAnsi="宋体" w:cs="宋体" w:hint="eastAsia"/>
          <w:bCs/>
          <w:kern w:val="2"/>
          <w:sz w:val="24"/>
          <w:szCs w:val="24"/>
        </w:rPr>
        <w:t>委托让</w:t>
      </w:r>
      <w:proofErr w:type="gramEnd"/>
      <w:r w:rsidRPr="00A60AB2">
        <w:rPr>
          <w:rFonts w:hAnsi="宋体" w:cs="宋体" w:hint="eastAsia"/>
          <w:bCs/>
          <w:kern w:val="2"/>
          <w:sz w:val="24"/>
          <w:szCs w:val="24"/>
        </w:rPr>
        <w:t>制定</w:t>
      </w:r>
      <w:r w:rsidR="00025467" w:rsidRPr="00025467">
        <w:rPr>
          <w:rFonts w:hAnsi="宋体" w:cs="宋体" w:hint="eastAsia"/>
          <w:kern w:val="2"/>
          <w:sz w:val="24"/>
          <w:szCs w:val="24"/>
        </w:rPr>
        <w:t>。</w:t>
      </w:r>
    </w:p>
    <w:p w14:paraId="1DC4B3A3" w14:textId="77777777" w:rsidR="00A97E6A" w:rsidRDefault="00025467">
      <w:pPr>
        <w:widowControl w:val="0"/>
        <w:adjustRightInd w:val="0"/>
        <w:snapToGrid w:val="0"/>
        <w:spacing w:line="360" w:lineRule="auto"/>
        <w:jc w:val="both"/>
        <w:rPr>
          <w:rFonts w:hAnsi="宋体" w:cs="宋体"/>
          <w:b/>
          <w:bCs/>
          <w:kern w:val="2"/>
          <w:sz w:val="24"/>
          <w:szCs w:val="24"/>
        </w:rPr>
      </w:pPr>
      <w:r w:rsidRPr="0012620E">
        <w:rPr>
          <w:rFonts w:hAnsi="宋体" w:cs="宋体" w:hint="eastAsia"/>
          <w:b/>
          <w:bCs/>
          <w:kern w:val="2"/>
          <w:sz w:val="24"/>
          <w:szCs w:val="24"/>
        </w:rPr>
        <w:t>二、服务内容和服务要求</w:t>
      </w:r>
    </w:p>
    <w:p w14:paraId="3F856C3B"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1、路检路查：原则上每个工作日（特殊天气除外）白天上班时段开展柴油车抽测工作，每次白天抽测数量不低于15辆；节假日（含双休日，春节假期除外）期间，每日白天按要求分组开展路检路查。每周至</w:t>
      </w:r>
      <w:proofErr w:type="gramStart"/>
      <w:r w:rsidRPr="00A60AB2">
        <w:rPr>
          <w:rFonts w:hAnsi="宋体" w:cs="宋体" w:hint="eastAsia"/>
          <w:kern w:val="2"/>
          <w:sz w:val="24"/>
          <w:szCs w:val="24"/>
        </w:rPr>
        <w:t>少开展</w:t>
      </w:r>
      <w:proofErr w:type="gramEnd"/>
      <w:r w:rsidRPr="00A60AB2">
        <w:rPr>
          <w:rFonts w:hAnsi="宋体" w:cs="宋体" w:hint="eastAsia"/>
          <w:kern w:val="2"/>
          <w:sz w:val="24"/>
          <w:szCs w:val="24"/>
        </w:rPr>
        <w:t>一次夜查（20时以后），每次夜查数量不低于10辆。重污染天气（含臭氧）预警期间，每日白天（特殊天气除外）正常开展常态化路检路查，其余视情况开展。黄色预警期间，按要求分组开展夜查；橙色、红色预警期间，每日开展夜 查；</w:t>
      </w:r>
    </w:p>
    <w:p w14:paraId="7C95F164"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2、入户抽检：每月开展入户抽测不低于2次，服务期内抽测总数不低于330辆；</w:t>
      </w:r>
    </w:p>
    <w:p w14:paraId="1F5A80FE"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3、工作要求：安排3-5人</w:t>
      </w:r>
      <w:proofErr w:type="gramStart"/>
      <w:r w:rsidRPr="00A60AB2">
        <w:rPr>
          <w:rFonts w:hAnsi="宋体" w:cs="宋体" w:hint="eastAsia"/>
          <w:kern w:val="2"/>
          <w:sz w:val="24"/>
          <w:szCs w:val="24"/>
        </w:rPr>
        <w:t>专职在</w:t>
      </w:r>
      <w:proofErr w:type="gramEnd"/>
      <w:r w:rsidRPr="00A60AB2">
        <w:rPr>
          <w:rFonts w:hAnsi="宋体" w:cs="宋体" w:hint="eastAsia"/>
          <w:kern w:val="2"/>
          <w:sz w:val="24"/>
          <w:szCs w:val="24"/>
        </w:rPr>
        <w:t>郫都区开展柴油车货车抽测，完成成都市下达的柴油货车抽测任务，同时完成采购方安排的其他临时性检测任务；</w:t>
      </w:r>
    </w:p>
    <w:p w14:paraId="6E1346E5"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4、常态化检测柴油货车每月检测数量和其他临时性检测任务（入户、重污染天气期间、其他临时检测任务），服务期内完成柴油车抽测数量不少于8400辆，其中老旧柴油车抽测数量（注册登记时间为2018年1月1日以前）不低于2300辆。根据实际情况如需增设柴油车路检路查点位，应提供相应的现场抽测服务。</w:t>
      </w:r>
    </w:p>
    <w:p w14:paraId="7493A8FD"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5.抽测标准</w:t>
      </w:r>
    </w:p>
    <w:p w14:paraId="5FC6DE08"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柴油货车现场检测合格的提供现场抽检结果报告及检测结果打印小票；柴油货车不合格车辆，出具CMA检测报告，检测报告一式两份，通过邮寄或者送抵得方式送到委托方指定位置， 检测报告信息和格式符合CMA管理体系要求。按委托方要求完成其它临时任务，具体任务双方可以进行商定。</w:t>
      </w:r>
    </w:p>
    <w:p w14:paraId="6B40B6F0"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6.其他要求：（1）合同支付时如遇财政资金结转等要求，乙方缴纳服务项目总金额5%的保证金后，甲方可支付就乙方尾款。（2）检测项目背景。（3）项目重点豫难点分析。（4）检测流程。（5）检测结果处理。（6）检测设备配置。（7）质量保障制度。（8）质量保障目标。（9）质量保障措施。（10）应急响应时间。（11）应急检测流程。（12）应急检测人员设备安排。</w:t>
      </w:r>
    </w:p>
    <w:p w14:paraId="2CB713D1"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lastRenderedPageBreak/>
        <w:t>2.商务要求：</w:t>
      </w:r>
    </w:p>
    <w:p w14:paraId="068011DF"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（一）合同履行期限：自合同签订之日起365日；</w:t>
      </w:r>
    </w:p>
    <w:p w14:paraId="7A3A3C6C"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（二）付款方式：</w:t>
      </w:r>
    </w:p>
    <w:p w14:paraId="272D0614"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1、 付款条件说明： 签订合同并提供发票后 ，达到付款条件起 10 日内，支付合同总金额的 40.00 %；</w:t>
      </w:r>
    </w:p>
    <w:p w14:paraId="054EF713"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2、 付款条件说明： 服务期满6个月，完成不低于4200台柴油车（包括老旧车）抽测任务，提供足额发票后 ，达到付款条件起 10 日内，支付合同总金额的 40.00 %；</w:t>
      </w:r>
    </w:p>
    <w:p w14:paraId="41694428"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3、 付款条件说明： 完成不低于8400台柴油车（包括老旧车）抽测任务，并通过验收，提供足额发票后 ，达到付款条件起 10 日内，支付合同总金额的 20.00 %；</w:t>
      </w:r>
    </w:p>
    <w:p w14:paraId="7E688B78"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（三）验收标准：根据《财政部关于进一步加强政府采购需求和履约验收管理的指导意见》(财库〔2016〕205号)与采购合同约定标准进行验收。</w:t>
      </w:r>
    </w:p>
    <w:p w14:paraId="0BBB6BBD"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（四）履约地点：成都市郫都区</w:t>
      </w:r>
    </w:p>
    <w:p w14:paraId="3020EFED" w14:textId="77777777" w:rsidR="00A60AB2" w:rsidRPr="00A60AB2" w:rsidRDefault="00A60AB2" w:rsidP="00A60AB2">
      <w:pPr>
        <w:widowControl w:val="0"/>
        <w:adjustRightInd w:val="0"/>
        <w:snapToGrid w:val="0"/>
        <w:spacing w:line="360" w:lineRule="auto"/>
        <w:ind w:firstLineChars="200" w:firstLine="480"/>
        <w:jc w:val="both"/>
        <w:rPr>
          <w:rFonts w:hAnsi="宋体" w:cs="宋体" w:hint="eastAsia"/>
          <w:kern w:val="2"/>
          <w:sz w:val="24"/>
          <w:szCs w:val="24"/>
        </w:rPr>
      </w:pPr>
      <w:r w:rsidRPr="00A60AB2">
        <w:rPr>
          <w:rFonts w:hAnsi="宋体" w:cs="宋体" w:hint="eastAsia"/>
          <w:kern w:val="2"/>
          <w:sz w:val="24"/>
          <w:szCs w:val="24"/>
        </w:rPr>
        <w:t>（五）知识产权：本次委托服务内容的报告的知识产权全部由采购人成都市</w:t>
      </w:r>
      <w:proofErr w:type="gramStart"/>
      <w:r w:rsidRPr="00A60AB2">
        <w:rPr>
          <w:rFonts w:hAnsi="宋体" w:cs="宋体" w:hint="eastAsia"/>
          <w:kern w:val="2"/>
          <w:sz w:val="24"/>
          <w:szCs w:val="24"/>
        </w:rPr>
        <w:t>郫</w:t>
      </w:r>
      <w:proofErr w:type="gramEnd"/>
      <w:r w:rsidRPr="00A60AB2">
        <w:rPr>
          <w:rFonts w:hAnsi="宋体" w:cs="宋体" w:hint="eastAsia"/>
          <w:kern w:val="2"/>
          <w:sz w:val="24"/>
          <w:szCs w:val="24"/>
        </w:rPr>
        <w:t>都生态环境局所有。</w:t>
      </w:r>
    </w:p>
    <w:p w14:paraId="758F2A00" w14:textId="7AA12EC3" w:rsidR="00A97E6A" w:rsidRDefault="00A60AB2" w:rsidP="00A60AB2">
      <w:pPr>
        <w:widowControl w:val="0"/>
        <w:adjustRightInd w:val="0"/>
        <w:snapToGrid w:val="0"/>
        <w:spacing w:line="360" w:lineRule="auto"/>
        <w:ind w:firstLineChars="200" w:firstLine="480"/>
        <w:jc w:val="both"/>
      </w:pPr>
      <w:r w:rsidRPr="00A60AB2">
        <w:rPr>
          <w:rFonts w:hAnsi="宋体" w:cs="宋体" w:hint="eastAsia"/>
          <w:kern w:val="2"/>
          <w:sz w:val="24"/>
          <w:szCs w:val="24"/>
        </w:rPr>
        <w:t>（六）保密要求：供应商不得将委托服务内容的报告等成果及其相关知识产权泄露给第三方。</w:t>
      </w:r>
    </w:p>
    <w:sectPr w:rsidR="00A97E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7954E"/>
    <w:multiLevelType w:val="singleLevel"/>
    <w:tmpl w:val="8797954E"/>
    <w:lvl w:ilvl="0">
      <w:start w:val="1"/>
      <w:numFmt w:val="decimal"/>
      <w:suff w:val="nothing"/>
      <w:lvlText w:val="%1、"/>
      <w:lvlJc w:val="left"/>
    </w:lvl>
  </w:abstractNum>
  <w:abstractNum w:abstractNumId="1">
    <w:nsid w:val="5EFA79DD"/>
    <w:multiLevelType w:val="multilevel"/>
    <w:tmpl w:val="5EFA79DD"/>
    <w:lvl w:ilvl="0">
      <w:start w:val="3"/>
      <w:numFmt w:val="decimal"/>
      <w:lvlText w:val="（%1）"/>
      <w:lvlJc w:val="left"/>
      <w:pPr>
        <w:ind w:left="1145" w:hanging="7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7DBB1491"/>
    <w:multiLevelType w:val="singleLevel"/>
    <w:tmpl w:val="7DBB1491"/>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zMTc2YjllYmNjOWVlZGU1OGMxNzFkNWZiNzM3NTgifQ=="/>
  </w:docVars>
  <w:rsids>
    <w:rsidRoot w:val="0078678C"/>
    <w:rsid w:val="000129B6"/>
    <w:rsid w:val="00025467"/>
    <w:rsid w:val="0012620E"/>
    <w:rsid w:val="002931EF"/>
    <w:rsid w:val="00364E54"/>
    <w:rsid w:val="0038773B"/>
    <w:rsid w:val="005257A9"/>
    <w:rsid w:val="00697C61"/>
    <w:rsid w:val="006D7BE6"/>
    <w:rsid w:val="0078678C"/>
    <w:rsid w:val="008807FE"/>
    <w:rsid w:val="00886C00"/>
    <w:rsid w:val="008A34F0"/>
    <w:rsid w:val="00930D56"/>
    <w:rsid w:val="00A3432D"/>
    <w:rsid w:val="00A60AB2"/>
    <w:rsid w:val="00A97E6A"/>
    <w:rsid w:val="00AC2CB2"/>
    <w:rsid w:val="00C47987"/>
    <w:rsid w:val="00D12C2B"/>
    <w:rsid w:val="00E00ADB"/>
    <w:rsid w:val="293B2CE0"/>
    <w:rsid w:val="3E597CFB"/>
    <w:rsid w:val="7039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eastAsia="宋体" w:hAnsi="Times New Roman" w:cs="Times New Roman"/>
      <w:sz w:val="3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Char">
    <w:name w:val="正文文本 Char"/>
    <w:basedOn w:val="a1"/>
    <w:link w:val="a0"/>
    <w:uiPriority w:val="99"/>
    <w:qFormat/>
    <w:rPr>
      <w:rFonts w:ascii="宋体" w:eastAsia="宋体" w:hAnsi="Times New Roman" w:cs="Times New Roman"/>
      <w:kern w:val="0"/>
      <w:sz w:val="34"/>
      <w:szCs w:val="20"/>
    </w:rPr>
  </w:style>
  <w:style w:type="paragraph" w:styleId="a6">
    <w:name w:val="List Paragraph"/>
    <w:basedOn w:val="a"/>
    <w:uiPriority w:val="34"/>
    <w:qFormat/>
    <w:pPr>
      <w:ind w:firstLineChars="200" w:firstLine="420"/>
    </w:pPr>
  </w:style>
  <w:style w:type="paragraph" w:styleId="a7">
    <w:name w:val="Revision"/>
    <w:hidden/>
    <w:uiPriority w:val="99"/>
    <w:unhideWhenUsed/>
    <w:rsid w:val="0012620E"/>
    <w:rPr>
      <w:rFonts w:ascii="宋体" w:eastAsia="宋体" w:hAnsi="Times New Roman" w:cs="Times New Roman"/>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Pr>
      <w:rFonts w:ascii="宋体" w:eastAsia="宋体" w:hAnsi="Times New Roman" w:cs="Times New Roman"/>
      <w:sz w:val="3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pPr>
      <w:spacing w:after="120"/>
    </w:pPr>
  </w:style>
  <w:style w:type="paragraph" w:styleId="a4">
    <w:name w:val="footer"/>
    <w:basedOn w:val="a"/>
    <w:link w:val="Char0"/>
    <w:uiPriority w:val="99"/>
    <w:unhideWhenUsed/>
    <w:qFormat/>
    <w:pPr>
      <w:tabs>
        <w:tab w:val="center" w:pos="4153"/>
        <w:tab w:val="right" w:pos="8306"/>
      </w:tabs>
      <w:snapToGrid w:val="0"/>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5"/>
    <w:uiPriority w:val="99"/>
    <w:qFormat/>
    <w:rPr>
      <w:sz w:val="18"/>
      <w:szCs w:val="18"/>
    </w:rPr>
  </w:style>
  <w:style w:type="character" w:customStyle="1" w:styleId="Char0">
    <w:name w:val="页脚 Char"/>
    <w:basedOn w:val="a1"/>
    <w:link w:val="a4"/>
    <w:uiPriority w:val="99"/>
    <w:qFormat/>
    <w:rPr>
      <w:sz w:val="18"/>
      <w:szCs w:val="18"/>
    </w:rPr>
  </w:style>
  <w:style w:type="character" w:customStyle="1" w:styleId="Char">
    <w:name w:val="正文文本 Char"/>
    <w:basedOn w:val="a1"/>
    <w:link w:val="a0"/>
    <w:uiPriority w:val="99"/>
    <w:qFormat/>
    <w:rPr>
      <w:rFonts w:ascii="宋体" w:eastAsia="宋体" w:hAnsi="Times New Roman" w:cs="Times New Roman"/>
      <w:kern w:val="0"/>
      <w:sz w:val="34"/>
      <w:szCs w:val="20"/>
    </w:rPr>
  </w:style>
  <w:style w:type="paragraph" w:styleId="a6">
    <w:name w:val="List Paragraph"/>
    <w:basedOn w:val="a"/>
    <w:uiPriority w:val="34"/>
    <w:qFormat/>
    <w:pPr>
      <w:ind w:firstLineChars="200" w:firstLine="420"/>
    </w:pPr>
  </w:style>
  <w:style w:type="paragraph" w:styleId="a7">
    <w:name w:val="Revision"/>
    <w:hidden/>
    <w:uiPriority w:val="99"/>
    <w:unhideWhenUsed/>
    <w:rsid w:val="0012620E"/>
    <w:rPr>
      <w:rFonts w:ascii="宋体" w:eastAsia="宋体" w:hAnsi="Times New Roman" w:cs="Times New Roman"/>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89980">
      <w:bodyDiv w:val="1"/>
      <w:marLeft w:val="0"/>
      <w:marRight w:val="0"/>
      <w:marTop w:val="0"/>
      <w:marBottom w:val="0"/>
      <w:divBdr>
        <w:top w:val="none" w:sz="0" w:space="0" w:color="auto"/>
        <w:left w:val="none" w:sz="0" w:space="0" w:color="auto"/>
        <w:bottom w:val="none" w:sz="0" w:space="0" w:color="auto"/>
        <w:right w:val="none" w:sz="0" w:space="0" w:color="auto"/>
      </w:divBdr>
    </w:div>
    <w:div w:id="123812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194</Words>
  <Characters>1107</Characters>
  <Application>Microsoft Office Word</Application>
  <DocSecurity>0</DocSecurity>
  <Lines>9</Lines>
  <Paragraphs>2</Paragraphs>
  <ScaleCrop>false</ScaleCrop>
  <Company>微软中国</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Juaner</dc:creator>
  <cp:lastModifiedBy>Administrator</cp:lastModifiedBy>
  <cp:revision>4</cp:revision>
  <dcterms:created xsi:type="dcterms:W3CDTF">2023-08-11T06:59:00Z</dcterms:created>
  <dcterms:modified xsi:type="dcterms:W3CDTF">2024-04-22T03:30:00Z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E1D32F767963480590385A66EEC32BC3_12</vt:lpwstr>
  </property>
</Properties>
</file>