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2"/>
        <w:rPr>
          <w:rFonts w:hint="eastAsia" w:eastAsiaTheme="minorEastAsia"/>
          <w:b/>
          <w:sz w:val="44"/>
          <w:szCs w:val="44"/>
          <w:lang w:eastAsia="zh-CN"/>
        </w:rPr>
      </w:pPr>
      <w:r>
        <w:rPr>
          <w:rFonts w:hint="eastAsia"/>
          <w:b/>
          <w:sz w:val="44"/>
          <w:szCs w:val="44"/>
          <w:lang w:eastAsia="zh-CN"/>
        </w:rPr>
        <w:t>采购需求</w:t>
      </w:r>
    </w:p>
    <w:p>
      <w:pPr>
        <w:pStyle w:val="4"/>
        <w:outlineLvl w:val="2"/>
      </w:pPr>
      <w:r>
        <w:rPr>
          <w:b/>
          <w:sz w:val="28"/>
        </w:rPr>
        <w:t>3.1采购项目概况</w:t>
      </w:r>
    </w:p>
    <w:p>
      <w:pPr>
        <w:pStyle w:val="4"/>
      </w:pPr>
    </w:p>
    <w:p>
      <w:pPr>
        <w:pStyle w:val="4"/>
      </w:pPr>
      <w:r>
        <w:t>根据《土壤污染防治行动计划四川省工作方案》2020年度实施计划要求，“用途变更为住宅、公共管理与公共服务用地的，变更前应当按照相关规定进行土壤污染状况调查。”。</w:t>
      </w:r>
    </w:p>
    <w:p>
      <w:pPr>
        <w:pStyle w:val="4"/>
        <w:outlineLvl w:val="2"/>
      </w:pPr>
      <w:r>
        <w:rPr>
          <w:b/>
          <w:sz w:val="28"/>
        </w:rPr>
        <w:t>3.2服务内容及服务要求</w:t>
      </w:r>
    </w:p>
    <w:p>
      <w:pPr>
        <w:pStyle w:val="4"/>
        <w:outlineLvl w:val="3"/>
      </w:pPr>
      <w:r>
        <w:rPr>
          <w:b/>
          <w:sz w:val="24"/>
        </w:rPr>
        <w:t>3.2.1服务内容</w:t>
      </w:r>
    </w:p>
    <w:p>
      <w:pPr>
        <w:pStyle w:val="4"/>
      </w:pPr>
    </w:p>
    <w:p>
      <w:pPr>
        <w:pStyle w:val="4"/>
      </w:pPr>
      <w:r>
        <w:t>采购包1：</w:t>
      </w:r>
    </w:p>
    <w:p>
      <w:pPr>
        <w:pStyle w:val="4"/>
      </w:pPr>
      <w:r>
        <w:t>采购包预算金额（元）: 968,000.00</w:t>
      </w:r>
    </w:p>
    <w:p>
      <w:pPr>
        <w:pStyle w:val="4"/>
      </w:pPr>
      <w:r>
        <w:t>采购包最高限价（元）: 968,000.00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成都市新津区2024年拟开展土壤污染状况初步调查</w:t>
            </w:r>
          </w:p>
        </w:tc>
        <w:tc>
          <w:tcPr>
            <w:tcW w:w="848" w:type="dxa"/>
          </w:tcPr>
          <w:p>
            <w:pPr>
              <w:pStyle w:val="4"/>
              <w:jc w:val="right"/>
            </w:pPr>
            <w:r>
              <w:t>11.00</w:t>
            </w:r>
          </w:p>
        </w:tc>
        <w:tc>
          <w:tcPr>
            <w:tcW w:w="1356" w:type="dxa"/>
          </w:tcPr>
          <w:p>
            <w:pPr>
              <w:pStyle w:val="4"/>
              <w:jc w:val="right"/>
            </w:pPr>
            <w:r>
              <w:t>968,000.00</w:t>
            </w:r>
          </w:p>
        </w:tc>
        <w:tc>
          <w:tcPr>
            <w:tcW w:w="678" w:type="dxa"/>
          </w:tcPr>
          <w:p>
            <w:pPr>
              <w:pStyle w:val="4"/>
            </w:pPr>
            <w:r>
              <w:t>个</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r>
        <w:t>采购包1：</w:t>
      </w:r>
    </w:p>
    <w:p>
      <w:pPr>
        <w:pStyle w:val="4"/>
      </w:pPr>
      <w:r>
        <w:t>标的名称：成都市新津区2024年拟开展土壤污染状况初步调查</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43"/>
        <w:gridCol w:w="768"/>
        <w:gridCol w:w="66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3" w:type="dxa"/>
          </w:tcPr>
          <w:p>
            <w:pPr>
              <w:pStyle w:val="4"/>
            </w:pPr>
            <w:r>
              <w:t xml:space="preserve"> 参数性质</w:t>
            </w:r>
          </w:p>
        </w:tc>
        <w:tc>
          <w:tcPr>
            <w:tcW w:w="768" w:type="dxa"/>
          </w:tcPr>
          <w:p>
            <w:pPr>
              <w:pStyle w:val="4"/>
            </w:pPr>
            <w:r>
              <w:t xml:space="preserve"> 序号</w:t>
            </w:r>
          </w:p>
        </w:tc>
        <w:tc>
          <w:tcPr>
            <w:tcW w:w="6611"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3" w:type="dxa"/>
          </w:tcPr>
          <w:p>
            <w:pPr>
              <w:pStyle w:val="4"/>
            </w:pPr>
            <w:r>
              <w:t>★</w:t>
            </w:r>
          </w:p>
        </w:tc>
        <w:tc>
          <w:tcPr>
            <w:tcW w:w="768" w:type="dxa"/>
          </w:tcPr>
          <w:p>
            <w:pPr>
              <w:pStyle w:val="4"/>
            </w:pPr>
            <w:r>
              <w:t>1</w:t>
            </w:r>
          </w:p>
        </w:tc>
        <w:tc>
          <w:tcPr>
            <w:tcW w:w="6611" w:type="dxa"/>
          </w:tcPr>
          <w:p>
            <w:pPr>
              <w:pStyle w:val="4"/>
              <w:ind w:firstLine="552"/>
              <w:jc w:val="both"/>
            </w:pPr>
            <w:r>
              <w:rPr>
                <w:rFonts w:ascii="宋体" w:hAnsi="宋体" w:eastAsia="宋体" w:cs="宋体"/>
                <w:sz w:val="21"/>
              </w:rPr>
              <w:t>1.成都市新津区2024年拟开展土壤污染状况初步调查清单如下：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01"/>
              <w:gridCol w:w="1413"/>
              <w:gridCol w:w="837"/>
              <w:gridCol w:w="1225"/>
              <w:gridCol w:w="763"/>
              <w:gridCol w:w="151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251" w:type="dxa"/>
                  <w:gridSpan w:val="6"/>
                  <w:tcBorders>
                    <w:top w:val="single" w:color="000000" w:sz="8" w:space="0"/>
                    <w:left w:val="single" w:color="000000" w:sz="8" w:space="0"/>
                    <w:bottom w:val="single" w:color="000000" w:sz="4" w:space="0"/>
                    <w:right w:val="single" w:color="000000" w:sz="8" w:space="0"/>
                  </w:tcBorders>
                  <w:tcMar>
                    <w:top w:w="0" w:type="dxa"/>
                    <w:left w:w="105" w:type="dxa"/>
                    <w:bottom w:w="0" w:type="dxa"/>
                    <w:right w:w="105" w:type="dxa"/>
                  </w:tcMar>
                  <w:vAlign w:val="top"/>
                </w:tcPr>
                <w:p>
                  <w:pPr>
                    <w:pStyle w:val="4"/>
                    <w:jc w:val="center"/>
                  </w:pPr>
                  <w:r>
                    <w:rPr>
                      <w:rFonts w:ascii="宋体" w:hAnsi="宋体" w:eastAsia="宋体" w:cs="宋体"/>
                      <w:b/>
                      <w:sz w:val="21"/>
                    </w:rPr>
                    <w:t>成都市新津区2024年拟开展土壤污染状况初步调查清单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序号</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区域</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面积（亩）</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位置</w:t>
                  </w:r>
                </w:p>
              </w:tc>
              <w:tc>
                <w:tcPr>
                  <w:tcW w:w="76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单价</w:t>
                  </w:r>
                </w:p>
              </w:tc>
              <w:tc>
                <w:tcPr>
                  <w:tcW w:w="1512"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4"/>
                    <w:jc w:val="center"/>
                  </w:pPr>
                  <w:r>
                    <w:rPr>
                      <w:rFonts w:ascii="宋体" w:hAnsi="宋体" w:eastAsia="宋体" w:cs="宋体"/>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新津站TOD片区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31.96</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花源街道杨柳村（TOD30#)</w:t>
                  </w:r>
                </w:p>
              </w:tc>
              <w:tc>
                <w:tcPr>
                  <w:tcW w:w="763"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88000元/个地块</w:t>
                  </w:r>
                </w:p>
              </w:tc>
              <w:tc>
                <w:tcPr>
                  <w:tcW w:w="1512" w:type="dxa"/>
                  <w:vMerge w:val="restart"/>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4"/>
                    <w:jc w:val="center"/>
                  </w:pPr>
                  <w:r>
                    <w:rPr>
                      <w:rFonts w:ascii="宋体" w:hAnsi="宋体" w:eastAsia="宋体" w:cs="宋体"/>
                      <w:sz w:val="21"/>
                    </w:rPr>
                    <w:t>在项目实施过程中，采购人可根据实际区域地块做调整，但执行单价价格标准不变，且不能超过总预算金额。</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牧马山片区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114.24</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普兴街道顺河村、前锋村</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牧马山片区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67.12</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普兴街道顺河村、前锋村</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牧马山片区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97.89</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花源街道白云村</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五津长岛片区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32.87</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五津街道城北社区</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五津长岛片区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48.34</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五津街道城北社区</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7</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五津街道红石片区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25.46</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五津街道红石社区</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8</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五津街道红石片区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64.27</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五津街道红石社区</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9</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五津街道红石片区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98.80</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五津街道红石社区（龙王渡东侧，兴园</w:t>
                  </w:r>
                  <w:r>
                    <w:rPr>
                      <w:rFonts w:ascii="宋体" w:hAnsi="宋体" w:eastAsia="宋体" w:cs="宋体"/>
                      <w:color w:val="000000"/>
                      <w:sz w:val="21"/>
                    </w:rPr>
                    <w:t>1</w:t>
                  </w:r>
                  <w:r>
                    <w:rPr>
                      <w:rFonts w:ascii="宋体" w:hAnsi="宋体" w:eastAsia="宋体" w:cs="宋体"/>
                      <w:color w:val="333333"/>
                      <w:sz w:val="21"/>
                    </w:rPr>
                    <w:t>路西侧）</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141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普兴泡小片区</w:t>
                  </w:r>
                </w:p>
              </w:tc>
              <w:tc>
                <w:tcPr>
                  <w:tcW w:w="8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83.31</w:t>
                  </w:r>
                </w:p>
              </w:tc>
              <w:tc>
                <w:tcPr>
                  <w:tcW w:w="1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普兴街道骑龙社区</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1" w:type="dxa"/>
                  <w:tcBorders>
                    <w:top w:val="single" w:color="000000" w:sz="4" w:space="0"/>
                    <w:left w:val="single" w:color="000000" w:sz="8" w:space="0"/>
                    <w:bottom w:val="single" w:color="000000" w:sz="8"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11</w:t>
                  </w:r>
                </w:p>
              </w:tc>
              <w:tc>
                <w:tcPr>
                  <w:tcW w:w="1413" w:type="dxa"/>
                  <w:tcBorders>
                    <w:top w:val="single" w:color="000000" w:sz="4" w:space="0"/>
                    <w:left w:val="single" w:color="000000" w:sz="4" w:space="0"/>
                    <w:bottom w:val="single" w:color="000000" w:sz="8"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普兴泡小片区</w:t>
                  </w:r>
                </w:p>
              </w:tc>
              <w:tc>
                <w:tcPr>
                  <w:tcW w:w="837" w:type="dxa"/>
                  <w:tcBorders>
                    <w:top w:val="single" w:color="000000" w:sz="4" w:space="0"/>
                    <w:left w:val="single" w:color="000000" w:sz="4" w:space="0"/>
                    <w:bottom w:val="single" w:color="000000" w:sz="8"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99.43</w:t>
                  </w:r>
                </w:p>
              </w:tc>
              <w:tc>
                <w:tcPr>
                  <w:tcW w:w="1225" w:type="dxa"/>
                  <w:tcBorders>
                    <w:top w:val="single" w:color="000000" w:sz="4" w:space="0"/>
                    <w:left w:val="single" w:color="000000" w:sz="4" w:space="0"/>
                    <w:bottom w:val="single" w:color="000000" w:sz="8"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333333"/>
                      <w:sz w:val="21"/>
                    </w:rPr>
                    <w:t>普兴街道骑龙社区</w:t>
                  </w:r>
                </w:p>
              </w:tc>
              <w:tc>
                <w:tcPr>
                  <w:tcW w:w="763" w:type="dxa"/>
                  <w:vMerge w:val="continue"/>
                  <w:tcBorders>
                    <w:top w:val="single" w:color="000000" w:sz="4" w:space="0"/>
                    <w:left w:val="single" w:color="000000" w:sz="4" w:space="0"/>
                    <w:bottom w:val="single" w:color="000000" w:sz="4" w:space="0"/>
                    <w:right w:val="single" w:color="000000" w:sz="4" w:space="0"/>
                  </w:tcBorders>
                </w:tcPr>
                <w:p/>
              </w:tc>
              <w:tc>
                <w:tcPr>
                  <w:tcW w:w="1512" w:type="dxa"/>
                  <w:vMerge w:val="continue"/>
                  <w:tcBorders>
                    <w:top w:val="single" w:color="000000" w:sz="4" w:space="0"/>
                    <w:left w:val="single" w:color="000000" w:sz="4" w:space="0"/>
                    <w:bottom w:val="single" w:color="000000" w:sz="4" w:space="0"/>
                    <w:right w:val="single" w:color="000000" w:sz="8" w:space="0"/>
                  </w:tcBorders>
                </w:tcPr>
                <w:p/>
              </w:tc>
            </w:tr>
          </w:tbl>
          <w:p>
            <w:pPr>
              <w:pStyle w:val="4"/>
              <w:jc w:val="both"/>
            </w:pPr>
            <w:r>
              <w:rPr>
                <w:rFonts w:ascii="宋体" w:hAnsi="宋体" w:eastAsia="宋体" w:cs="宋体"/>
                <w:sz w:val="21"/>
              </w:rPr>
              <w:t>2.技术依据：</w:t>
            </w:r>
          </w:p>
          <w:p>
            <w:pPr>
              <w:pStyle w:val="4"/>
              <w:ind w:firstLine="552"/>
              <w:jc w:val="both"/>
            </w:pPr>
            <w:r>
              <w:rPr>
                <w:rFonts w:ascii="宋体" w:hAnsi="宋体" w:eastAsia="宋体" w:cs="宋体"/>
                <w:sz w:val="21"/>
              </w:rPr>
              <w:t>（1）《中华人民共和国土壤污染防治法》（2018年8月31日发布，2019年1月1日实施）；</w:t>
            </w:r>
          </w:p>
          <w:p>
            <w:pPr>
              <w:pStyle w:val="4"/>
              <w:ind w:firstLine="552"/>
              <w:jc w:val="both"/>
            </w:pPr>
            <w:r>
              <w:rPr>
                <w:rFonts w:ascii="宋体" w:hAnsi="宋体" w:eastAsia="宋体" w:cs="宋体"/>
                <w:sz w:val="21"/>
              </w:rPr>
              <w:t>（2）《土壤污染防治行动计划》（国发〔2016〕31号）；</w:t>
            </w:r>
          </w:p>
          <w:p>
            <w:pPr>
              <w:pStyle w:val="4"/>
              <w:ind w:firstLine="552"/>
              <w:jc w:val="both"/>
            </w:pPr>
            <w:r>
              <w:rPr>
                <w:rFonts w:ascii="宋体" w:hAnsi="宋体" w:eastAsia="宋体" w:cs="宋体"/>
                <w:sz w:val="21"/>
              </w:rPr>
              <w:t>（3）《2019年度成都市土壤污染防治工作实施方案》（成污防“三大战役”领〔2019〕1号）；</w:t>
            </w:r>
          </w:p>
          <w:p>
            <w:pPr>
              <w:pStyle w:val="4"/>
              <w:ind w:firstLine="552"/>
              <w:jc w:val="both"/>
            </w:pPr>
            <w:r>
              <w:rPr>
                <w:rFonts w:ascii="宋体" w:hAnsi="宋体" w:eastAsia="宋体" w:cs="宋体"/>
                <w:sz w:val="21"/>
              </w:rPr>
              <w:t>（4）《污染地块土壤环境管理办法（试行）》 （环境保护部令[2016] 第42号）；</w:t>
            </w:r>
          </w:p>
          <w:p>
            <w:pPr>
              <w:pStyle w:val="4"/>
              <w:ind w:firstLine="552"/>
              <w:jc w:val="both"/>
            </w:pPr>
            <w:r>
              <w:rPr>
                <w:rFonts w:ascii="宋体" w:hAnsi="宋体" w:eastAsia="宋体" w:cs="宋体"/>
                <w:sz w:val="21"/>
              </w:rPr>
              <w:t>（5）关于印发《&lt;土壤污染防治行动计划四川省工作方案&gt;2020年度实施计划》的通知；</w:t>
            </w:r>
          </w:p>
          <w:p>
            <w:pPr>
              <w:pStyle w:val="4"/>
              <w:ind w:firstLine="552"/>
              <w:jc w:val="both"/>
            </w:pPr>
            <w:r>
              <w:rPr>
                <w:rFonts w:ascii="宋体" w:hAnsi="宋体" w:eastAsia="宋体" w:cs="宋体"/>
                <w:sz w:val="21"/>
              </w:rPr>
              <w:t>（6）《环保部关于加强工业企业关停、搬迁及原场址地再开发利用过程中污染防治工作的通知》（环发[2014] 66号），2014年5月14日；</w:t>
            </w:r>
          </w:p>
          <w:p>
            <w:pPr>
              <w:pStyle w:val="4"/>
              <w:ind w:firstLine="552"/>
              <w:jc w:val="both"/>
            </w:pPr>
            <w:r>
              <w:rPr>
                <w:rFonts w:ascii="宋体" w:hAnsi="宋体" w:eastAsia="宋体" w:cs="宋体"/>
                <w:sz w:val="21"/>
              </w:rPr>
              <w:t>（7）《建设用地土壤污染状况调查技术导则》（HJ25.1-2019）；</w:t>
            </w:r>
          </w:p>
          <w:p>
            <w:pPr>
              <w:pStyle w:val="4"/>
              <w:ind w:firstLine="552"/>
              <w:jc w:val="both"/>
            </w:pPr>
            <w:r>
              <w:rPr>
                <w:rFonts w:ascii="宋体" w:hAnsi="宋体" w:eastAsia="宋体" w:cs="宋体"/>
                <w:sz w:val="21"/>
              </w:rPr>
              <w:t>（8）《建设用地土壤污染风险管控和修复监测技术导则》（HJ25.2-2019）；</w:t>
            </w:r>
          </w:p>
          <w:p>
            <w:pPr>
              <w:pStyle w:val="4"/>
              <w:ind w:firstLine="552"/>
              <w:jc w:val="both"/>
            </w:pPr>
            <w:r>
              <w:rPr>
                <w:rFonts w:ascii="宋体" w:hAnsi="宋体" w:eastAsia="宋体" w:cs="宋体"/>
                <w:sz w:val="21"/>
              </w:rPr>
              <w:t>（9）《建设用地土壤污染风险评估技术导则》（HJ25.3-2019）；</w:t>
            </w:r>
          </w:p>
          <w:p>
            <w:pPr>
              <w:pStyle w:val="4"/>
              <w:ind w:firstLine="552"/>
              <w:jc w:val="both"/>
            </w:pPr>
            <w:r>
              <w:rPr>
                <w:rFonts w:ascii="宋体" w:hAnsi="宋体" w:eastAsia="宋体" w:cs="宋体"/>
                <w:sz w:val="21"/>
              </w:rPr>
              <w:t>（10）《建设用地土壤修复技术导则》（HJ25.4-2019）；</w:t>
            </w:r>
          </w:p>
          <w:p>
            <w:pPr>
              <w:pStyle w:val="4"/>
              <w:ind w:firstLine="552"/>
              <w:jc w:val="both"/>
            </w:pPr>
            <w:r>
              <w:rPr>
                <w:rFonts w:ascii="宋体" w:hAnsi="宋体" w:eastAsia="宋体" w:cs="宋体"/>
                <w:sz w:val="21"/>
              </w:rPr>
              <w:t>（11）《建设用地土壤环境调查评估技术指南》（环境保护部公告 2017年 第72号）；</w:t>
            </w:r>
          </w:p>
          <w:p>
            <w:pPr>
              <w:pStyle w:val="4"/>
              <w:ind w:firstLine="552"/>
              <w:jc w:val="both"/>
            </w:pPr>
            <w:r>
              <w:rPr>
                <w:rFonts w:ascii="宋体" w:hAnsi="宋体" w:eastAsia="宋体" w:cs="宋体"/>
                <w:sz w:val="21"/>
              </w:rPr>
              <w:t>（12）《土壤环境质量建设用地土壤污染风险管控标准（试行）》</w:t>
            </w:r>
          </w:p>
          <w:p>
            <w:pPr>
              <w:pStyle w:val="4"/>
              <w:jc w:val="both"/>
            </w:pPr>
            <w:r>
              <w:rPr>
                <w:rFonts w:ascii="宋体" w:hAnsi="宋体" w:eastAsia="宋体" w:cs="宋体"/>
                <w:sz w:val="21"/>
              </w:rPr>
              <w:t>（GB36600-2018）；</w:t>
            </w:r>
          </w:p>
          <w:p>
            <w:pPr>
              <w:pStyle w:val="4"/>
              <w:ind w:firstLine="552"/>
              <w:jc w:val="both"/>
            </w:pPr>
            <w:r>
              <w:rPr>
                <w:rFonts w:ascii="宋体" w:hAnsi="宋体" w:eastAsia="宋体" w:cs="宋体"/>
                <w:sz w:val="21"/>
              </w:rPr>
              <w:t>（13）《地下水质量标准》（GB/T14848-2017）；</w:t>
            </w:r>
          </w:p>
          <w:p>
            <w:pPr>
              <w:pStyle w:val="4"/>
              <w:ind w:firstLine="453"/>
              <w:jc w:val="both"/>
            </w:pPr>
            <w:r>
              <w:rPr>
                <w:rFonts w:ascii="宋体" w:hAnsi="宋体" w:eastAsia="宋体" w:cs="宋体"/>
                <w:sz w:val="21"/>
              </w:rPr>
              <w:t>（14）《危险废物鉴别标准通则》（GB5085.7-2019）；</w:t>
            </w:r>
          </w:p>
          <w:p>
            <w:pPr>
              <w:pStyle w:val="4"/>
              <w:ind w:firstLine="453"/>
              <w:jc w:val="both"/>
            </w:pPr>
            <w:r>
              <w:rPr>
                <w:rFonts w:ascii="宋体" w:hAnsi="宋体" w:eastAsia="宋体" w:cs="宋体"/>
                <w:sz w:val="21"/>
              </w:rPr>
              <w:t>（15）《建设用地土壤污染状况调查、风险评估、风险管控及修复效果评估报告评审指南》（环办土壤[2019]63 号）。</w:t>
            </w:r>
          </w:p>
          <w:p>
            <w:pPr>
              <w:pStyle w:val="4"/>
              <w:jc w:val="both"/>
            </w:pPr>
            <w:r>
              <w:rPr>
                <w:rFonts w:ascii="宋体" w:hAnsi="宋体" w:eastAsia="宋体" w:cs="宋体"/>
                <w:sz w:val="21"/>
              </w:rPr>
              <w:t>注：上述的相关技术标准如国家有出台新的更高标准的，以新的更高标准为准。</w:t>
            </w:r>
          </w:p>
          <w:p>
            <w:pPr>
              <w:pStyle w:val="4"/>
              <w:jc w:val="both"/>
            </w:pPr>
            <w:r>
              <w:rPr>
                <w:rFonts w:ascii="宋体" w:hAnsi="宋体" w:eastAsia="宋体" w:cs="宋体"/>
                <w:sz w:val="21"/>
              </w:rPr>
              <w:t>3.服务内容要求</w:t>
            </w:r>
          </w:p>
          <w:p>
            <w:pPr>
              <w:pStyle w:val="4"/>
              <w:ind w:firstLine="552"/>
              <w:jc w:val="both"/>
            </w:pPr>
            <w:r>
              <w:rPr>
                <w:rFonts w:ascii="宋体" w:hAnsi="宋体" w:eastAsia="宋体" w:cs="宋体"/>
                <w:sz w:val="21"/>
              </w:rPr>
              <w:t>（1）按照相关技术标准、规范、导则等，对地块开展现场调查、人员访谈及资料收集与分析，制定地块土壤污染状况调查实施方案，并进行现场采样，根据检测分析结果及地块实际情况，编制土壤污染状况调查报告。</w:t>
            </w:r>
          </w:p>
          <w:p>
            <w:pPr>
              <w:pStyle w:val="4"/>
              <w:jc w:val="both"/>
            </w:pPr>
            <w:r>
              <w:rPr>
                <w:rFonts w:ascii="宋体" w:hAnsi="宋体" w:eastAsia="宋体" w:cs="宋体"/>
                <w:sz w:val="21"/>
              </w:rPr>
              <w:t xml:space="preserve">   （2）报价应是能够完成单个地块的全部服务工作并能通过相关部门验收的费用总价，包括现场勘查、设备租赁、采样、专家评审费、人工交通、会务、税费等实施本项目所涉及的所有费用，投标人不得再以任何原因要求增加费用。</w:t>
            </w:r>
          </w:p>
        </w:tc>
      </w:tr>
    </w:tbl>
    <w:p>
      <w:pPr>
        <w:pStyle w:val="4"/>
        <w:outlineLvl w:val="3"/>
      </w:pPr>
      <w:r>
        <w:rPr>
          <w:b/>
          <w:sz w:val="24"/>
        </w:rPr>
        <w:t>3.2.3人员配置要求</w:t>
      </w:r>
    </w:p>
    <w:p>
      <w:pPr>
        <w:pStyle w:val="4"/>
      </w:pPr>
    </w:p>
    <w:p>
      <w:pPr>
        <w:pStyle w:val="4"/>
      </w:pPr>
      <w:r>
        <w:t>采购包1：</w:t>
      </w:r>
    </w:p>
    <w:p>
      <w:pPr>
        <w:pStyle w:val="4"/>
      </w:pPr>
      <w:r>
        <w:t>供应商结合本项目实际情况配置服务团队人员。</w:t>
      </w:r>
    </w:p>
    <w:p>
      <w:pPr>
        <w:pStyle w:val="4"/>
        <w:outlineLvl w:val="3"/>
      </w:pPr>
      <w:r>
        <w:rPr>
          <w:b/>
          <w:sz w:val="24"/>
        </w:rPr>
        <w:t>3.2.4设施设备配置要求</w:t>
      </w:r>
    </w:p>
    <w:p>
      <w:pPr>
        <w:pStyle w:val="4"/>
      </w:pPr>
    </w:p>
    <w:p>
      <w:pPr>
        <w:pStyle w:val="4"/>
      </w:pPr>
      <w:r>
        <w:t>采购包1：</w:t>
      </w:r>
    </w:p>
    <w:p>
      <w:pPr>
        <w:pStyle w:val="4"/>
      </w:pPr>
      <w:r>
        <w:t>供应商结合本项目实际情况配置设施设备。</w:t>
      </w:r>
    </w:p>
    <w:p>
      <w:pPr>
        <w:pStyle w:val="4"/>
        <w:outlineLvl w:val="3"/>
      </w:pPr>
      <w:r>
        <w:rPr>
          <w:b/>
          <w:sz w:val="24"/>
        </w:rPr>
        <w:t>3.2.5其他要求</w:t>
      </w: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r>
        <w:t>采购包1：</w:t>
      </w:r>
    </w:p>
    <w:p>
      <w:pPr>
        <w:pStyle w:val="4"/>
      </w:pPr>
      <w:r>
        <w:t>成都市新津区，具体地点由采购人指定。</w:t>
      </w:r>
    </w:p>
    <w:p>
      <w:pPr>
        <w:pStyle w:val="4"/>
        <w:outlineLvl w:val="3"/>
      </w:pPr>
      <w:r>
        <w:rPr>
          <w:b/>
          <w:sz w:val="24"/>
        </w:rPr>
        <w:t>3.3.3考核（验收）标准和方法</w:t>
      </w:r>
    </w:p>
    <w:p>
      <w:pPr>
        <w:pStyle w:val="4"/>
      </w:pPr>
    </w:p>
    <w:p>
      <w:pPr>
        <w:pStyle w:val="4"/>
      </w:pPr>
      <w:r>
        <w:t>采购包1：</w:t>
      </w:r>
    </w:p>
    <w:p>
      <w:pPr>
        <w:pStyle w:val="4"/>
      </w:pPr>
      <w:r>
        <w:t>①验收主体：由采购人自行组织对项目进行验收。 ②采购人在接到投标人申请通知后的10个日历天内组织验收；投标人按照验收要求提交相关验收资料。 ③验收标准：按国家有关规定以及招标文件的要求、投标人的投标文件与项目合同约定标准进行验收。 ④严格国家相关法律法规以及《财政部关于印发〈政府采购需求管理办法〉的通知》（财库〔2021〕22 号）等规定进行验收。</w:t>
      </w:r>
    </w:p>
    <w:p>
      <w:pPr>
        <w:pStyle w:val="4"/>
        <w:outlineLvl w:val="3"/>
      </w:pPr>
      <w:r>
        <w:rPr>
          <w:b/>
          <w:sz w:val="24"/>
        </w:rPr>
        <w:t>3.3.4支付方式</w:t>
      </w: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9.00%。</w:t>
      </w:r>
    </w:p>
    <w:p>
      <w:pPr>
        <w:pStyle w:val="4"/>
      </w:pPr>
      <w:r>
        <w:t>采购包1： 付款条件说明： 根据单个地块据实结算。投标人完成单个地块的土壤污染状况初步调查、通过环保主管部门评审并经采购人履约验收合格后，采购人在收到投标人出具的有效发票凭证后10个工作日内 ，达到付款条件起 10 日内，支付合同总金额的 10.00%。</w:t>
      </w:r>
    </w:p>
    <w:p>
      <w:pPr>
        <w:pStyle w:val="4"/>
        <w:outlineLvl w:val="3"/>
      </w:pPr>
      <w:r>
        <w:rPr>
          <w:b/>
          <w:sz w:val="24"/>
        </w:rPr>
        <w:t>3.3.6违约责任与解决争议的方法</w:t>
      </w:r>
    </w:p>
    <w:p>
      <w:pPr>
        <w:pStyle w:val="4"/>
      </w:pPr>
    </w:p>
    <w:p>
      <w:pPr>
        <w:pStyle w:val="4"/>
      </w:pPr>
      <w:r>
        <w:t>采购包1：</w:t>
      </w:r>
    </w:p>
    <w:p>
      <w:pPr>
        <w:pStyle w:val="4"/>
      </w:pPr>
      <w:r>
        <w:t>违约责任 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解决合同纠纷的方式 1.在执行本合同中发生的或与本合同有关的争端，双方应通过友好协商解决，经协商在30天内不能达成协议时，应提交成都仲裁委员会仲裁。 2.仲裁裁决应为最终决定，并对双方具有约束力。 3.除另有裁决外，仲裁费应由败诉方负担。 4.在仲裁期间，除正在进行仲裁部分外，合同其他部分继续执行。</w:t>
      </w:r>
    </w:p>
    <w:p>
      <w:pPr>
        <w:pStyle w:val="4"/>
        <w:jc w:val="left"/>
        <w:outlineLvl w:val="2"/>
      </w:pPr>
      <w:r>
        <w:rPr>
          <w:b/>
          <w:sz w:val="28"/>
        </w:rPr>
        <w:t>3.4其他要求</w:t>
      </w:r>
    </w:p>
    <w:p>
      <w:pPr>
        <w:pStyle w:val="4"/>
      </w:pPr>
      <w:bookmarkStart w:id="0" w:name="_GoBack"/>
      <w:bookmarkEnd w:id="0"/>
      <w:r>
        <w:t>因系统无法据实调整，供应商须承诺在签订合同时依照：“（1）服务期限：签订合同后的1年内完成所有服务内容。（2）根据单个地块据实结算。投标人完成单个地块的土壤污染状况初步调查、通过环保主管部门评审并经采购人履约验收合格后，采购人在收到投标人出具的有效发票凭证后10个工作日内进行付款。”执行。（注：本条内容与商务要求如有冲突，供应商均应响应，以本条内容为准。）</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N2Q0YTliYmY0NTM0OTk0NThhZWFkZTNjOGUzODUifQ=="/>
  </w:docVars>
  <w:rsids>
    <w:rsidRoot w:val="4141558D"/>
    <w:rsid w:val="4141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2024-04-22T02:59:00Z</dcterms:created>
  <dc:creator>Administrator</dc:creator>
  <cp:lastModifiedBy>Administrator</cp:lastModifiedBy>
  <dcterms:modified xsi:type="dcterms:W3CDTF">2024-04-22T03:06:07Z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891FF5A954724A92A95C3978ED6F4455_11</vt:lpwstr>
  </property>
</Properties>
</file>