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本项目包括三间网络教室、教师用电脑及LED系统设备</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4,953,315.00</w:t>
      </w:r>
    </w:p>
    <w:p>
      <w:pPr>
        <w:pStyle w:val="4"/>
      </w:pPr>
      <w:r>
        <w:t>采购包最高限价（元）: 4,953,314.00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LED显示屏2</w:t>
            </w:r>
          </w:p>
        </w:tc>
        <w:tc>
          <w:tcPr>
            <w:tcW w:w="848" w:type="dxa"/>
          </w:tcPr>
          <w:p>
            <w:pPr>
              <w:pStyle w:val="4"/>
              <w:jc w:val="right"/>
            </w:pPr>
            <w:r>
              <w:t>14.75</w:t>
            </w:r>
          </w:p>
        </w:tc>
        <w:tc>
          <w:tcPr>
            <w:tcW w:w="1356" w:type="dxa"/>
          </w:tcPr>
          <w:p>
            <w:pPr>
              <w:pStyle w:val="4"/>
              <w:jc w:val="right"/>
            </w:pPr>
            <w:r>
              <w:t>119,475.00</w:t>
            </w:r>
          </w:p>
        </w:tc>
        <w:tc>
          <w:tcPr>
            <w:tcW w:w="678" w:type="dxa"/>
          </w:tcPr>
          <w:p>
            <w:pPr>
              <w:pStyle w:val="4"/>
            </w:pPr>
            <w:r>
              <w:t>平方米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便携式计算机</w:t>
            </w:r>
          </w:p>
        </w:tc>
        <w:tc>
          <w:tcPr>
            <w:tcW w:w="848" w:type="dxa"/>
          </w:tcPr>
          <w:p>
            <w:pPr>
              <w:pStyle w:val="4"/>
              <w:jc w:val="right"/>
            </w:pPr>
            <w:r>
              <w:t>11.00</w:t>
            </w:r>
          </w:p>
        </w:tc>
        <w:tc>
          <w:tcPr>
            <w:tcW w:w="1356" w:type="dxa"/>
          </w:tcPr>
          <w:p>
            <w:pPr>
              <w:pStyle w:val="4"/>
              <w:jc w:val="right"/>
            </w:pPr>
            <w:r>
              <w:t>55,000.00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网络机柜</w:t>
            </w:r>
          </w:p>
        </w:tc>
        <w:tc>
          <w:tcPr>
            <w:tcW w:w="848" w:type="dxa"/>
          </w:tcPr>
          <w:p>
            <w:pPr>
              <w:pStyle w:val="4"/>
              <w:jc w:val="right"/>
            </w:pPr>
            <w:r>
              <w:t>3.00</w:t>
            </w:r>
          </w:p>
        </w:tc>
        <w:tc>
          <w:tcPr>
            <w:tcW w:w="1356" w:type="dxa"/>
          </w:tcPr>
          <w:p>
            <w:pPr>
              <w:pStyle w:val="4"/>
              <w:jc w:val="right"/>
            </w:pPr>
            <w:r>
              <w:t>4,200.00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显示器</w:t>
            </w:r>
          </w:p>
        </w:tc>
        <w:tc>
          <w:tcPr>
            <w:tcW w:w="848" w:type="dxa"/>
          </w:tcPr>
          <w:p>
            <w:pPr>
              <w:pStyle w:val="4"/>
              <w:jc w:val="right"/>
            </w:pPr>
            <w:r>
              <w:t>153.00</w:t>
            </w:r>
          </w:p>
        </w:tc>
        <w:tc>
          <w:tcPr>
            <w:tcW w:w="1356" w:type="dxa"/>
          </w:tcPr>
          <w:p>
            <w:pPr>
              <w:pStyle w:val="4"/>
              <w:jc w:val="right"/>
            </w:pPr>
            <w:r>
              <w:t>105,570.00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台式电脑（办公）</w:t>
            </w:r>
          </w:p>
        </w:tc>
        <w:tc>
          <w:tcPr>
            <w:tcW w:w="848" w:type="dxa"/>
          </w:tcPr>
          <w:p>
            <w:pPr>
              <w:pStyle w:val="4"/>
              <w:jc w:val="right"/>
            </w:pPr>
            <w:r>
              <w:t>483.00</w:t>
            </w:r>
          </w:p>
        </w:tc>
        <w:tc>
          <w:tcPr>
            <w:tcW w:w="1356" w:type="dxa"/>
          </w:tcPr>
          <w:p>
            <w:pPr>
              <w:pStyle w:val="4"/>
              <w:jc w:val="right"/>
            </w:pPr>
            <w:r>
              <w:t>2,415,000.00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LED显示屏1</w:t>
            </w:r>
          </w:p>
        </w:tc>
        <w:tc>
          <w:tcPr>
            <w:tcW w:w="848" w:type="dxa"/>
          </w:tcPr>
          <w:p>
            <w:pPr>
              <w:pStyle w:val="4"/>
              <w:jc w:val="right"/>
            </w:pPr>
            <w:r>
              <w:t>25.81</w:t>
            </w:r>
          </w:p>
        </w:tc>
        <w:tc>
          <w:tcPr>
            <w:tcW w:w="1356" w:type="dxa"/>
          </w:tcPr>
          <w:p>
            <w:pPr>
              <w:pStyle w:val="4"/>
              <w:jc w:val="right"/>
            </w:pPr>
            <w:r>
              <w:t>188,413.00</w:t>
            </w:r>
          </w:p>
        </w:tc>
        <w:tc>
          <w:tcPr>
            <w:tcW w:w="678" w:type="dxa"/>
          </w:tcPr>
          <w:p>
            <w:pPr>
              <w:pStyle w:val="4"/>
            </w:pPr>
            <w:r>
              <w:t>平方米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接入交换机</w:t>
            </w:r>
          </w:p>
        </w:tc>
        <w:tc>
          <w:tcPr>
            <w:tcW w:w="848" w:type="dxa"/>
          </w:tcPr>
          <w:p>
            <w:pPr>
              <w:pStyle w:val="4"/>
              <w:jc w:val="right"/>
            </w:pPr>
            <w:r>
              <w:t>9.00</w:t>
            </w:r>
          </w:p>
        </w:tc>
        <w:tc>
          <w:tcPr>
            <w:tcW w:w="1356" w:type="dxa"/>
          </w:tcPr>
          <w:p>
            <w:pPr>
              <w:pStyle w:val="4"/>
              <w:jc w:val="right"/>
            </w:pPr>
            <w:r>
              <w:t>14,400.00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学生台式计算机主机</w:t>
            </w:r>
          </w:p>
        </w:tc>
        <w:tc>
          <w:tcPr>
            <w:tcW w:w="848" w:type="dxa"/>
          </w:tcPr>
          <w:p>
            <w:pPr>
              <w:pStyle w:val="4"/>
              <w:jc w:val="right"/>
            </w:pPr>
            <w:r>
              <w:t>561.00</w:t>
            </w:r>
          </w:p>
        </w:tc>
        <w:tc>
          <w:tcPr>
            <w:tcW w:w="1356" w:type="dxa"/>
          </w:tcPr>
          <w:p>
            <w:pPr>
              <w:pStyle w:val="4"/>
              <w:jc w:val="right"/>
            </w:pPr>
            <w:r>
              <w:t>2,008,380.00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电子教室软件</w:t>
            </w:r>
          </w:p>
        </w:tc>
        <w:tc>
          <w:tcPr>
            <w:tcW w:w="848" w:type="dxa"/>
          </w:tcPr>
          <w:p>
            <w:pPr>
              <w:pStyle w:val="4"/>
              <w:jc w:val="right"/>
            </w:pPr>
            <w:r>
              <w:t>3.00</w:t>
            </w:r>
          </w:p>
        </w:tc>
        <w:tc>
          <w:tcPr>
            <w:tcW w:w="1356" w:type="dxa"/>
          </w:tcPr>
          <w:p>
            <w:pPr>
              <w:pStyle w:val="4"/>
              <w:jc w:val="right"/>
            </w:pPr>
            <w:r>
              <w:t>23,496.00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静电地板</w:t>
            </w:r>
          </w:p>
        </w:tc>
        <w:tc>
          <w:tcPr>
            <w:tcW w:w="848" w:type="dxa"/>
          </w:tcPr>
          <w:p>
            <w:pPr>
              <w:pStyle w:val="4"/>
              <w:jc w:val="right"/>
            </w:pPr>
            <w:r>
              <w:t>85.00</w:t>
            </w:r>
          </w:p>
        </w:tc>
        <w:tc>
          <w:tcPr>
            <w:tcW w:w="1356" w:type="dxa"/>
          </w:tcPr>
          <w:p>
            <w:pPr>
              <w:pStyle w:val="4"/>
              <w:jc w:val="right"/>
            </w:pPr>
            <w:r>
              <w:t>19,380.00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标的名称：LED显示屏2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sz w:val="20"/>
              </w:rPr>
              <w:t>1、点间距：≤2mm；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sz w:val="20"/>
              </w:rPr>
              <w:t>2、像素构成 1R1G1B；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sz w:val="20"/>
              </w:rPr>
              <w:t>3、模组尺寸：320mm*160mm；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sz w:val="20"/>
              </w:rPr>
              <w:t>4、灰度等级 红、绿、蓝 12-14bits；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sz w:val="20"/>
              </w:rPr>
              <w:t>5、亮度均匀性 ≥ 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rPr>
                <w:rFonts w:ascii="宋体" w:hAnsi="宋体" w:eastAsia="宋体" w:cs="宋体"/>
                <w:sz w:val="20"/>
              </w:rPr>
              <w:t>6、屏体水平视角 140 ± 10° 屏体垂直视角 140 ± 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rPr>
                <w:rFonts w:ascii="宋体" w:hAnsi="宋体" w:eastAsia="宋体" w:cs="宋体"/>
                <w:sz w:val="20"/>
              </w:rPr>
              <w:t>7、刷新频率 ≥ 3840Hz；</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rPr>
                <w:rFonts w:ascii="宋体" w:hAnsi="宋体" w:eastAsia="宋体" w:cs="宋体"/>
                <w:sz w:val="20"/>
              </w:rPr>
              <w:t>8、模块平整度≤0.15MM；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rPr>
                <w:rFonts w:ascii="宋体" w:hAnsi="宋体" w:eastAsia="宋体" w:cs="宋体"/>
                <w:sz w:val="20"/>
              </w:rPr>
              <w:t>9、平均无故障时间 ≥1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jc w:val="both"/>
            </w:pPr>
            <w:r>
              <w:rPr>
                <w:rFonts w:ascii="宋体" w:hAnsi="宋体" w:eastAsia="宋体" w:cs="宋体"/>
                <w:sz w:val="20"/>
              </w:rPr>
              <w:t>10、系统加密功能：系统加密功能：具有信号加密传输功能，支持控制器与屏体之间信号加密传输功能，防止网络恶意入侵；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jc w:val="both"/>
            </w:pPr>
            <w:r>
              <w:rPr>
                <w:rFonts w:ascii="宋体" w:hAnsi="宋体" w:eastAsia="宋体" w:cs="宋体"/>
                <w:sz w:val="20"/>
              </w:rPr>
              <w:t>11、基色主波长误差符合 C 级；△λD≤5；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jc w:val="both"/>
            </w:pPr>
            <w:r>
              <w:rPr>
                <w:rFonts w:ascii="宋体" w:hAnsi="宋体" w:eastAsia="宋体" w:cs="宋体"/>
                <w:sz w:val="20"/>
              </w:rPr>
              <w:t>12、动态节能：带有智能节电功能、带电黑屏节电功能；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jc w:val="both"/>
            </w:pPr>
            <w:r>
              <w:rPr>
                <w:rFonts w:ascii="宋体" w:hAnsi="宋体" w:eastAsia="宋体" w:cs="宋体"/>
                <w:sz w:val="20"/>
              </w:rPr>
              <w:t>13、掉电存储功能：支持掉电存储功能，不丢失数据，上电自动恢复，无需重复配置；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jc w:val="both"/>
            </w:pPr>
            <w:r>
              <w:rPr>
                <w:rFonts w:ascii="宋体" w:hAnsi="宋体" w:eastAsia="宋体" w:cs="宋体"/>
                <w:sz w:val="20"/>
              </w:rPr>
              <w:t>14、对地漏电流：依据 SJ/T11281-2017 发光二极管（LED）显示屏测试方法，在 1.1 倍额定电源电压下，测试样品的电源线对金属外框间的对地漏电流不大于3.5mA/㎡（交流有效值）；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jc w:val="both"/>
            </w:pPr>
            <w:r>
              <w:rPr>
                <w:rFonts w:ascii="宋体" w:hAnsi="宋体" w:eastAsia="宋体" w:cs="宋体"/>
                <w:color w:val="000000"/>
                <w:sz w:val="21"/>
              </w:rPr>
              <w:t>15、控制系统</w:t>
            </w:r>
            <w:r>
              <w:rPr>
                <w:rFonts w:ascii="宋体" w:hAnsi="宋体" w:eastAsia="宋体" w:cs="宋体"/>
                <w:sz w:val="20"/>
              </w:rPr>
              <w:t>：接口：≥1路DVI接口、≥1路HDMI接口、≥1路VGA接口、≥1路USB播放接口、≥1路CVBS接口、≥4个网口；支持窗口位置、大小调整及窗口截取功能、缩放功能；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jc w:val="both"/>
            </w:pPr>
            <w:r>
              <w:rPr>
                <w:rFonts w:ascii="宋体" w:hAnsi="宋体" w:eastAsia="宋体" w:cs="宋体"/>
                <w:color w:val="000000"/>
                <w:sz w:val="21"/>
              </w:rPr>
              <w:t>16、供电设备：</w:t>
            </w:r>
            <w:r>
              <w:rPr>
                <w:rFonts w:ascii="宋体" w:hAnsi="宋体" w:eastAsia="宋体" w:cs="宋体"/>
                <w:sz w:val="20"/>
              </w:rPr>
              <w:t>输入电压：3相380V/50Hz，额定功率：≥20KW，输出：≥6路；能随控制信号输出与断开及时对大屏进行供电或断电，具备电源时序功能；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17</w:t>
            </w:r>
          </w:p>
        </w:tc>
        <w:tc>
          <w:tcPr>
            <w:tcW w:w="2769" w:type="dxa"/>
          </w:tcPr>
          <w:p>
            <w:pPr>
              <w:pStyle w:val="4"/>
              <w:jc w:val="both"/>
            </w:pPr>
            <w:r>
              <w:rPr>
                <w:rFonts w:ascii="宋体" w:hAnsi="宋体" w:eastAsia="宋体" w:cs="宋体"/>
                <w:color w:val="000000"/>
                <w:sz w:val="21"/>
              </w:rPr>
              <w:t>17、图形工作站：</w:t>
            </w:r>
            <w:r>
              <w:rPr>
                <w:rFonts w:ascii="宋体" w:hAnsi="宋体" w:eastAsia="宋体" w:cs="宋体"/>
                <w:sz w:val="20"/>
              </w:rPr>
              <w:t>cpu：≥14核/2.5GHz主频/24MB三级缓存；内存：≥16GB DDR4；固态硬盘：≥1TB；独立显卡显存：≥4GB，显示器：≥21英寸，分辨率：≥1920*1080；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18</w:t>
            </w:r>
          </w:p>
        </w:tc>
        <w:tc>
          <w:tcPr>
            <w:tcW w:w="2769" w:type="dxa"/>
          </w:tcPr>
          <w:p>
            <w:pPr>
              <w:pStyle w:val="4"/>
              <w:jc w:val="both"/>
            </w:pPr>
            <w:r>
              <w:rPr>
                <w:rFonts w:ascii="宋体" w:hAnsi="宋体" w:eastAsia="宋体" w:cs="宋体"/>
                <w:sz w:val="20"/>
              </w:rPr>
              <w:t>18、安全防护控制模块</w:t>
            </w:r>
          </w:p>
          <w:p>
            <w:pPr>
              <w:pStyle w:val="4"/>
              <w:jc w:val="both"/>
            </w:pPr>
            <w:r>
              <w:rPr>
                <w:rFonts w:ascii="宋体" w:hAnsi="宋体" w:eastAsia="宋体" w:cs="宋体"/>
                <w:sz w:val="20"/>
              </w:rPr>
              <w:t>①、采用高性能微控制器主控芯片；设备标配通讯接口至少RJ45；标配网络防雷接口≧2路、接地通路接口≧2路、RS485接口≧4路、漏电监测接口≧4路、开关量输入接口≧2路、USB接口≧2路、HDMI接口≧1路、电源输出接口≧4路国标插座；（提供国家认可的第三方检测机构出具（具有CNAS或CMA标识）的证书或测试报告复印件，并加盖投标人公章）</w:t>
            </w:r>
          </w:p>
          <w:p>
            <w:pPr>
              <w:pStyle w:val="4"/>
              <w:jc w:val="both"/>
            </w:pPr>
            <w:r>
              <w:rPr>
                <w:rFonts w:ascii="宋体" w:hAnsi="宋体" w:eastAsia="宋体" w:cs="宋体"/>
                <w:sz w:val="20"/>
              </w:rPr>
              <w:t>②.设备标配≧2.4寸触摸显示屏，可显示监测指标信息，可通过手机扫描屏显电子二维码进行关注、查询、故障报修；</w:t>
            </w:r>
          </w:p>
          <w:p>
            <w:pPr>
              <w:pStyle w:val="4"/>
              <w:jc w:val="both"/>
            </w:pPr>
            <w:r>
              <w:rPr>
                <w:rFonts w:ascii="宋体" w:hAnsi="宋体" w:eastAsia="宋体" w:cs="宋体"/>
                <w:sz w:val="20"/>
              </w:rPr>
              <w:t>③.设备内置告警扬声器≧1个，具有系统、网络、入网状态指示灯，告警方式支持本机扬声器告警、手机微信告警、管理平台告警；</w:t>
            </w:r>
          </w:p>
          <w:p>
            <w:pPr>
              <w:pStyle w:val="4"/>
              <w:jc w:val="both"/>
            </w:pPr>
            <w:r>
              <w:rPr>
                <w:rFonts w:ascii="宋体" w:hAnsi="宋体" w:eastAsia="宋体" w:cs="宋体"/>
                <w:sz w:val="20"/>
              </w:rPr>
              <w:t>⑤.支持显示窗口要求显示内容包括：电压、电流、频率、功率、雷击浪涌次数、防雷器状态、防雷器温度、防雷器寿命、接地通断、漏电监测、温湿度、烟雾、水浸、UPS、精密空调、联系电话。（提供国家认可的第三方检测机构出具（具有CNAS或CMA标识）的证书或测试报告复印件，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19</w:t>
            </w:r>
          </w:p>
        </w:tc>
        <w:tc>
          <w:tcPr>
            <w:tcW w:w="2769" w:type="dxa"/>
          </w:tcPr>
          <w:p>
            <w:pPr>
              <w:pStyle w:val="4"/>
              <w:jc w:val="both"/>
            </w:pPr>
            <w:r>
              <w:rPr>
                <w:rFonts w:ascii="宋体" w:hAnsi="宋体" w:eastAsia="宋体" w:cs="宋体"/>
                <w:sz w:val="20"/>
              </w:rPr>
              <w:t>19、系统需具备不依赖第三方硬件便可对系统的显示屏、拼接处理器、LED播放控制器、PLC配电箱、矩阵等设备进行集成控制的功能；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20</w:t>
            </w:r>
          </w:p>
        </w:tc>
        <w:tc>
          <w:tcPr>
            <w:tcW w:w="2769" w:type="dxa"/>
          </w:tcPr>
          <w:p>
            <w:pPr>
              <w:pStyle w:val="4"/>
              <w:jc w:val="both"/>
            </w:pPr>
            <w:r>
              <w:rPr>
                <w:rFonts w:ascii="宋体" w:hAnsi="宋体" w:eastAsia="宋体" w:cs="宋体"/>
                <w:sz w:val="20"/>
              </w:rPr>
              <w:t>20、控制软件具备对显示屏的画面有调控作用；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21</w:t>
            </w:r>
          </w:p>
        </w:tc>
        <w:tc>
          <w:tcPr>
            <w:tcW w:w="2769" w:type="dxa"/>
          </w:tcPr>
          <w:p>
            <w:pPr>
              <w:pStyle w:val="4"/>
              <w:jc w:val="both"/>
            </w:pPr>
            <w:r>
              <w:rPr>
                <w:rFonts w:ascii="等线" w:hAnsi="等线" w:eastAsia="等线" w:cs="等线"/>
                <w:sz w:val="21"/>
              </w:rPr>
              <w:t>21</w:t>
            </w:r>
            <w:r>
              <w:rPr>
                <w:rFonts w:ascii="宋体" w:hAnsi="宋体" w:eastAsia="宋体" w:cs="宋体"/>
                <w:sz w:val="21"/>
              </w:rPr>
              <w:t>、含本系统运行所需的各种材料及设备，包括但不限于交换机、根据现场定制屏体结构及包边、根据采购人指定点位到</w:t>
            </w:r>
            <w:r>
              <w:rPr>
                <w:rFonts w:ascii="等线" w:hAnsi="等线" w:eastAsia="等线" w:cs="等线"/>
                <w:sz w:val="21"/>
              </w:rPr>
              <w:t>LED</w:t>
            </w:r>
            <w:r>
              <w:rPr>
                <w:rFonts w:ascii="宋体" w:hAnsi="宋体" w:eastAsia="宋体" w:cs="宋体"/>
                <w:sz w:val="21"/>
              </w:rPr>
              <w:t>显示屏安装位置的强弱电敷设、辅材、安装调试，满足项目使用需求；</w:t>
            </w:r>
          </w:p>
        </w:tc>
      </w:tr>
    </w:tbl>
    <w:p>
      <w:pPr>
        <w:pStyle w:val="4"/>
      </w:pPr>
    </w:p>
    <w:p>
      <w:pPr>
        <w:pStyle w:val="4"/>
      </w:pPr>
      <w:r>
        <w:t>标的名称：便携式计算机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1、CPU：十核及以上处理器，主频≥1.3GHz，线程数≥12，缓存≥12MB，热设计功耗≤65W；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2、内存：配置容量≥16GB、DDR4 3200及以上内存类型；</w:t>
            </w:r>
            <w:r>
              <w:rPr>
                <w:rFonts w:ascii="Arial" w:hAnsi="Arial" w:eastAsia="Arial" w:cs="Arial"/>
                <w:color w:val="000000"/>
                <w:sz w:val="21"/>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color w:val="000000"/>
                <w:sz w:val="21"/>
              </w:rPr>
              <w:t>3、主板：支持主流 CPU和内存；主板最大支持单内存插槽最大可支持容量≥16GB；内存插槽满配时提供的最高内存总容量≥32GB；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color w:val="000000"/>
                <w:sz w:val="21"/>
              </w:rPr>
              <w:t>4、硬盘：提供固态硬盘数量≥1个；固态存储容量≥1TB；固态存储形态为NVME；固态硬盘从上电到进入数据读写状态的时间不超过2s；固态硬盘数据读写速度等级不低于5级；固态硬盘的平均无故障时间（MTBF）的m1值不低于10000h；其他固态硬盘要求符合 SJ/T 11654 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color w:val="000000"/>
                <w:sz w:val="21"/>
              </w:rPr>
              <w:t>5、显卡：配置集成显卡；显示分辨率≥1920x1080；显卡显示芯片核心频率≥300MHz；显卡支持2块屏幕同时显示，分辨率不低于1920×1080；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rPr>
                <w:rFonts w:ascii="宋体" w:hAnsi="宋体" w:eastAsia="宋体" w:cs="宋体"/>
                <w:color w:val="000000"/>
                <w:sz w:val="21"/>
              </w:rPr>
              <w:t>6、显示屏：显示器屏占比≥80% ；分辨率≥1920x1080；显示器尺寸13-14.1英寸；显示器刷新率≥60Hz；显示屏屏幕比例为16:9或16:10；显示屏支持低蓝光模式；显示屏对比度≥500：1；显示屏的开合机械寿命应能承受至少15000次的显示屏开合，显示屏其它要求应符合 GB/T 9813.2 的相关规定；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rPr>
                <w:rFonts w:ascii="宋体" w:hAnsi="宋体" w:eastAsia="宋体" w:cs="宋体"/>
                <w:color w:val="000000"/>
                <w:sz w:val="21"/>
              </w:rPr>
              <w:t>7、外围设备：鼠标数量≥1 个；鼠标连接方式为无线；鼠标 DPI分辨率800~1600；鼠标颜色为黑色；鼠标分辨率精度&gt;85%；鼠标左右按键寿命&gt;10万次；鼠标移动寿命&gt;250km；鼠标跟踪速度≥100mm/s；鼠标其它参数符合GB/T 26245 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8</w:t>
            </w:r>
          </w:p>
        </w:tc>
        <w:tc>
          <w:tcPr>
            <w:tcW w:w="2769" w:type="dxa"/>
          </w:tcPr>
          <w:p>
            <w:pPr>
              <w:pStyle w:val="4"/>
            </w:pPr>
            <w:r>
              <w:rPr>
                <w:rFonts w:ascii="宋体" w:hAnsi="宋体" w:eastAsia="宋体" w:cs="宋体"/>
                <w:color w:val="000000"/>
                <w:sz w:val="21"/>
              </w:rPr>
              <w:t>8、接口：有线网卡数量≥1；无线网络支持不低于WIFI6；USB3.0及以上的接口数不低于2个，雷电4接口不低于1个；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9</w:t>
            </w:r>
          </w:p>
        </w:tc>
        <w:tc>
          <w:tcPr>
            <w:tcW w:w="2769" w:type="dxa"/>
          </w:tcPr>
          <w:p>
            <w:pPr>
              <w:pStyle w:val="4"/>
            </w:pPr>
            <w:r>
              <w:rPr>
                <w:rFonts w:ascii="宋体" w:hAnsi="宋体" w:eastAsia="宋体" w:cs="宋体"/>
                <w:color w:val="000000"/>
                <w:sz w:val="21"/>
              </w:rPr>
              <w:t>9、整机重量≤1.5kg；整机厚度≤20mm；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rPr>
                <w:rFonts w:ascii="宋体" w:hAnsi="宋体" w:eastAsia="宋体" w:cs="宋体"/>
                <w:color w:val="000000"/>
                <w:sz w:val="21"/>
              </w:rPr>
              <w:t>10、电池额定能量≥42Wh；电池充放电次数≥500 次（常温下500次充放电后电池容量应不低于原始容量的80%）；电池安全要求符合GB31241 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rPr>
                <w:rFonts w:ascii="宋体" w:hAnsi="宋体" w:eastAsia="宋体" w:cs="宋体"/>
                <w:color w:val="000000"/>
                <w:sz w:val="21"/>
              </w:rPr>
              <w:t>11、预装正版操作系统，兼容教育系统现有场地授权办公软件。提供国产办公软件云服务，服务期不少于1年，支持提供公网云存储，具备不少于100GB/人的存储容量；支持PDF版式文件格式互转功能，可与Word、Excel、PPT格式文档相互转换；支持会议功能，可基于文档发起会议功能，并邀请其他成员参与；支持单独创建会议，通过会议ID或者链接可进行在线会议，可提供云文档共享、屏幕共享多种内容共享方式；支持从AD域同步/钉钉同步/API同步的通讯录同步方式，同步账号信息源调整后可自动同步；根据不同的管理能力，创建不同角色，如日志管理员、组织架构管理员等情况，完成分权管理。（提供功能截图或制造商出具的参数证明等佐证材料予以佐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rPr>
                <w:rFonts w:ascii="宋体" w:hAnsi="宋体" w:eastAsia="宋体" w:cs="宋体"/>
                <w:color w:val="000000"/>
                <w:sz w:val="21"/>
              </w:rPr>
              <w:t>12、整机表面不应有凹痕、划伤、裂缝、变形和污染等。表面涂层均匀，不应起泡、龟裂、脱落和磨损，金属零部件无锈蚀及其它机械损伤； 产品表面说明功能的文字、符号、标志，应清晰、端正、牢固；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rPr>
                <w:rFonts w:ascii="宋体" w:hAnsi="宋体" w:eastAsia="宋体" w:cs="宋体"/>
                <w:color w:val="000000"/>
                <w:sz w:val="21"/>
              </w:rPr>
              <w:t>13、电磁兼容性要求的抗扰度符合GB/T 9254.2的规定；环境条件要求的气候环境适应性、环境条件要求的振动适应性、环境条件要求的冲击适应性、环境条件要求的碰撞适应性、环境条件要求的运输包装件跌落适应性均符合 GB/T 9813.1中规定；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rPr>
                <w:rFonts w:ascii="宋体" w:hAnsi="宋体" w:eastAsia="宋体" w:cs="宋体"/>
                <w:color w:val="000000"/>
                <w:sz w:val="21"/>
              </w:rPr>
              <w:t>14、整机平均无故障时间MTBF(m1)≥100万小时；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15</w:t>
            </w:r>
          </w:p>
        </w:tc>
        <w:tc>
          <w:tcPr>
            <w:tcW w:w="2769" w:type="dxa"/>
          </w:tcPr>
          <w:p>
            <w:pPr>
              <w:pStyle w:val="4"/>
            </w:pPr>
            <w:r>
              <w:rPr>
                <w:rFonts w:ascii="宋体" w:hAnsi="宋体" w:eastAsia="宋体" w:cs="宋体"/>
                <w:color w:val="000000"/>
                <w:sz w:val="21"/>
              </w:rPr>
              <w:t>15、摄像头：≥720P高清分辨率；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pPr>
            <w:r>
              <w:rPr>
                <w:rFonts w:ascii="宋体" w:hAnsi="宋体" w:eastAsia="宋体" w:cs="宋体"/>
                <w:color w:val="000000"/>
                <w:sz w:val="21"/>
              </w:rPr>
              <w:t xml:space="preserve">16、A/C面铝合金材质；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17</w:t>
            </w:r>
          </w:p>
        </w:tc>
        <w:tc>
          <w:tcPr>
            <w:tcW w:w="2769" w:type="dxa"/>
          </w:tcPr>
          <w:p>
            <w:pPr>
              <w:pStyle w:val="4"/>
            </w:pPr>
            <w:r>
              <w:rPr>
                <w:rFonts w:ascii="宋体" w:hAnsi="宋体" w:eastAsia="宋体" w:cs="宋体"/>
                <w:color w:val="000000"/>
                <w:sz w:val="21"/>
              </w:rPr>
              <w:t>17、配备电脑包。具有多功能的商用手拎包；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18</w:t>
            </w:r>
          </w:p>
        </w:tc>
        <w:tc>
          <w:tcPr>
            <w:tcW w:w="2769" w:type="dxa"/>
          </w:tcPr>
          <w:p>
            <w:pPr>
              <w:pStyle w:val="4"/>
            </w:pPr>
            <w:r>
              <w:rPr>
                <w:rFonts w:ascii="宋体" w:hAnsi="宋体" w:eastAsia="宋体" w:cs="宋体"/>
                <w:color w:val="000000"/>
                <w:sz w:val="21"/>
              </w:rPr>
              <w:t>18、符合 GB/T 9813.1 和商品包装政府采购需求标准的相关规定；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19</w:t>
            </w:r>
          </w:p>
        </w:tc>
        <w:tc>
          <w:tcPr>
            <w:tcW w:w="2769" w:type="dxa"/>
          </w:tcPr>
          <w:p>
            <w:pPr>
              <w:pStyle w:val="4"/>
            </w:pPr>
            <w:r>
              <w:rPr>
                <w:rFonts w:ascii="宋体" w:hAnsi="宋体" w:eastAsia="宋体" w:cs="宋体"/>
                <w:color w:val="000000"/>
                <w:sz w:val="21"/>
              </w:rPr>
              <w:t>19、财政部《便携式计算机财政采购需求标准（2023年版）》中规定的其他</w:t>
            </w:r>
            <w:r>
              <w:rPr>
                <w:rFonts w:ascii="黑体" w:hAnsi="黑体" w:eastAsia="黑体" w:cs="黑体"/>
                <w:color w:val="000000"/>
                <w:sz w:val="18"/>
              </w:rPr>
              <w:t>*</w:t>
            </w:r>
            <w:r>
              <w:rPr>
                <w:rFonts w:ascii="宋体" w:hAnsi="宋体" w:eastAsia="宋体" w:cs="宋体"/>
                <w:color w:val="000000"/>
                <w:sz w:val="21"/>
              </w:rPr>
              <w:t>内容。</w:t>
            </w:r>
          </w:p>
        </w:tc>
      </w:tr>
    </w:tbl>
    <w:p>
      <w:pPr>
        <w:pStyle w:val="4"/>
      </w:pPr>
    </w:p>
    <w:p>
      <w:pPr>
        <w:pStyle w:val="4"/>
      </w:pPr>
      <w:r>
        <w:t>标的名称：网络机柜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1、标准19″网络机柜，全黑色，配套理线架、配线架；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2、600mm×1600mm×600mm（宽×高×深）。</w:t>
            </w:r>
          </w:p>
        </w:tc>
      </w:tr>
    </w:tbl>
    <w:p>
      <w:pPr>
        <w:pStyle w:val="4"/>
      </w:pPr>
    </w:p>
    <w:p>
      <w:pPr>
        <w:pStyle w:val="4"/>
      </w:pPr>
      <w:r>
        <w:t>标的名称：显示器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显示器屏占比≥80% ；分辨率≥1920x1080；显示器尺寸≥21英寸；显示器刷新率≥60Hz；响应时间≤5ms；显示屏屏幕比例为16:9或16:10；显示屏支持防蓝光模式；显示屏对比度≥1000：1；显示屏能效符合GB21520相关规定，达到2级能效；</w:t>
            </w:r>
          </w:p>
        </w:tc>
      </w:tr>
    </w:tbl>
    <w:p>
      <w:pPr>
        <w:pStyle w:val="4"/>
      </w:pPr>
    </w:p>
    <w:p>
      <w:pPr>
        <w:pStyle w:val="4"/>
      </w:pPr>
      <w:r>
        <w:t>标的名称：台式电脑（办公）</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1、CPU：十四核及以上处理器，主频≥2.5GHz，线程数≥20，缓存≥24MB，热设计功耗≤65W；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2、内存：配置容量≥16GB，DDR4 3200及以上内存；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color w:val="000000"/>
                <w:sz w:val="21"/>
              </w:rPr>
              <w:t>3、主板：支持主流 CPU和内存；主板内置≥1个PCIe*16 插槽、≥1个PCIe*1 插槽；主板支持的USB（接口）数≥6个；主板支持的M.2接口数量≥2个；主板支持的SATA接口数量≥2个；主板最大支持单内存插槽最大可支持容量≥16GB；内存插槽满配时提供的最高内存总容量≥32GB；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color w:val="000000"/>
                <w:sz w:val="21"/>
              </w:rPr>
              <w:t>4、硬盘：提供固态硬盘数量≥1 个；固态存储容量≥1TB，NVME协议；固态硬盘从上电到进入数据读写状态的时间不超过2s；固态硬盘数据读写速度等级不低于5级；固态硬盘的平均无故障时间（MTBF）的m1值不低于10000h；其他固态硬盘要求符合 SJ/T 11654 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color w:val="000000"/>
                <w:sz w:val="21"/>
              </w:rPr>
              <w:t>5、显卡：配置集成显卡；显示分辨率≥1920x1080；显卡显示芯片核心频率≥300MHz；显存等效频率≥1000MT/s；显卡支持 2 块屏幕同时显示，分辨率不低于 1920×1080；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rPr>
                <w:rFonts w:ascii="宋体" w:hAnsi="宋体" w:eastAsia="宋体" w:cs="宋体"/>
                <w:color w:val="000000"/>
                <w:sz w:val="21"/>
              </w:rPr>
              <w:t>6、显示器：显示器屏占比≥80% ；分辨率≥1920x1080；显示器尺寸≥23 .8英寸；显示器刷新率≥60Hz；响应时间≤5ms；显示屏屏幕比例为16:9或16:10；显示屏支持防蓝光模式；显示屏对比度≥1000：1；显示屏能效符合GB21520相关规定，达到2级能效；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jc w:val="both"/>
            </w:pPr>
            <w:r>
              <w:rPr>
                <w:rFonts w:ascii="宋体" w:hAnsi="宋体" w:eastAsia="宋体" w:cs="宋体"/>
                <w:color w:val="000000"/>
                <w:sz w:val="21"/>
              </w:rPr>
              <w:t>7、外围设备：鼠标数量≥1个；键盘数量≥1个；键盘连接方式为有线；键盘键程2.3mm ~ 4.0mm；按键压力为 0.54 N±0.14N；键盘连接线≥1 米；键盘颜色为黑色；鼠标连接方式为有线；鼠标连接线≥1 米；鼠标 DPI分辨率800~1600；鼠标颜色为黑色；鼠标分辨率精度&gt;85%；鼠标左右按键寿命&gt;10万次；鼠标移动寿命&gt;250km；鼠标跟踪速度≥100mm/s；鼠标其它参数符合GB/T 26245 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rPr>
                <w:rFonts w:ascii="宋体" w:hAnsi="宋体" w:eastAsia="宋体" w:cs="宋体"/>
                <w:color w:val="000000"/>
                <w:sz w:val="21"/>
              </w:rPr>
              <w:t>8、接口：有线网卡数量≥1；机箱前面板提供≥2个USB3.2接口；机箱支持HDMI或DP或VGA；音频接口数量≥3；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rPr>
                <w:rFonts w:ascii="宋体" w:hAnsi="宋体" w:eastAsia="宋体" w:cs="宋体"/>
                <w:color w:val="000000"/>
                <w:sz w:val="21"/>
              </w:rPr>
              <w:t>9、机箱应符合 GB/T 4208、GB/T 26246的相关规定；机箱开关使用寿命&gt;10000次；机箱功能性接口使用寿命&gt;2000次；机箱转轴活动挡板使用寿命&gt;2000次；机箱其它要求应符合 GB/T9813.1 的相关规定；机身材质为塑料/金属等；机箱体积不大于16L；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rPr>
                <w:rFonts w:ascii="宋体" w:hAnsi="宋体" w:eastAsia="宋体" w:cs="宋体"/>
                <w:color w:val="000000"/>
                <w:sz w:val="21"/>
              </w:rPr>
              <w:t>10、预装正版操作系统，兼容教育系统现有场地授权办公软件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rPr>
                <w:rFonts w:ascii="宋体" w:hAnsi="宋体" w:eastAsia="宋体" w:cs="宋体"/>
                <w:color w:val="000000"/>
                <w:sz w:val="21"/>
              </w:rPr>
              <w:t>11、整机表面不应有凹痕、划伤、裂缝、变形和污染等。表面涂层均匀，不应起泡、龟裂、脱落和磨损，金属零部件无锈蚀及其它机械损伤； 产品表面说明功能的文字、符号、标志，应清晰、端正、牢固；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rPr>
                <w:rFonts w:ascii="宋体" w:hAnsi="宋体" w:eastAsia="宋体" w:cs="宋体"/>
                <w:color w:val="000000"/>
                <w:sz w:val="21"/>
              </w:rPr>
              <w:t>12、显示屏屏幕失效点符合 GB/T 9813.2 的要求；键盘按键寿命≥1000 万次；键盘鼠标所用线材经±60°弯折不低于 3000 次，功能、外观完好；风扇寿命≥4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rPr>
                <w:rFonts w:ascii="宋体" w:hAnsi="宋体" w:eastAsia="宋体" w:cs="宋体"/>
                <w:color w:val="000000"/>
                <w:sz w:val="21"/>
              </w:rPr>
              <w:t>13、电磁兼容性要求的抗扰度符合 GB/T 9254.2 的规定；环境条件要求的气候环境适应性、环境条件要求的振动适应性、环境条件要求的冲击适应性、环境条件要求的碰撞适应性、环境条件要求的运输包装件跌落适应性均符合 GB/T 9813.1 中规定；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rPr>
                <w:rFonts w:ascii="宋体" w:hAnsi="宋体" w:eastAsia="宋体" w:cs="宋体"/>
                <w:color w:val="000000"/>
                <w:sz w:val="21"/>
              </w:rPr>
              <w:t>14、整机平均无故障时间MTBF(m1)≥100万小时；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pPr>
            <w:r>
              <w:rPr>
                <w:rFonts w:ascii="宋体" w:hAnsi="宋体" w:eastAsia="宋体" w:cs="宋体"/>
                <w:color w:val="000000"/>
                <w:sz w:val="21"/>
              </w:rPr>
              <w:t>15、符合 GB/T 9813.1 和商品包装政府采购需求标准的相关规定；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pPr>
            <w:r>
              <w:rPr>
                <w:rFonts w:ascii="宋体" w:hAnsi="宋体" w:eastAsia="宋体" w:cs="宋体"/>
                <w:color w:val="000000"/>
                <w:sz w:val="21"/>
              </w:rPr>
              <w:t>16、财政部《台式计算机财政采购需求标准（2023年版）》中规定的其他</w:t>
            </w:r>
            <w:r>
              <w:rPr>
                <w:rFonts w:ascii="黑体" w:hAnsi="黑体" w:eastAsia="黑体" w:cs="黑体"/>
                <w:color w:val="000000"/>
                <w:sz w:val="18"/>
              </w:rPr>
              <w:t>*</w:t>
            </w:r>
            <w:r>
              <w:rPr>
                <w:rFonts w:ascii="宋体" w:hAnsi="宋体" w:eastAsia="宋体" w:cs="宋体"/>
                <w:color w:val="000000"/>
                <w:sz w:val="21"/>
              </w:rPr>
              <w:t>内容。</w:t>
            </w:r>
          </w:p>
        </w:tc>
      </w:tr>
    </w:tbl>
    <w:p>
      <w:pPr>
        <w:pStyle w:val="4"/>
      </w:pPr>
    </w:p>
    <w:p>
      <w:pPr>
        <w:pStyle w:val="4"/>
      </w:pPr>
      <w:r>
        <w:t>标的名称：LED显示屏1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1、点间距：≤4mm；一体成型钣金简易箱体：尺寸≥960*960mm，满足室外环境使用，提供相应的证明材料予以证明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t>2、</w:t>
            </w:r>
            <w:r>
              <w:rPr>
                <w:rFonts w:ascii="宋体" w:hAnsi="宋体" w:eastAsia="宋体" w:cs="宋体"/>
                <w:color w:val="000000"/>
                <w:sz w:val="21"/>
              </w:rPr>
              <w:t>像素构成1R1G1B；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t>3、</w:t>
            </w:r>
            <w:r>
              <w:rPr>
                <w:rFonts w:ascii="宋体" w:hAnsi="宋体" w:eastAsia="宋体" w:cs="宋体"/>
                <w:color w:val="000000"/>
                <w:sz w:val="21"/>
              </w:rPr>
              <w:t>模组尺寸：320mm*160mm；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t>4.</w:t>
            </w:r>
            <w:r>
              <w:rPr>
                <w:rFonts w:ascii="宋体" w:hAnsi="宋体" w:eastAsia="宋体" w:cs="宋体"/>
                <w:color w:val="000000"/>
                <w:sz w:val="21"/>
              </w:rPr>
              <w:t>灰度等级红、绿、蓝12-14bits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t>5、</w:t>
            </w:r>
            <w:r>
              <w:rPr>
                <w:rFonts w:ascii="宋体" w:hAnsi="宋体" w:eastAsia="宋体" w:cs="宋体"/>
                <w:color w:val="000000"/>
                <w:sz w:val="21"/>
              </w:rPr>
              <w:t>亮度均匀性≥ 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t>6、</w:t>
            </w:r>
            <w:r>
              <w:rPr>
                <w:rFonts w:ascii="等线" w:hAnsi="等线" w:eastAsia="等线" w:cs="等线"/>
                <w:color w:val="000000"/>
                <w:sz w:val="21"/>
              </w:rPr>
              <w:t>模块平整度≤</w:t>
            </w:r>
            <w:r>
              <w:rPr>
                <w:rFonts w:ascii="arial, helvetica, sans-serif" w:hAnsi="arial, helvetica, sans-serif" w:eastAsia="arial, helvetica, sans-serif" w:cs="arial, helvetica, sans-serif"/>
                <w:color w:val="000000"/>
                <w:sz w:val="21"/>
              </w:rPr>
              <w:t>0.15MM</w:t>
            </w:r>
            <w:r>
              <w:rPr>
                <w:rFonts w:ascii="等线" w:hAnsi="等线" w:eastAsia="等线" w:cs="等线"/>
                <w:color w:val="000000"/>
                <w:sz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t>7.</w:t>
            </w:r>
            <w:r>
              <w:rPr>
                <w:rFonts w:ascii="宋体" w:hAnsi="宋体" w:eastAsia="宋体" w:cs="宋体"/>
                <w:color w:val="000000"/>
                <w:sz w:val="21"/>
              </w:rPr>
              <w:t>屏体水平视角140 ± 10°，屏体垂直视角 140 ± 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t>8.</w:t>
            </w:r>
            <w:r>
              <w:rPr>
                <w:rFonts w:ascii="宋体" w:hAnsi="宋体" w:eastAsia="宋体" w:cs="宋体"/>
                <w:color w:val="000000"/>
                <w:sz w:val="21"/>
              </w:rPr>
              <w:t>刷新频率≥ 3840Hz；</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t>9.</w:t>
            </w:r>
            <w:r>
              <w:rPr>
                <w:rFonts w:ascii="宋体" w:hAnsi="宋体" w:eastAsia="宋体" w:cs="宋体"/>
                <w:color w:val="000000"/>
                <w:sz w:val="21"/>
              </w:rPr>
              <w:t>平均无故障时间≥1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t>10.</w:t>
            </w:r>
            <w:r>
              <w:rPr>
                <w:rFonts w:ascii="宋体" w:hAnsi="宋体" w:eastAsia="宋体" w:cs="宋体"/>
                <w:color w:val="000000"/>
                <w:sz w:val="21"/>
              </w:rPr>
              <w:t>系统加密功能：具有信号加密传输功能，支持控制器与屏体之间信号加密传输功能，防止网络恶意入侵；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t>11.</w:t>
            </w:r>
            <w:r>
              <w:rPr>
                <w:rFonts w:ascii="宋体" w:hAnsi="宋体" w:eastAsia="宋体" w:cs="宋体"/>
                <w:color w:val="000000"/>
                <w:sz w:val="21"/>
              </w:rPr>
              <w:t>基色主波长误差符合C 级；△λD≤5；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t>12.</w:t>
            </w:r>
            <w:r>
              <w:rPr>
                <w:rFonts w:ascii="宋体" w:hAnsi="宋体" w:eastAsia="宋体" w:cs="宋体"/>
                <w:color w:val="000000"/>
                <w:sz w:val="21"/>
              </w:rPr>
              <w:t>动态节能：带有智能节电功能、带电黑屏节电功能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t>13.</w:t>
            </w:r>
            <w:r>
              <w:rPr>
                <w:rFonts w:ascii="宋体" w:hAnsi="宋体" w:eastAsia="宋体" w:cs="宋体"/>
                <w:color w:val="000000"/>
                <w:sz w:val="21"/>
              </w:rPr>
              <w:t>掉电存储功能：支持掉电存储功能，不丢失数据，上电自动恢复，无需重复配置；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t>14.</w:t>
            </w:r>
            <w:r>
              <w:rPr>
                <w:rFonts w:ascii="宋体" w:hAnsi="宋体" w:eastAsia="宋体" w:cs="宋体"/>
                <w:color w:val="000000"/>
                <w:sz w:val="21"/>
              </w:rPr>
              <w:t>对地漏电流：依据SJ/T11281-2017 发光二极管（LED）显示屏测试方法，在 1.1 倍额定电源电压下，测试样品的电源线对金属外框间的对地漏电流不大于3.5mA/㎡（交流有效值）；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pPr>
            <w:r>
              <w:rPr>
                <w:rFonts w:ascii="新宋体" w:hAnsi="新宋体" w:eastAsia="新宋体" w:cs="新宋体"/>
                <w:sz w:val="12"/>
              </w:rPr>
              <w:t xml:space="preserve">15. </w:t>
            </w:r>
            <w:r>
              <w:rPr>
                <w:rFonts w:ascii="宋体" w:hAnsi="宋体" w:eastAsia="宋体" w:cs="宋体"/>
                <w:color w:val="000000"/>
                <w:sz w:val="21"/>
              </w:rPr>
              <w:t>控制系统：接口：≥1路DVI接口、≥1路HDMI接口、≥1路VGA接口、≥1路USB播放接口、≥1路CVBS接口、≥4个网口；支持窗口位置、大小调整及窗口截取功能、缩放功能；</w:t>
            </w:r>
          </w:p>
          <w:p>
            <w:pPr>
              <w:pStyle w:val="4"/>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16</w:t>
            </w:r>
          </w:p>
        </w:tc>
        <w:tc>
          <w:tcPr>
            <w:tcW w:w="2769" w:type="dxa"/>
          </w:tcPr>
          <w:p>
            <w:pPr>
              <w:pStyle w:val="4"/>
            </w:pPr>
            <w:r>
              <w:t>16.</w:t>
            </w:r>
            <w:r>
              <w:rPr>
                <w:rFonts w:ascii="宋体" w:hAnsi="宋体" w:eastAsia="宋体" w:cs="宋体"/>
                <w:color w:val="000000"/>
                <w:sz w:val="21"/>
              </w:rPr>
              <w:t>供电设备：输入电压：3相380V/50Hz，额定功率：≥30KW，输出：≥6路；能随控制信号输出与断开及时对大屏进行供电或断电,具备时序电源功能。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17</w:t>
            </w:r>
          </w:p>
        </w:tc>
        <w:tc>
          <w:tcPr>
            <w:tcW w:w="2769" w:type="dxa"/>
          </w:tcPr>
          <w:p>
            <w:pPr>
              <w:pStyle w:val="4"/>
            </w:pPr>
            <w:r>
              <w:t>17.</w:t>
            </w:r>
            <w:r>
              <w:rPr>
                <w:rFonts w:ascii="宋体" w:hAnsi="宋体" w:eastAsia="宋体" w:cs="宋体"/>
                <w:color w:val="000000"/>
                <w:sz w:val="21"/>
              </w:rPr>
              <w:t>图形工作站：cpu：≥14核/2.5GHz主频/24MB三级缓存；内存：≥16GB DDR4；固态硬盘：≥1TB；独立显卡显存：≥4GB，显示器：≥21英寸，分辨率：≥1920*1080；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18</w:t>
            </w:r>
          </w:p>
        </w:tc>
        <w:tc>
          <w:tcPr>
            <w:tcW w:w="2769" w:type="dxa"/>
          </w:tcPr>
          <w:p>
            <w:pPr>
              <w:pStyle w:val="4"/>
            </w:pPr>
            <w:r>
              <w:t>18.</w:t>
            </w:r>
            <w:r>
              <w:rPr>
                <w:rFonts w:ascii="宋体" w:hAnsi="宋体" w:eastAsia="宋体" w:cs="宋体"/>
                <w:color w:val="000000"/>
                <w:sz w:val="21"/>
              </w:rPr>
              <w:t>电源防雷模块：接地系统：新建接地网，地阻≤4Ω；电源保护器：一级电源进线端，二级LED大屏配电箱，三级后端用电设备；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19</w:t>
            </w:r>
          </w:p>
        </w:tc>
        <w:tc>
          <w:tcPr>
            <w:tcW w:w="2769" w:type="dxa"/>
          </w:tcPr>
          <w:p>
            <w:pPr>
              <w:pStyle w:val="4"/>
            </w:pPr>
            <w:r>
              <w:t>19、</w:t>
            </w:r>
            <w:r>
              <w:rPr>
                <w:rFonts w:ascii="宋体" w:hAnsi="宋体" w:eastAsia="宋体" w:cs="宋体"/>
                <w:color w:val="000000"/>
                <w:sz w:val="21"/>
              </w:rPr>
              <w:t>安全防护控制模块</w:t>
            </w:r>
          </w:p>
          <w:p>
            <w:pPr>
              <w:pStyle w:val="4"/>
            </w:pPr>
            <w:r>
              <w:rPr>
                <w:rFonts w:ascii="宋体" w:hAnsi="宋体" w:eastAsia="宋体" w:cs="宋体"/>
                <w:color w:val="000000"/>
                <w:sz w:val="21"/>
              </w:rPr>
              <w:t>①、采用高性能微控制器主控芯片；设备标配通讯接口至少RJ45；标配网络防雷接口≧2路、接地通路接口≧2路、RS485接口≧4路、漏电监测接口≧4路、开关量输入接口≧2路、USB接口≧2路、HDMI接口≧1路、电源输出接口≧4路国标插座；（提供国家认可的第三方检测机构出具（具有CNAS或CMA标识）的证书或测试报告复印件，并加盖投标人公章）</w:t>
            </w:r>
          </w:p>
          <w:p>
            <w:pPr>
              <w:pStyle w:val="4"/>
            </w:pPr>
            <w:r>
              <w:rPr>
                <w:rFonts w:ascii="宋体" w:hAnsi="宋体" w:eastAsia="宋体" w:cs="宋体"/>
                <w:color w:val="000000"/>
                <w:sz w:val="21"/>
              </w:rPr>
              <w:t>②.设备标配≧2.4寸触摸显示屏，可显示监测指标信息，可通过手机扫描屏显电子二维码进行关注、查询、故障报修；</w:t>
            </w:r>
          </w:p>
          <w:p>
            <w:pPr>
              <w:pStyle w:val="4"/>
            </w:pPr>
            <w:r>
              <w:rPr>
                <w:rFonts w:ascii="宋体" w:hAnsi="宋体" w:eastAsia="宋体" w:cs="宋体"/>
                <w:color w:val="000000"/>
                <w:sz w:val="21"/>
              </w:rPr>
              <w:t>③.设备内置告警扬声器≧1个，具有系统、网络、入网状态指示灯，告警方式支持本机扬声器告警、手机微信告警、管理平台告警；</w:t>
            </w:r>
          </w:p>
          <w:p>
            <w:pPr>
              <w:pStyle w:val="4"/>
            </w:pPr>
            <w:r>
              <w:rPr>
                <w:rFonts w:ascii="宋体" w:hAnsi="宋体" w:eastAsia="宋体" w:cs="宋体"/>
                <w:color w:val="000000"/>
                <w:sz w:val="21"/>
              </w:rPr>
              <w:t>⑤.支持显示窗口要求显示内容包括：电压、电流、频率、功率、雷击浪涌次数、防雷器状态、防雷器温度、防雷器寿命、接地通断、漏电监测、温湿度、烟雾、水浸、UPS、精密空调、安装单位、联系人、联系电话。（提供国家认可的第三方检测机构出具（具有CNAS或CMA标识）的证书或测试报告复印件，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20</w:t>
            </w:r>
          </w:p>
        </w:tc>
        <w:tc>
          <w:tcPr>
            <w:tcW w:w="2769" w:type="dxa"/>
          </w:tcPr>
          <w:p>
            <w:pPr>
              <w:pStyle w:val="4"/>
            </w:pPr>
            <w:r>
              <w:rPr>
                <w:rFonts w:ascii="宋体" w:hAnsi="宋体" w:eastAsia="宋体" w:cs="宋体"/>
                <w:color w:val="000000"/>
                <w:sz w:val="21"/>
              </w:rPr>
              <w:t>20、系统需具备不依赖第三方硬件便可对系统的显示屏、拼接处理器、LED播放控制器、PLC配电箱、矩阵等设备进行集成控制的功能；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21</w:t>
            </w:r>
          </w:p>
        </w:tc>
        <w:tc>
          <w:tcPr>
            <w:tcW w:w="2769" w:type="dxa"/>
          </w:tcPr>
          <w:p>
            <w:pPr>
              <w:pStyle w:val="4"/>
            </w:pPr>
            <w:r>
              <w:t>21、</w:t>
            </w:r>
            <w:r>
              <w:rPr>
                <w:rFonts w:ascii="宋体" w:hAnsi="宋体" w:eastAsia="宋体" w:cs="宋体"/>
                <w:color w:val="000000"/>
                <w:sz w:val="21"/>
              </w:rPr>
              <w:t>控制软件具备对显示屏的画面有调控作用；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22</w:t>
            </w:r>
          </w:p>
        </w:tc>
        <w:tc>
          <w:tcPr>
            <w:tcW w:w="2769" w:type="dxa"/>
          </w:tcPr>
          <w:p>
            <w:pPr>
              <w:pStyle w:val="4"/>
            </w:pPr>
            <w:r>
              <w:t>22、</w:t>
            </w:r>
            <w:r>
              <w:rPr>
                <w:rFonts w:ascii="宋体" w:hAnsi="宋体" w:eastAsia="宋体" w:cs="宋体"/>
                <w:color w:val="000000"/>
                <w:sz w:val="21"/>
              </w:rPr>
              <w:t>含本系统运行所需的各种材料及设备，包括但不限于交换机、单冷空调、根据现场定制屏体结构及包边、根据采购人指定点位到LED显示屏安装位置的强弱电敷设、辅材、安装调试，满足项目使用需求；</w:t>
            </w:r>
          </w:p>
        </w:tc>
      </w:tr>
    </w:tbl>
    <w:p>
      <w:pPr>
        <w:pStyle w:val="4"/>
      </w:pPr>
    </w:p>
    <w:p>
      <w:pPr>
        <w:pStyle w:val="4"/>
      </w:pPr>
      <w:r>
        <w:t>标的名称：接入交换机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1、配置10/100/1000M以太网电口≥24个，100/1000M SFP千兆光接口≥4个，交换容量≥336Gbps，包转发率≥126Mpps；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2、支持专门针对CPU的保护机制，能够针对发往CPU处理的各种 报文进行流区分和优先级队列分级处理，保护交换机在各种环境下稳定工作；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color w:val="000000"/>
                <w:sz w:val="21"/>
              </w:rPr>
              <w:t>3、支持生成树协议STP(IEEE 802.1d)，RSTP(IEEE 802.1w)和MS TP(IEEE 802.1s)，完全保证快速收敛，提高容错能力，保证网络的 稳定运行和链路的负载均衡，合理使用网络通道，提供冗余链路利用率；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color w:val="000000"/>
                <w:sz w:val="21"/>
              </w:rPr>
              <w:t>4、支持快速以太网链路检测协议，可快速检测链路的通断和光纤链路的单向性，并支持端口下的环路检测功能；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color w:val="000000"/>
                <w:sz w:val="21"/>
              </w:rPr>
              <w:t>5、支持SNMP、CLI(Telnet/Console)、Syslog、NTP、TFTP、Web。</w:t>
            </w:r>
          </w:p>
        </w:tc>
      </w:tr>
    </w:tbl>
    <w:p>
      <w:pPr>
        <w:pStyle w:val="4"/>
      </w:pPr>
    </w:p>
    <w:p>
      <w:pPr>
        <w:pStyle w:val="4"/>
      </w:pPr>
      <w:r>
        <w:t>标的名称：学生台式计算机主机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1、CPU：四核及以上处理器，主频≥3.4GHz，线程数≥8，缓存≥12MB，热设计功耗≤65W；</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2、内存：配置容量≥8GB，DDR4 3200及以上内存类型；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color w:val="000000"/>
                <w:sz w:val="21"/>
              </w:rPr>
              <w:t>3、主板：支持主流 CPU和内存；主板内置≥1个PCIe*16 插槽、≥2个PCIe*1 插槽，≥1个PCI；主板支持的USB（接口）数≥6个；主板支持的M.2接口数量≥2个；主板支持的SATA接口数量≥2个；主板最大支持单内存插槽最大可支持容量≥16GB；内存插槽满配时提供的最高内存总容量≥32GB；</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color w:val="000000"/>
                <w:sz w:val="21"/>
              </w:rPr>
              <w:t>4、硬盘：提供固态硬盘数量≥1 个；固态存储容量≥512GB；固态硬盘从上电到进入数据读写状态的时间不超过2s；固态硬盘数据读写速度等级不低于5级；固态硬盘的平均无故障时间（MTBF）的m1值不低于10000h；其他固态硬盘要求符合 SJ/T 11654 相关规定；提供机械硬盘数量≥1 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color w:val="000000"/>
                <w:sz w:val="21"/>
              </w:rPr>
              <w:t>5、显卡：配置集成显卡；显示分辨率≥1920x1080；显卡显示芯片核心频率≥300MHz；显存等效频率≥1000MT/s；显卡支持 2 块屏幕同时显示，分辨率不低于 1920×1080；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rPr>
                <w:rFonts w:ascii="宋体" w:hAnsi="宋体" w:eastAsia="宋体" w:cs="宋体"/>
                <w:color w:val="000000"/>
                <w:sz w:val="21"/>
              </w:rPr>
              <w:t>6、外围设备：鼠标数量≥1 个；键盘数量≥1 个；键盘连接方式为有线；键盘键程2.3mm ~ 4.0mm；按键压力为 0.54 N±0.14N；键盘连接线≥1 米；键盘颜色为黑色；鼠标连接方式为有线；鼠标连接线≥1.5 米；鼠标 DPI分辨率800~1600；鼠标颜色为黑色；鼠标分辨率精度&gt;85%；鼠标左右按键寿命&gt;10万次；鼠标移动寿命&gt;250km；鼠标跟踪速度≥100mm/s；鼠标其它参数符合GB/T 26245 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rPr>
                <w:rFonts w:ascii="宋体" w:hAnsi="宋体" w:eastAsia="宋体" w:cs="宋体"/>
                <w:color w:val="000000"/>
                <w:sz w:val="21"/>
              </w:rPr>
              <w:t>7、接口：有线网卡数量≥1；机箱前面板提供≥2个USB3.2接口；机箱支持HDMI或DP或VGA；音频接口数量≥5；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rPr>
                <w:rFonts w:ascii="宋体" w:hAnsi="宋体" w:eastAsia="宋体" w:cs="宋体"/>
                <w:color w:val="000000"/>
                <w:sz w:val="21"/>
              </w:rPr>
              <w:t>8、机箱应符合 GB/T 4208、GB/T 26246的相关规定；机箱开关使用寿命&gt;10000次；机箱功能性接口使用寿命&gt;2000次；机箱转轴活动挡板使用寿命&gt;2000次；机箱其它要求应符合 GB/T9813.1 的相关规定；机身材质为塑料/金属等；机箱体积不大于14L；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rPr>
                <w:rFonts w:ascii="宋体" w:hAnsi="宋体" w:eastAsia="宋体" w:cs="宋体"/>
                <w:color w:val="000000"/>
                <w:sz w:val="21"/>
              </w:rPr>
              <w:t>9、整机表面不应有凹痕、划伤、裂缝、变形和污染等。表面涂层均匀，不应起泡、龟裂、脱落和磨损，金属零部件无锈蚀及其它机械损伤； 产品表面说明功能的文字、符号、标志，应清晰、端正、牢固；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rPr>
                <w:rFonts w:ascii="宋体" w:hAnsi="宋体" w:eastAsia="宋体" w:cs="宋体"/>
                <w:color w:val="000000"/>
                <w:sz w:val="21"/>
              </w:rPr>
              <w:t>10、键盘按键寿命≥1000 万次；键盘鼠标所用线材经±60°弯折不低于 3000 次，功能、外观完好；风扇寿命≥4 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11</w:t>
            </w:r>
          </w:p>
        </w:tc>
        <w:tc>
          <w:tcPr>
            <w:tcW w:w="2769" w:type="dxa"/>
          </w:tcPr>
          <w:p>
            <w:pPr>
              <w:pStyle w:val="4"/>
            </w:pPr>
            <w:r>
              <w:rPr>
                <w:rFonts w:ascii="宋体" w:hAnsi="宋体" w:eastAsia="宋体" w:cs="宋体"/>
                <w:color w:val="000000"/>
                <w:sz w:val="21"/>
              </w:rPr>
              <w:t>11、电磁兼容性要求的抗扰度符合 GB/T 9254.2 的规定；环境条件要求的气候环境适应性、环境条件要求的振动适应性、环境条件要求的冲击适应性、环境条件要求的碰撞适应性、环境条件要求的运输包装件跌落适应性均符合 GB/T 9813.1 中规定；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12</w:t>
            </w:r>
          </w:p>
        </w:tc>
        <w:tc>
          <w:tcPr>
            <w:tcW w:w="2769" w:type="dxa"/>
          </w:tcPr>
          <w:p>
            <w:pPr>
              <w:pStyle w:val="4"/>
            </w:pPr>
            <w:r>
              <w:rPr>
                <w:rFonts w:ascii="宋体" w:hAnsi="宋体" w:eastAsia="宋体" w:cs="宋体"/>
                <w:color w:val="000000"/>
                <w:sz w:val="21"/>
              </w:rPr>
              <w:t>12、整机平均无故障时间MTBF(m1)≥100万小时；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13</w:t>
            </w:r>
          </w:p>
        </w:tc>
        <w:tc>
          <w:tcPr>
            <w:tcW w:w="2769" w:type="dxa"/>
          </w:tcPr>
          <w:p>
            <w:pPr>
              <w:pStyle w:val="4"/>
            </w:pPr>
            <w:r>
              <w:rPr>
                <w:rFonts w:ascii="宋体" w:hAnsi="宋体" w:eastAsia="宋体" w:cs="宋体"/>
                <w:color w:val="000000"/>
                <w:sz w:val="21"/>
              </w:rPr>
              <w:t>13、符合 GB/T 9813.1 和商品包装政府采购需求标准的相关规定；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14</w:t>
            </w:r>
          </w:p>
        </w:tc>
        <w:tc>
          <w:tcPr>
            <w:tcW w:w="2769" w:type="dxa"/>
          </w:tcPr>
          <w:p>
            <w:pPr>
              <w:pStyle w:val="4"/>
            </w:pPr>
            <w:r>
              <w:rPr>
                <w:rFonts w:ascii="宋体" w:hAnsi="宋体" w:eastAsia="宋体" w:cs="宋体"/>
                <w:color w:val="000000"/>
                <w:sz w:val="21"/>
              </w:rPr>
              <w:t>14、预装正版操作系统，兼容教育系统现有场地授权办公软件。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15</w:t>
            </w:r>
          </w:p>
        </w:tc>
        <w:tc>
          <w:tcPr>
            <w:tcW w:w="2769" w:type="dxa"/>
          </w:tcPr>
          <w:p>
            <w:pPr>
              <w:pStyle w:val="4"/>
            </w:pPr>
            <w:r>
              <w:rPr>
                <w:rFonts w:ascii="宋体" w:hAnsi="宋体" w:eastAsia="宋体" w:cs="宋体"/>
                <w:color w:val="000000"/>
                <w:sz w:val="21"/>
              </w:rPr>
              <w:t>15、财政部《台式计算机财政采购需求标准（2023年版）》中规定的其他</w:t>
            </w:r>
            <w:r>
              <w:rPr>
                <w:rFonts w:ascii="黑体" w:hAnsi="黑体" w:eastAsia="黑体" w:cs="黑体"/>
                <w:color w:val="000000"/>
                <w:sz w:val="18"/>
              </w:rPr>
              <w:t>*</w:t>
            </w:r>
            <w:r>
              <w:rPr>
                <w:rFonts w:ascii="宋体" w:hAnsi="宋体" w:eastAsia="宋体" w:cs="宋体"/>
                <w:color w:val="000000"/>
                <w:sz w:val="21"/>
              </w:rPr>
              <w:t>内容。</w:t>
            </w:r>
          </w:p>
        </w:tc>
      </w:tr>
    </w:tbl>
    <w:p>
      <w:pPr>
        <w:pStyle w:val="4"/>
      </w:pPr>
    </w:p>
    <w:p>
      <w:pPr>
        <w:pStyle w:val="4"/>
      </w:pPr>
      <w:r>
        <w:t>标的名称：电子教室软件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1、支持同一界面可独立设置系统每次开机恢复、手动恢复、每天恢复、每周恢复、每月恢复、定时恢复及不恢复等多种数据还原方式，无需进入系统即可完成设置，同时也可在系统下对终端远程设置还原参数，也可单台还原参数独立设置，满足各种教学场景需要（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pPr>
            <w:r>
              <w:rPr>
                <w:rFonts w:ascii="宋体" w:hAnsi="宋体" w:eastAsia="宋体" w:cs="宋体"/>
                <w:color w:val="000000"/>
                <w:sz w:val="21"/>
              </w:rPr>
              <w:t>2、支持BIOS底层对系统的管理员模式、还原模式、考试模式一键自由切换（提供软件功能界面截图并加盖投标人公章）；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color w:val="000000"/>
                <w:sz w:val="21"/>
              </w:rPr>
              <w:t>3、支持双硬盘保护还原及同传，同传支持UEFI PXE和Legacy PXE双模式自动连线；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pPr>
            <w:r>
              <w:rPr>
                <w:rFonts w:ascii="宋体" w:hAnsi="宋体" w:eastAsia="宋体" w:cs="宋体"/>
                <w:color w:val="000000"/>
                <w:sz w:val="21"/>
              </w:rPr>
              <w:t>4、支持无需进入系统下即可完成对硬盘分区新建、删除和编辑维护，及IP地址、ID信息、计算机名、管理密码信息的修改和关机重启操作（提供软件功能界面截图并加盖投标人公章）；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5</w:t>
            </w:r>
          </w:p>
        </w:tc>
        <w:tc>
          <w:tcPr>
            <w:tcW w:w="2769" w:type="dxa"/>
          </w:tcPr>
          <w:p>
            <w:pPr>
              <w:pStyle w:val="4"/>
            </w:pPr>
            <w:r>
              <w:rPr>
                <w:rFonts w:ascii="宋体" w:hAnsi="宋体" w:eastAsia="宋体" w:cs="宋体"/>
                <w:color w:val="000000"/>
                <w:sz w:val="21"/>
              </w:rPr>
              <w:t>5、支持设备锁定对键鼠、屏幕、USB、光驱、网络、扬声器等设备进行管控（提供软件功能界面截图并加盖投标人公章）；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pPr>
            <w:r>
              <w:rPr>
                <w:rFonts w:ascii="宋体" w:hAnsi="宋体" w:eastAsia="宋体" w:cs="宋体"/>
                <w:color w:val="000000"/>
                <w:sz w:val="21"/>
              </w:rPr>
              <w:t>6、支持广播教学、学生演示、网络影院、打开网页、收取作业、文件分发、电子点名、在线考试、屏幕录制等多种课堂教学功能（提供软件功能界面截图并加盖投标人公章）；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7</w:t>
            </w:r>
          </w:p>
        </w:tc>
        <w:tc>
          <w:tcPr>
            <w:tcW w:w="2769" w:type="dxa"/>
          </w:tcPr>
          <w:p>
            <w:pPr>
              <w:pStyle w:val="4"/>
            </w:pPr>
            <w:r>
              <w:rPr>
                <w:rFonts w:ascii="宋体" w:hAnsi="宋体" w:eastAsia="宋体" w:cs="宋体"/>
                <w:color w:val="000000"/>
                <w:sz w:val="21"/>
              </w:rPr>
              <w:t>7、支持设备锁定、远程运行、模式切换、关机、重启、唤醒、远程控制、系统切换、消息发送等多种课堂管理功能分（提供软件功能界面截图并加盖投标人公章）；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pPr>
            <w:r>
              <w:rPr>
                <w:rFonts w:ascii="宋体" w:hAnsi="宋体" w:eastAsia="宋体" w:cs="宋体"/>
                <w:color w:val="000000"/>
                <w:sz w:val="21"/>
              </w:rPr>
              <w:t>8、支持老师机对学生机桌面状态实时查看功能（提供软件功能界面截图并加盖投标人公章）；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9</w:t>
            </w:r>
          </w:p>
        </w:tc>
        <w:tc>
          <w:tcPr>
            <w:tcW w:w="2769" w:type="dxa"/>
          </w:tcPr>
          <w:p>
            <w:pPr>
              <w:pStyle w:val="4"/>
            </w:pPr>
            <w:r>
              <w:rPr>
                <w:rFonts w:ascii="宋体" w:hAnsi="宋体" w:eastAsia="宋体" w:cs="宋体"/>
                <w:color w:val="000000"/>
                <w:sz w:val="21"/>
              </w:rPr>
              <w:t>9、可根据不同的终端硬件配置选择Intel集成显卡解码、NVIDIA显卡解码、DXVA2解码等多种不同的解码方式，实现最优的广播效果（提供软件功能界面截图并加盖投标人公章）；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pPr>
            <w:r>
              <w:rPr>
                <w:rFonts w:ascii="宋体" w:hAnsi="宋体" w:eastAsia="宋体" w:cs="宋体"/>
                <w:color w:val="000000"/>
                <w:sz w:val="21"/>
              </w:rPr>
              <w:t>10、支持权限分级管理，超级管理员可根据管理需要，设置多个二级管理员，同时分配特定的管理权限，不同的管理员账号登录后，主控端操作界面只显示本账号所包含权限（提供软件功能界面截图并加盖投标人公章）；</w:t>
            </w:r>
          </w:p>
        </w:tc>
      </w:tr>
    </w:tbl>
    <w:p>
      <w:pPr>
        <w:pStyle w:val="4"/>
      </w:pPr>
    </w:p>
    <w:p>
      <w:pPr>
        <w:pStyle w:val="4"/>
      </w:pPr>
      <w:r>
        <w:t>标的名称：静电地板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pPr>
            <w:r>
              <w:rPr>
                <w:rFonts w:ascii="宋体" w:hAnsi="宋体" w:eastAsia="宋体" w:cs="宋体"/>
                <w:color w:val="000000"/>
                <w:sz w:val="21"/>
              </w:rPr>
              <w:t>国标静电地板，规格600×600×38mm；地板钢壳上板采用0.6MM厚的冷轧硬钢板，下板采用0.4MM 深拉伸冷轧钢板，中间填充材料为轻质水泥加发泡剂；地板贴面为10MM的防静电陶瓷面；地板钢梁为0.7MM厚的镀锌方钢管，支架可调型标准支架；配套不锈钢踢脚线。</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采购人指定的地点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合同签订后，甲方自收到乙方发票 ，达到付款条件起 15 日内，支付合同总金额的 40.00%。</w:t>
      </w:r>
    </w:p>
    <w:p>
      <w:pPr>
        <w:pStyle w:val="4"/>
      </w:pPr>
      <w:r>
        <w:t>采购包1： 付款条件说明： 所有货物安装、调试合格后，经甲方确认后，甲方收到正式票据 ，达到付款条件起 30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如质量验收合格，双方签署质量验收报告。（说明：投标人在投标文件响应）</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说明：投标人在投标文件响应）</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1、质保期为验收合格后叁年，质保期内出现质量问题，乙方在接到通知后 立即响应，24小时内到场维修，并承担修理调换的费用；如货物经乙方 三 次维修仍不能达到本合同约定的质量标准，视作乙方未能按时交货，甲方有权退货并追究乙方的违约责任。货到现场后由于甲方保管不当造成的问题，乙方亦应负责修复，但费用由甲方负担。（说明：投标人应在投标文件中响应。） 2、乙方须指派专人负责与甲方联系售后服务事宜。（说明：投标人应在投标文件中响应。）</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1、甲方违约责任 （1）甲方无正当理由拒收货物的，甲方应偿付合同总价百分之 五 的违约金； （2）甲方逾期支付货款的，除应及时付足货款外，应向乙方偿付欠款总额万分之 一 /天的违约金；逾期付款超过 30 天的，乙方有权终止合同； （3）甲方偿付的违约金不足以弥补乙方损失的，还应按乙方损失尚未弥补的部分，支付赔偿金给乙方。 2、乙方违约责任 （1）乙方交付的货物质量不符合合同规定的，乙方应向甲方支付合同总价的百分之 五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一 /天的违约金；逾期交货超过30天，甲方有权终止合同，乙方则应按合同总价的百分之 十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10 天内无条件更换合格的货物，如逾期不能更换合格的货物，甲方有权终止本合同，乙方应另付合同总价的百分之 十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 （5）乙方偿付的违约金不足以弥补甲方损失的，还应按甲方损失尚未弥补的部分，支付赔偿金给甲方。 （说明：投标人应在投标文件中响应）</w:t>
      </w:r>
    </w:p>
    <w:p>
      <w:pPr>
        <w:pStyle w:val="4"/>
        <w:jc w:val="left"/>
        <w:outlineLvl w:val="2"/>
      </w:pPr>
      <w:r>
        <w:rPr>
          <w:b/>
          <w:sz w:val="28"/>
        </w:rPr>
        <w:t>3.5其他要求</w:t>
      </w:r>
    </w:p>
    <w:p>
      <w:pPr>
        <w:pStyle w:val="4"/>
      </w:pPr>
    </w:p>
    <w:p>
      <w:pPr>
        <w:pStyle w:val="4"/>
      </w:pPr>
    </w:p>
    <w:p>
      <w:pPr>
        <w:pStyle w:val="4"/>
      </w:pPr>
      <w:r>
        <w:t>★投标人为本项目提供的所有产品、辅材中属于《国家强制性产品认证目录》范围内产品的，均通过国家强制性产品认证并取得认证证书。（说明：投标人在投标文件中响应。） // 二、★投标人为本项目提供的所有产品、辅材符合现行的强制性国家相关标准、行业标准。（说明：投标人在投标文件中响应。） // 三、★投标人为本项目提供的所有投标产品均为非进口产品。（说明：投标人在投标文件中响应。）</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helvetica, sans-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738F2"/>
    <w:rsid w:val="43C7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2024-04-11T01:19:00Z</dcterms:created>
  <dc:creator>圈养小刺猬</dc:creator>
  <cp:lastModifiedBy>圈养小刺猬</cp:lastModifiedBy>
  <dcterms:modified xsi:type="dcterms:W3CDTF">2024-04-11T01:20:31Z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2DCD873DAA3B43619EE86107206E762F</vt:lpwstr>
  </property>
</Properties>
</file>