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outlineLvl w:val="1"/>
      </w:pPr>
      <w:r>
        <w:rPr>
          <w:b/>
          <w:sz w:val="36"/>
        </w:rPr>
        <w:t xml:space="preserve"> 磋商项目技术、服务、商务及其他要求</w:t>
      </w:r>
    </w:p>
    <w:p>
      <w:pPr>
        <w:pStyle w:val="7"/>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7"/>
        <w:outlineLvl w:val="2"/>
      </w:pPr>
      <w:r>
        <w:rPr>
          <w:b/>
          <w:sz w:val="28"/>
        </w:rPr>
        <w:t>3.1、采购项目概况</w:t>
      </w:r>
    </w:p>
    <w:p>
      <w:pPr>
        <w:pStyle w:val="7"/>
      </w:pPr>
      <w:r>
        <w:t>都江堰市农业农村局拟采用竞争性磋商方式，选择供应商提供2024年都江堰市病死动物无害化处理监督及动物产品检疫协助工作第三方服务。本项目共1个包件。</w:t>
      </w:r>
    </w:p>
    <w:p>
      <w:pPr>
        <w:pStyle w:val="7"/>
        <w:outlineLvl w:val="2"/>
      </w:pPr>
      <w:r>
        <w:rPr>
          <w:b/>
          <w:sz w:val="28"/>
        </w:rPr>
        <w:t>3.2、服务内容及服务要求</w:t>
      </w:r>
    </w:p>
    <w:p>
      <w:pPr>
        <w:pStyle w:val="7"/>
        <w:outlineLvl w:val="3"/>
      </w:pPr>
      <w:r>
        <w:rPr>
          <w:b/>
          <w:sz w:val="24"/>
        </w:rPr>
        <w:t>3.2.1服务内容</w:t>
      </w:r>
    </w:p>
    <w:p>
      <w:pPr>
        <w:pStyle w:val="7"/>
      </w:pPr>
    </w:p>
    <w:p>
      <w:pPr>
        <w:pStyle w:val="7"/>
      </w:pPr>
      <w:r>
        <w:t>采购包1：</w:t>
      </w:r>
    </w:p>
    <w:p>
      <w:pPr>
        <w:pStyle w:val="7"/>
      </w:pPr>
      <w:r>
        <w:t>采购包预算金额（元）: 1,000,200.00</w:t>
      </w:r>
    </w:p>
    <w:p>
      <w:pPr>
        <w:pStyle w:val="7"/>
      </w:pPr>
      <w:r>
        <w:t>采购包最高限价（元）: 1,000,200.00</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pStyle w:val="7"/>
            </w:pPr>
            <w:r>
              <w:t>序号</w:t>
            </w:r>
          </w:p>
        </w:tc>
        <w:tc>
          <w:tcPr>
            <w:tcW w:w="1271" w:type="dxa"/>
          </w:tcPr>
          <w:p>
            <w:pPr>
              <w:pStyle w:val="7"/>
            </w:pPr>
            <w:r>
              <w:t>标的名称</w:t>
            </w:r>
          </w:p>
        </w:tc>
        <w:tc>
          <w:tcPr>
            <w:tcW w:w="848" w:type="dxa"/>
          </w:tcPr>
          <w:p>
            <w:pPr>
              <w:pStyle w:val="7"/>
            </w:pPr>
            <w:r>
              <w:t>数量</w:t>
            </w:r>
          </w:p>
        </w:tc>
        <w:tc>
          <w:tcPr>
            <w:tcW w:w="1356" w:type="dxa"/>
          </w:tcPr>
          <w:p>
            <w:pPr>
              <w:pStyle w:val="7"/>
            </w:pPr>
            <w:r>
              <w:t>标的金额 （元）</w:t>
            </w:r>
          </w:p>
        </w:tc>
        <w:tc>
          <w:tcPr>
            <w:tcW w:w="678" w:type="dxa"/>
          </w:tcPr>
          <w:p>
            <w:pPr>
              <w:pStyle w:val="7"/>
            </w:pPr>
            <w:r>
              <w:t>计量单位</w:t>
            </w:r>
          </w:p>
        </w:tc>
        <w:tc>
          <w:tcPr>
            <w:tcW w:w="678" w:type="dxa"/>
          </w:tcPr>
          <w:p>
            <w:pPr>
              <w:pStyle w:val="7"/>
            </w:pPr>
            <w:r>
              <w:t>所属行业</w:t>
            </w:r>
          </w:p>
        </w:tc>
        <w:tc>
          <w:tcPr>
            <w:tcW w:w="593" w:type="dxa"/>
          </w:tcPr>
          <w:p>
            <w:pPr>
              <w:pStyle w:val="7"/>
            </w:pPr>
            <w:r>
              <w:t>是否涉及核心产品</w:t>
            </w:r>
          </w:p>
        </w:tc>
        <w:tc>
          <w:tcPr>
            <w:tcW w:w="678" w:type="dxa"/>
          </w:tcPr>
          <w:p>
            <w:pPr>
              <w:pStyle w:val="7"/>
            </w:pPr>
            <w:r>
              <w:t>是否涉及采购进口产品</w:t>
            </w:r>
          </w:p>
        </w:tc>
        <w:tc>
          <w:tcPr>
            <w:tcW w:w="678" w:type="dxa"/>
          </w:tcPr>
          <w:p>
            <w:pPr>
              <w:pStyle w:val="7"/>
            </w:pPr>
            <w:r>
              <w:t>是否涉及采购节能产品</w:t>
            </w:r>
          </w:p>
        </w:tc>
        <w:tc>
          <w:tcPr>
            <w:tcW w:w="848" w:type="dxa"/>
          </w:tcPr>
          <w:p>
            <w:pPr>
              <w:pStyle w:val="7"/>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
            </w:pPr>
            <w:r>
              <w:t>1</w:t>
            </w:r>
          </w:p>
        </w:tc>
        <w:tc>
          <w:tcPr>
            <w:tcW w:w="1271" w:type="dxa"/>
          </w:tcPr>
          <w:p>
            <w:pPr>
              <w:pStyle w:val="7"/>
            </w:pPr>
            <w:r>
              <w:t>2024年都江堰市病死动物无害化处理监督及动物产品检疫协助工作第三方服务</w:t>
            </w:r>
          </w:p>
        </w:tc>
        <w:tc>
          <w:tcPr>
            <w:tcW w:w="848" w:type="dxa"/>
          </w:tcPr>
          <w:p>
            <w:pPr>
              <w:pStyle w:val="7"/>
              <w:jc w:val="right"/>
            </w:pPr>
            <w:r>
              <w:t>1.00</w:t>
            </w:r>
          </w:p>
        </w:tc>
        <w:tc>
          <w:tcPr>
            <w:tcW w:w="1356" w:type="dxa"/>
          </w:tcPr>
          <w:p>
            <w:pPr>
              <w:pStyle w:val="7"/>
              <w:jc w:val="right"/>
            </w:pPr>
            <w:r>
              <w:t>1,000,200.00</w:t>
            </w:r>
          </w:p>
        </w:tc>
        <w:tc>
          <w:tcPr>
            <w:tcW w:w="678" w:type="dxa"/>
          </w:tcPr>
          <w:p>
            <w:pPr>
              <w:pStyle w:val="7"/>
            </w:pPr>
            <w:r>
              <w:t>项</w:t>
            </w:r>
          </w:p>
        </w:tc>
        <w:tc>
          <w:tcPr>
            <w:tcW w:w="678" w:type="dxa"/>
          </w:tcPr>
          <w:p>
            <w:pPr>
              <w:pStyle w:val="7"/>
            </w:pPr>
            <w:r>
              <w:t>其他未列明行业</w:t>
            </w:r>
          </w:p>
        </w:tc>
        <w:tc>
          <w:tcPr>
            <w:tcW w:w="593" w:type="dxa"/>
          </w:tcPr>
          <w:p>
            <w:pPr>
              <w:pStyle w:val="7"/>
            </w:pPr>
            <w:r>
              <w:t>否</w:t>
            </w:r>
          </w:p>
        </w:tc>
        <w:tc>
          <w:tcPr>
            <w:tcW w:w="678" w:type="dxa"/>
          </w:tcPr>
          <w:p>
            <w:pPr>
              <w:pStyle w:val="7"/>
            </w:pPr>
            <w:r>
              <w:t>否</w:t>
            </w:r>
          </w:p>
        </w:tc>
        <w:tc>
          <w:tcPr>
            <w:tcW w:w="678" w:type="dxa"/>
          </w:tcPr>
          <w:p>
            <w:pPr>
              <w:pStyle w:val="7"/>
            </w:pPr>
            <w:r>
              <w:t>否</w:t>
            </w:r>
          </w:p>
        </w:tc>
        <w:tc>
          <w:tcPr>
            <w:tcW w:w="848" w:type="dxa"/>
          </w:tcPr>
          <w:p>
            <w:pPr>
              <w:pStyle w:val="7"/>
            </w:pPr>
            <w:r>
              <w:t>否</w:t>
            </w:r>
          </w:p>
        </w:tc>
      </w:tr>
    </w:tbl>
    <w:p>
      <w:pPr>
        <w:pStyle w:val="7"/>
        <w:outlineLvl w:val="3"/>
      </w:pPr>
      <w:r>
        <w:rPr>
          <w:b/>
          <w:sz w:val="24"/>
        </w:rPr>
        <w:t>3.2.2服务要求</w:t>
      </w:r>
    </w:p>
    <w:p>
      <w:pPr>
        <w:pStyle w:val="7"/>
      </w:pPr>
    </w:p>
    <w:p>
      <w:pPr>
        <w:pStyle w:val="7"/>
      </w:pPr>
      <w:r>
        <w:t>采购包1：</w:t>
      </w:r>
    </w:p>
    <w:p>
      <w:pPr>
        <w:pStyle w:val="7"/>
      </w:pPr>
    </w:p>
    <w:p>
      <w:pPr>
        <w:pStyle w:val="7"/>
      </w:pPr>
      <w:r>
        <w:t>标的名称：2024年都江堰市病死动物无害化处理监督及动物产品检疫协助工作第三方服务</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1"/>
        <w:gridCol w:w="1125"/>
        <w:gridCol w:w="60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pPr>
              <w:pStyle w:val="7"/>
            </w:pPr>
            <w:r>
              <w:t xml:space="preserve"> 参数性质</w:t>
            </w:r>
          </w:p>
        </w:tc>
        <w:tc>
          <w:tcPr>
            <w:tcW w:w="1125" w:type="dxa"/>
          </w:tcPr>
          <w:p>
            <w:pPr>
              <w:pStyle w:val="7"/>
            </w:pPr>
            <w:r>
              <w:t xml:space="preserve"> 序号</w:t>
            </w:r>
          </w:p>
        </w:tc>
        <w:tc>
          <w:tcPr>
            <w:tcW w:w="6011" w:type="dxa"/>
          </w:tcPr>
          <w:p>
            <w:pPr>
              <w:pStyle w:val="7"/>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tc>
        <w:tc>
          <w:tcPr>
            <w:tcW w:w="1125" w:type="dxa"/>
          </w:tcPr>
          <w:p>
            <w:pPr>
              <w:pStyle w:val="7"/>
            </w:pPr>
            <w:r>
              <w:t>1</w:t>
            </w:r>
          </w:p>
        </w:tc>
        <w:tc>
          <w:tcPr>
            <w:tcW w:w="6011" w:type="dxa"/>
          </w:tcPr>
          <w:p>
            <w:pPr>
              <w:pStyle w:val="7"/>
              <w:ind w:firstLine="562"/>
              <w:jc w:val="both"/>
            </w:pPr>
            <w:r>
              <w:rPr>
                <w:rFonts w:ascii="宋体" w:hAnsi="宋体" w:eastAsia="宋体" w:cs="宋体"/>
                <w:b/>
                <w:sz w:val="21"/>
              </w:rPr>
              <w:t>一、项目概况</w:t>
            </w:r>
          </w:p>
          <w:p>
            <w:pPr>
              <w:pStyle w:val="7"/>
              <w:ind w:firstLine="560"/>
              <w:jc w:val="both"/>
            </w:pPr>
            <w:r>
              <w:rPr>
                <w:rFonts w:ascii="宋体" w:hAnsi="宋体" w:eastAsia="宋体" w:cs="宋体"/>
                <w:sz w:val="21"/>
              </w:rPr>
              <w:t>都江堰市农业农村局拟采用竞争性磋商方式，选择供应商提供2024年都江堰市病死动物无害化处理监督及动物产品检疫协助工作第三方服务。本项目共1个包件。</w:t>
            </w:r>
          </w:p>
          <w:p>
            <w:pPr>
              <w:pStyle w:val="7"/>
              <w:ind w:firstLine="562"/>
              <w:jc w:val="both"/>
            </w:pPr>
            <w:r>
              <w:rPr>
                <w:rFonts w:ascii="宋体" w:hAnsi="宋体" w:eastAsia="宋体" w:cs="宋体"/>
                <w:b/>
                <w:color w:val="0D0D0D"/>
                <w:sz w:val="21"/>
              </w:rPr>
              <w:t>二、服务内容</w:t>
            </w:r>
          </w:p>
          <w:p>
            <w:pPr>
              <w:pStyle w:val="7"/>
              <w:ind w:firstLine="560"/>
              <w:jc w:val="both"/>
            </w:pPr>
            <w:r>
              <w:rPr>
                <w:rFonts w:ascii="宋体" w:hAnsi="宋体" w:eastAsia="宋体" w:cs="宋体"/>
                <w:sz w:val="21"/>
              </w:rPr>
              <w:t>为扎实做好都江堰市全市的动物及其产品检疫和无害化处理工作，保障畜产品质量安全和公共卫生安全，全市设立6个动物及动物产品检疫申报点和1个无害化处理工作组，负责全市动物产地检疫和生猪屠宰检疫及病死畜禽集中无害化处理监督工作。现需要采购一名供应商提供25名辅助人员协助开展病死动物无害化处理监督及动物产品检疫协助工作。</w:t>
            </w:r>
          </w:p>
          <w:p>
            <w:pPr>
              <w:pStyle w:val="7"/>
              <w:ind w:firstLine="560"/>
              <w:jc w:val="both"/>
            </w:pPr>
            <w:r>
              <w:rPr>
                <w:rFonts w:ascii="宋体" w:hAnsi="宋体" w:eastAsia="宋体" w:cs="宋体"/>
                <w:sz w:val="21"/>
              </w:rPr>
              <w:t>（一）检疫辅助服务：</w:t>
            </w:r>
          </w:p>
          <w:p>
            <w:pPr>
              <w:pStyle w:val="7"/>
              <w:ind w:firstLine="560"/>
              <w:jc w:val="both"/>
            </w:pPr>
            <w:r>
              <w:rPr>
                <w:rFonts w:ascii="宋体" w:hAnsi="宋体" w:eastAsia="宋体" w:cs="宋体"/>
                <w:sz w:val="21"/>
              </w:rPr>
              <w:t>协助官方兽医开展全市畜禽养殖场（户）动物产地检疫和生猪（牛羊）定点屠宰场屠宰检疫工作。</w:t>
            </w:r>
          </w:p>
          <w:p>
            <w:pPr>
              <w:pStyle w:val="7"/>
              <w:ind w:firstLine="560"/>
              <w:jc w:val="both"/>
            </w:pPr>
            <w:r>
              <w:rPr>
                <w:rFonts w:ascii="宋体" w:hAnsi="宋体" w:eastAsia="宋体" w:cs="宋体"/>
                <w:sz w:val="21"/>
              </w:rPr>
              <w:t>（二）监督辅助服务：</w:t>
            </w:r>
          </w:p>
          <w:p>
            <w:pPr>
              <w:pStyle w:val="7"/>
              <w:ind w:firstLine="560"/>
              <w:jc w:val="both"/>
            </w:pPr>
            <w:r>
              <w:rPr>
                <w:rFonts w:ascii="宋体" w:hAnsi="宋体" w:eastAsia="宋体" w:cs="宋体"/>
                <w:sz w:val="21"/>
              </w:rPr>
              <w:t>协助官方兽医开展全市养殖、屠宰环节染疫、病死畜禽及不可食用肉类产品的收集、清运、消毒等无害化处理监督和相关信息、数据处理工作。预计全年完成无害化处置病死动物15000头，禽类40000公斤，病害产品80000公斤。</w:t>
            </w:r>
          </w:p>
          <w:p>
            <w:pPr>
              <w:pStyle w:val="7"/>
              <w:ind w:firstLine="560"/>
              <w:jc w:val="both"/>
            </w:pPr>
            <w:r>
              <w:rPr>
                <w:rFonts w:ascii="宋体" w:hAnsi="宋体" w:eastAsia="宋体" w:cs="宋体"/>
                <w:sz w:val="21"/>
              </w:rPr>
              <w:t>（三）服务人员应具备以下条件：</w:t>
            </w:r>
          </w:p>
          <w:p>
            <w:pPr>
              <w:pStyle w:val="7"/>
              <w:jc w:val="both"/>
            </w:pPr>
            <w:r>
              <w:rPr>
                <w:rFonts w:ascii="宋体" w:hAnsi="宋体" w:eastAsia="宋体" w:cs="宋体"/>
                <w:color w:val="000000"/>
                <w:sz w:val="21"/>
              </w:rPr>
              <w:t>高中及以上文化程度，能熟练使用电脑等办公设备，能到派驻地点（村、社区）开展工作，能在农村基层开展工作。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pPr>
              <w:pStyle w:val="7"/>
            </w:pPr>
            <w:r>
              <w:t>★</w:t>
            </w:r>
          </w:p>
        </w:tc>
        <w:tc>
          <w:tcPr>
            <w:tcW w:w="1125" w:type="dxa"/>
          </w:tcPr>
          <w:p>
            <w:pPr>
              <w:pStyle w:val="7"/>
            </w:pPr>
            <w:r>
              <w:t>2</w:t>
            </w:r>
          </w:p>
        </w:tc>
        <w:tc>
          <w:tcPr>
            <w:tcW w:w="6011" w:type="dxa"/>
          </w:tcPr>
          <w:p>
            <w:pPr>
              <w:pStyle w:val="7"/>
              <w:jc w:val="both"/>
            </w:pPr>
            <w:r>
              <w:rPr>
                <w:rFonts w:ascii="宋体" w:hAnsi="宋体" w:eastAsia="宋体" w:cs="宋体"/>
                <w:b/>
                <w:sz w:val="21"/>
              </w:rPr>
              <w:t>★</w:t>
            </w:r>
            <w:r>
              <w:rPr>
                <w:rFonts w:ascii="宋体" w:hAnsi="宋体" w:eastAsia="宋体" w:cs="宋体"/>
                <w:b/>
                <w:color w:val="0D0D0D"/>
                <w:sz w:val="21"/>
              </w:rPr>
              <w:t>三、商务要求</w:t>
            </w:r>
          </w:p>
          <w:p>
            <w:pPr>
              <w:pStyle w:val="7"/>
              <w:ind w:firstLine="560"/>
              <w:jc w:val="both"/>
            </w:pPr>
            <w:r>
              <w:rPr>
                <w:rFonts w:ascii="宋体" w:hAnsi="宋体" w:eastAsia="宋体" w:cs="宋体"/>
                <w:sz w:val="21"/>
              </w:rPr>
              <w:t>1、服务期限：自合同签订之日起365日。</w:t>
            </w:r>
          </w:p>
          <w:p>
            <w:pPr>
              <w:pStyle w:val="7"/>
              <w:ind w:firstLine="560"/>
              <w:jc w:val="both"/>
            </w:pPr>
            <w:r>
              <w:rPr>
                <w:rFonts w:ascii="宋体" w:hAnsi="宋体" w:eastAsia="宋体" w:cs="宋体"/>
                <w:sz w:val="21"/>
              </w:rPr>
              <w:t>2、服务地点：成都市都江堰市。</w:t>
            </w:r>
          </w:p>
          <w:p>
            <w:pPr>
              <w:pStyle w:val="7"/>
              <w:ind w:firstLine="560"/>
              <w:jc w:val="both"/>
            </w:pPr>
            <w:r>
              <w:rPr>
                <w:rFonts w:ascii="宋体" w:hAnsi="宋体" w:eastAsia="宋体" w:cs="宋体"/>
                <w:color w:val="000000"/>
                <w:sz w:val="21"/>
              </w:rPr>
              <w:t>3、付款方式：合同签订生效后，采购人在供应商提供付款申请和发票后10个工作日内支付合同金额的50%；服务期满6个月，采购人在供应商提供付款申请及发票后10个工作日内支付至合同金额100%；每次付</w:t>
            </w:r>
            <w:r>
              <w:rPr>
                <w:rFonts w:ascii="宋体" w:hAnsi="宋体" w:eastAsia="宋体" w:cs="宋体"/>
                <w:sz w:val="21"/>
              </w:rPr>
              <w:t>款前成交供应商应向采购人提交付款申请，并提供合法有效完整的等额完税发票及凭证资料。</w:t>
            </w:r>
          </w:p>
          <w:p>
            <w:pPr>
              <w:pStyle w:val="7"/>
              <w:ind w:firstLine="560"/>
              <w:jc w:val="left"/>
            </w:pPr>
            <w:r>
              <w:rPr>
                <w:rFonts w:ascii="宋体" w:hAnsi="宋体" w:eastAsia="宋体" w:cs="宋体"/>
                <w:sz w:val="21"/>
              </w:rPr>
              <w:t>4、验收要求：</w:t>
            </w:r>
          </w:p>
          <w:p>
            <w:pPr>
              <w:pStyle w:val="7"/>
              <w:jc w:val="both"/>
            </w:pPr>
            <w:r>
              <w:rPr>
                <w:rFonts w:ascii="宋体" w:hAnsi="宋体" w:eastAsia="宋体" w:cs="宋体"/>
                <w:sz w:val="21"/>
              </w:rPr>
              <w:t>严格按照政府采购相关法律法规以及《财政部关于进一步加强政府采购需求和履约验收管理的指导意见》（财库〔2016〕205号）的要求进行验收。</w:t>
            </w:r>
          </w:p>
          <w:p>
            <w:pPr>
              <w:pStyle w:val="7"/>
              <w:ind w:firstLine="482"/>
              <w:jc w:val="both"/>
            </w:pPr>
            <w:r>
              <w:rPr>
                <w:rFonts w:ascii="宋体" w:hAnsi="宋体" w:eastAsia="宋体" w:cs="宋体"/>
                <w:b/>
                <w:sz w:val="21"/>
              </w:rPr>
              <w:t>注：1、本章带“★”号条款为本次采购项目的实质性条款，不允许负偏离，否则响应文件作无效处理。本项目明确要求提供证明材料或承诺函的，以提供的证明材料或承诺函为准判断是否偏离。未明确要求提供证明材料或承诺函的，以偏离表为准。</w:t>
            </w:r>
          </w:p>
          <w:p>
            <w:pPr>
              <w:pStyle w:val="7"/>
              <w:jc w:val="both"/>
            </w:pPr>
            <w:r>
              <w:rPr>
                <w:rFonts w:ascii="宋体" w:hAnsi="宋体" w:eastAsia="宋体" w:cs="宋体"/>
                <w:b/>
                <w:sz w:val="21"/>
              </w:rPr>
              <w:t>2、本项目规定的国家、行业、地方等标准如有最新标准，均按最新标准执行。</w:t>
            </w:r>
          </w:p>
        </w:tc>
      </w:tr>
    </w:tbl>
    <w:p>
      <w:pPr>
        <w:pStyle w:val="7"/>
        <w:outlineLvl w:val="3"/>
      </w:pPr>
      <w:r>
        <w:rPr>
          <w:b/>
          <w:sz w:val="24"/>
        </w:rPr>
        <w:t>3.2.3人员配置要求</w:t>
      </w:r>
    </w:p>
    <w:p>
      <w:pPr>
        <w:pStyle w:val="7"/>
      </w:pPr>
    </w:p>
    <w:p>
      <w:pPr>
        <w:pStyle w:val="7"/>
      </w:pPr>
      <w:r>
        <w:t>采购包1：</w:t>
      </w:r>
    </w:p>
    <w:p>
      <w:pPr>
        <w:pStyle w:val="7"/>
      </w:pPr>
      <w:r>
        <w:t>按3.2.2服务要求执行</w:t>
      </w:r>
    </w:p>
    <w:p>
      <w:pPr>
        <w:pStyle w:val="7"/>
        <w:outlineLvl w:val="3"/>
      </w:pPr>
      <w:r>
        <w:rPr>
          <w:b/>
          <w:sz w:val="24"/>
        </w:rPr>
        <w:t>3.2.4设施设备要求</w:t>
      </w:r>
    </w:p>
    <w:p>
      <w:pPr>
        <w:pStyle w:val="7"/>
      </w:pPr>
    </w:p>
    <w:p>
      <w:pPr>
        <w:pStyle w:val="7"/>
      </w:pPr>
      <w:r>
        <w:t>采购包1：</w:t>
      </w:r>
    </w:p>
    <w:p>
      <w:pPr>
        <w:pStyle w:val="7"/>
      </w:pPr>
      <w:r>
        <w:t>按3.2.2服务要求执行</w:t>
      </w:r>
    </w:p>
    <w:p>
      <w:pPr>
        <w:pStyle w:val="7"/>
        <w:outlineLvl w:val="3"/>
      </w:pPr>
      <w:r>
        <w:rPr>
          <w:b/>
          <w:sz w:val="24"/>
        </w:rPr>
        <w:t>3.2.5其他要求</w:t>
      </w:r>
    </w:p>
    <w:p>
      <w:pPr>
        <w:pStyle w:val="7"/>
      </w:pPr>
    </w:p>
    <w:p>
      <w:pPr>
        <w:pStyle w:val="7"/>
      </w:pPr>
      <w:r>
        <w:t>采购包1：</w:t>
      </w:r>
    </w:p>
    <w:p>
      <w:pPr>
        <w:pStyle w:val="7"/>
      </w:pPr>
      <w:r>
        <w:t>按3.2.2服务要求执行</w:t>
      </w:r>
    </w:p>
    <w:p>
      <w:pPr>
        <w:pStyle w:val="7"/>
        <w:outlineLvl w:val="2"/>
      </w:pPr>
      <w:r>
        <w:rPr>
          <w:b/>
          <w:sz w:val="28"/>
        </w:rPr>
        <w:t>3.3、商务要求</w:t>
      </w:r>
    </w:p>
    <w:p>
      <w:pPr>
        <w:pStyle w:val="7"/>
        <w:outlineLvl w:val="3"/>
      </w:pPr>
      <w:r>
        <w:rPr>
          <w:b/>
          <w:sz w:val="24"/>
        </w:rPr>
        <w:t>3.3.1服务期限</w:t>
      </w:r>
    </w:p>
    <w:p>
      <w:pPr>
        <w:pStyle w:val="7"/>
      </w:pPr>
    </w:p>
    <w:p>
      <w:pPr>
        <w:pStyle w:val="7"/>
      </w:pPr>
      <w:r>
        <w:t>采购包1：</w:t>
      </w:r>
    </w:p>
    <w:p>
      <w:pPr>
        <w:pStyle w:val="7"/>
      </w:pPr>
      <w:r>
        <w:t xml:space="preserve"> 自合同签订之日起365日</w:t>
      </w:r>
    </w:p>
    <w:p>
      <w:pPr>
        <w:pStyle w:val="7"/>
        <w:outlineLvl w:val="3"/>
      </w:pPr>
      <w:r>
        <w:rPr>
          <w:b/>
          <w:sz w:val="24"/>
        </w:rPr>
        <w:t>3.3.2服务地点</w:t>
      </w:r>
    </w:p>
    <w:p>
      <w:pPr>
        <w:pStyle w:val="7"/>
      </w:pPr>
    </w:p>
    <w:p>
      <w:pPr>
        <w:pStyle w:val="7"/>
      </w:pPr>
      <w:r>
        <w:t>采购包1：</w:t>
      </w:r>
    </w:p>
    <w:p>
      <w:pPr>
        <w:pStyle w:val="7"/>
      </w:pPr>
      <w:r>
        <w:t>成都市都江堰市及采购人指定地点</w:t>
      </w:r>
    </w:p>
    <w:p>
      <w:pPr>
        <w:pStyle w:val="7"/>
        <w:outlineLvl w:val="3"/>
      </w:pPr>
      <w:r>
        <w:rPr>
          <w:b/>
          <w:sz w:val="24"/>
        </w:rPr>
        <w:t>3.3.3考核（验收）标准和方法</w:t>
      </w:r>
    </w:p>
    <w:p>
      <w:pPr>
        <w:pStyle w:val="7"/>
      </w:pPr>
    </w:p>
    <w:p>
      <w:pPr>
        <w:pStyle w:val="7"/>
      </w:pPr>
      <w:r>
        <w:t>采购包1：</w:t>
      </w:r>
    </w:p>
    <w:p>
      <w:pPr>
        <w:pStyle w:val="7"/>
      </w:pPr>
      <w:r>
        <w:t>严格按照政府采购相关法律法规以及《财政部关于进一步加强政府采购需求和履约验收管理的指导意见》（财库〔2016〕205号）的要求进行验收。</w:t>
      </w:r>
    </w:p>
    <w:p>
      <w:pPr>
        <w:pStyle w:val="7"/>
        <w:jc w:val="left"/>
        <w:outlineLvl w:val="3"/>
      </w:pPr>
      <w:r>
        <w:rPr>
          <w:b/>
          <w:sz w:val="24"/>
        </w:rPr>
        <w:t>3.3.4支付方式</w:t>
      </w:r>
    </w:p>
    <w:p>
      <w:pPr>
        <w:pStyle w:val="7"/>
      </w:pPr>
    </w:p>
    <w:p>
      <w:pPr>
        <w:pStyle w:val="7"/>
      </w:pPr>
      <w:r>
        <w:t>采购包1：</w:t>
      </w:r>
    </w:p>
    <w:p>
      <w:pPr>
        <w:pStyle w:val="7"/>
      </w:pPr>
      <w:r>
        <w:t>分期付款</w:t>
      </w:r>
    </w:p>
    <w:p>
      <w:pPr>
        <w:pStyle w:val="7"/>
        <w:outlineLvl w:val="3"/>
      </w:pPr>
      <w:r>
        <w:rPr>
          <w:b/>
          <w:sz w:val="24"/>
        </w:rPr>
        <w:t>3.3.5支付约定</w:t>
      </w:r>
    </w:p>
    <w:p>
      <w:pPr>
        <w:pStyle w:val="7"/>
      </w:pPr>
    </w:p>
    <w:p>
      <w:pPr>
        <w:pStyle w:val="7"/>
      </w:pPr>
      <w:r>
        <w:t>采购包1： 付款条件说明： 合同签订生效后，采购人在供应商提供付款申请和发票后15日内支付合同金额的50%；每次付款前成交供应商应向采购人提交付款申请，并提供合法有效完整的等额完税发票及凭证资料 ，达到付款条件起 15 日内，支付合同总金额的 50.00%。</w:t>
      </w:r>
    </w:p>
    <w:p>
      <w:pPr>
        <w:pStyle w:val="7"/>
      </w:pPr>
      <w:r>
        <w:t>采购包1： 付款条件说明： 服务期满6个月，采购人在供应商提供付款申请及发票后15日内支付至合同金额100%;每次付款前成交供应商应向采购人提交付款申请，并提供合法有效完整的等额完税发票及凭证资料 ，达到付款条件起 15 日内，支付合同总金额的 50.00%。</w:t>
      </w:r>
    </w:p>
    <w:p>
      <w:pPr>
        <w:pStyle w:val="7"/>
        <w:outlineLvl w:val="3"/>
      </w:pPr>
      <w:r>
        <w:rPr>
          <w:b/>
          <w:sz w:val="24"/>
        </w:rPr>
        <w:t>3.3.6违约责任及解决争议的方法</w:t>
      </w:r>
    </w:p>
    <w:p>
      <w:pPr>
        <w:pStyle w:val="7"/>
      </w:pPr>
    </w:p>
    <w:p>
      <w:pPr>
        <w:pStyle w:val="7"/>
      </w:pPr>
      <w:r>
        <w:t>采购包1：</w:t>
      </w:r>
    </w:p>
    <w:p>
      <w:pPr>
        <w:pStyle w:val="7"/>
      </w:pPr>
      <w:r>
        <w:t>1、甲乙双方必须遵守本合同并执行合同中的各项规定，保证本合同的正常履行。 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7"/>
        <w:jc w:val="left"/>
        <w:outlineLvl w:val="2"/>
      </w:pPr>
      <w:r>
        <w:rPr>
          <w:b/>
          <w:sz w:val="28"/>
        </w:rPr>
        <w:t>3.4其他要求</w:t>
      </w:r>
      <w:bookmarkStart w:id="0" w:name="_GoBack"/>
      <w:bookmarkEnd w:id="0"/>
    </w:p>
    <w:p>
      <w:pPr>
        <w:pStyle w:val="7"/>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NDhhODM1M2EyNjgyMTZmMjE3MTZmOGYyYWZhMDMifQ=="/>
  </w:docVars>
  <w:rsids>
    <w:rsidRoot w:val="2961225B"/>
    <w:rsid w:val="2961225B"/>
    <w:rsid w:val="2E1340F9"/>
    <w:rsid w:val="6AEB1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customStyle="1" w:styleId="6">
    <w:name w:val="样式2"/>
    <w:basedOn w:val="2"/>
    <w:next w:val="1"/>
    <w:qFormat/>
    <w:uiPriority w:val="0"/>
    <w:pPr>
      <w:jc w:val="left"/>
    </w:pPr>
    <w:rPr>
      <w:rFonts w:eastAsia="宋体"/>
      <w:b/>
      <w:kern w:val="2"/>
      <w:szCs w:val="32"/>
    </w:rPr>
  </w:style>
  <w:style w:type="paragraph" w:customStyle="1" w:styleId="7">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2024-03-26T07:56:00Z</dcterms:created>
  <dc:creator>Bidder ~misterZHAO</dc:creator>
  <cp:lastModifiedBy>Bidder ~misterZHAO</cp:lastModifiedBy>
  <dcterms:modified xsi:type="dcterms:W3CDTF">2024-03-26T08:00:18Z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DAD501C385E442CDA19A1E230CB6B8F8_11</vt:lpwstr>
  </property>
</Properties>
</file>