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谈判项目技术、服务、商务及其他要求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rPr>
          <w:b/>
          <w:sz w:val="28"/>
        </w:rPr>
      </w:pPr>
      <w:r>
        <w:rPr>
          <w:b/>
          <w:sz w:val="28"/>
        </w:rPr>
        <w:t>3.1、采购项目概况</w:t>
      </w:r>
    </w:p>
    <w:p>
      <w:pPr>
        <w:pStyle w:val="4"/>
        <w:outlineLvl w:val="2"/>
        <w:rPr>
          <w:b/>
          <w:sz w:val="28"/>
        </w:rPr>
      </w:pPr>
      <w:bookmarkStart w:id="0" w:name="_GoBack"/>
      <w:bookmarkEnd w:id="0"/>
    </w:p>
    <w:p>
      <w:pPr>
        <w:pStyle w:val="4"/>
        <w:ind w:firstLine="400" w:firstLineChars="200"/>
      </w:pPr>
      <w:r>
        <w:t>根据《成都市财政局 成都市卫生健康委员会关于下达2023年医疗服务与保障能力提升(医疗卫生机构能力建设、卫生健康人才培养)中央补助资金的通知》(成财社发〔2023〕193号)、《四川省卫生健康委员会办公室关于印发2023年医疗服务与保障能力提升项目实施方案的通知》(川卫办疾控便函〔2023〕124号)、《成都市卫生健康委员会关于印发成都市2023年中央补助医疗服务与保障能力提升（医疗卫生机构能力建设、卫生健康人才培养）中央补助资金实施方案的通知》要求，按照省、成都市统一安排部署，为统筹做好全市传染病监测预警与应急指挥信息平台建设，增强传染病疫情和突发公共卫生事件早期监测预警能力，提升我市疾病预防控制机构信息化建设水平，健全成都市、简阳市两级疾病预防控制网络体系，提升信息安全防护水平，提高重大疫情监测预警、流调溯源和应急处置能力，简阳市疾病预防控制中心拟实施2024年传染病监测预警与应急指挥能力提升设备采购。</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300,000.00</w:t>
      </w:r>
    </w:p>
    <w:p>
      <w:pPr>
        <w:pStyle w:val="4"/>
      </w:pPr>
      <w:r>
        <w:t>采购包最高限价（元）: 291,000.00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视频会议会议室终端</w:t>
            </w:r>
          </w:p>
        </w:tc>
        <w:tc>
          <w:tcPr>
            <w:tcW w:w="848" w:type="dxa"/>
          </w:tcPr>
          <w:p>
            <w:pPr>
              <w:pStyle w:val="4"/>
              <w:jc w:val="right"/>
            </w:pPr>
            <w:r>
              <w:t>1.00</w:t>
            </w:r>
          </w:p>
        </w:tc>
        <w:tc>
          <w:tcPr>
            <w:tcW w:w="1356" w:type="dxa"/>
          </w:tcPr>
          <w:p>
            <w:pPr>
              <w:pStyle w:val="4"/>
              <w:jc w:val="right"/>
            </w:pPr>
            <w:r>
              <w:t>93,000.00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漏洞扫描设备</w:t>
            </w:r>
          </w:p>
        </w:tc>
        <w:tc>
          <w:tcPr>
            <w:tcW w:w="848" w:type="dxa"/>
          </w:tcPr>
          <w:p>
            <w:pPr>
              <w:pStyle w:val="4"/>
              <w:jc w:val="right"/>
            </w:pPr>
            <w:r>
              <w:t>1.00</w:t>
            </w:r>
          </w:p>
        </w:tc>
        <w:tc>
          <w:tcPr>
            <w:tcW w:w="1356" w:type="dxa"/>
          </w:tcPr>
          <w:p>
            <w:pPr>
              <w:pStyle w:val="4"/>
              <w:jc w:val="right"/>
            </w:pPr>
            <w:r>
              <w:t>90,000.00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其他信息安全设备</w:t>
            </w:r>
          </w:p>
        </w:tc>
        <w:tc>
          <w:tcPr>
            <w:tcW w:w="848" w:type="dxa"/>
          </w:tcPr>
          <w:p>
            <w:pPr>
              <w:pStyle w:val="4"/>
              <w:jc w:val="right"/>
            </w:pPr>
            <w:r>
              <w:t>100.00</w:t>
            </w:r>
          </w:p>
        </w:tc>
        <w:tc>
          <w:tcPr>
            <w:tcW w:w="1356" w:type="dxa"/>
          </w:tcPr>
          <w:p>
            <w:pPr>
              <w:pStyle w:val="4"/>
              <w:jc w:val="right"/>
            </w:pPr>
            <w:r>
              <w:t>4,000.00</w:t>
            </w:r>
          </w:p>
        </w:tc>
        <w:tc>
          <w:tcPr>
            <w:tcW w:w="678" w:type="dxa"/>
          </w:tcPr>
          <w:p>
            <w:pPr>
              <w:pStyle w:val="4"/>
            </w:pPr>
            <w:r>
              <w:t>件</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其他视频会议系统设备</w:t>
            </w:r>
          </w:p>
        </w:tc>
        <w:tc>
          <w:tcPr>
            <w:tcW w:w="848" w:type="dxa"/>
          </w:tcPr>
          <w:p>
            <w:pPr>
              <w:pStyle w:val="4"/>
              <w:jc w:val="right"/>
            </w:pPr>
            <w:r>
              <w:t>1.00</w:t>
            </w:r>
          </w:p>
        </w:tc>
        <w:tc>
          <w:tcPr>
            <w:tcW w:w="1356" w:type="dxa"/>
          </w:tcPr>
          <w:p>
            <w:pPr>
              <w:pStyle w:val="4"/>
              <w:jc w:val="right"/>
            </w:pPr>
            <w:r>
              <w:t>6,000.00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虚拟专用网（VPN）设备</w:t>
            </w:r>
          </w:p>
        </w:tc>
        <w:tc>
          <w:tcPr>
            <w:tcW w:w="848" w:type="dxa"/>
          </w:tcPr>
          <w:p>
            <w:pPr>
              <w:pStyle w:val="4"/>
              <w:jc w:val="right"/>
            </w:pPr>
            <w:r>
              <w:t>1.00</w:t>
            </w:r>
          </w:p>
        </w:tc>
        <w:tc>
          <w:tcPr>
            <w:tcW w:w="1356" w:type="dxa"/>
          </w:tcPr>
          <w:p>
            <w:pPr>
              <w:pStyle w:val="4"/>
              <w:jc w:val="right"/>
            </w:pPr>
            <w:r>
              <w:t>98,000.00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3.3、技术参数及要求</w:t>
      </w:r>
    </w:p>
    <w:p>
      <w:pPr>
        <w:pStyle w:val="4"/>
      </w:pPr>
    </w:p>
    <w:p>
      <w:pPr>
        <w:pStyle w:val="4"/>
      </w:pPr>
    </w:p>
    <w:p>
      <w:pPr>
        <w:pStyle w:val="4"/>
      </w:pPr>
    </w:p>
    <w:p>
      <w:pPr>
        <w:pStyle w:val="4"/>
      </w:pPr>
      <w:r>
        <w:t>采购包1：</w:t>
      </w:r>
    </w:p>
    <w:p>
      <w:pPr>
        <w:pStyle w:val="4"/>
      </w:pPr>
    </w:p>
    <w:p>
      <w:pPr>
        <w:pStyle w:val="4"/>
      </w:pPr>
      <w:r>
        <w:t>标的名称：视频会议会议室终端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7"/>
        <w:gridCol w:w="600"/>
        <w:gridCol w:w="66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7" w:type="dxa"/>
          </w:tcPr>
          <w:p>
            <w:pPr>
              <w:pStyle w:val="4"/>
            </w:pPr>
            <w:r>
              <w:t>参数性质</w:t>
            </w:r>
          </w:p>
        </w:tc>
        <w:tc>
          <w:tcPr>
            <w:tcW w:w="600" w:type="dxa"/>
          </w:tcPr>
          <w:p>
            <w:pPr>
              <w:pStyle w:val="4"/>
            </w:pPr>
            <w:r>
              <w:t>序号</w:t>
            </w:r>
          </w:p>
        </w:tc>
        <w:tc>
          <w:tcPr>
            <w:tcW w:w="6670"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7" w:type="dxa"/>
          </w:tcPr>
          <w:p/>
        </w:tc>
        <w:tc>
          <w:tcPr>
            <w:tcW w:w="600" w:type="dxa"/>
          </w:tcPr>
          <w:p>
            <w:pPr>
              <w:pStyle w:val="4"/>
            </w:pPr>
            <w:r>
              <w:t>1</w:t>
            </w:r>
          </w:p>
        </w:tc>
        <w:tc>
          <w:tcPr>
            <w:tcW w:w="6670" w:type="dxa"/>
          </w:tcPr>
          <w:p>
            <w:pPr>
              <w:pStyle w:val="4"/>
              <w:jc w:val="left"/>
            </w:pPr>
            <w:r>
              <w:rPr>
                <w:rFonts w:ascii="宋体" w:hAnsi="宋体" w:eastAsia="宋体" w:cs="宋体"/>
                <w:color w:val="000000"/>
                <w:sz w:val="24"/>
              </w:rPr>
              <w:t>1.★采用国产自主编解码芯片，采用嵌入式操作系统；</w:t>
            </w:r>
          </w:p>
          <w:p>
            <w:pPr>
              <w:pStyle w:val="4"/>
              <w:jc w:val="left"/>
            </w:pPr>
            <w:r>
              <w:rPr>
                <w:rFonts w:ascii="宋体" w:hAnsi="宋体" w:eastAsia="宋体" w:cs="宋体"/>
                <w:color w:val="000000"/>
                <w:sz w:val="24"/>
              </w:rPr>
              <w:t>2.支持ITU-T H.323、IETF SIP协议；支持H.239和BFCP双流协议；</w:t>
            </w:r>
          </w:p>
          <w:p>
            <w:pPr>
              <w:pStyle w:val="4"/>
              <w:jc w:val="left"/>
            </w:pPr>
            <w:r>
              <w:rPr>
                <w:rFonts w:ascii="宋体" w:hAnsi="宋体" w:eastAsia="宋体" w:cs="宋体"/>
                <w:color w:val="000000"/>
                <w:sz w:val="24"/>
              </w:rPr>
              <w:t>3.支持H.265、H.264 HP、H.264 BP、H.264 SVC等图像编码协议和G.711、G.722、G.722.1C、G.729A、ACC-LD、Opus等音频协议；最高可支持4K30fps、1080P 50/60 fps、1080P 25/30 fps、720P 50/ 60 fps、720P 25/30 fps等分辨率；</w:t>
            </w:r>
          </w:p>
          <w:p>
            <w:pPr>
              <w:pStyle w:val="4"/>
              <w:jc w:val="left"/>
            </w:pPr>
            <w:r>
              <w:rPr>
                <w:rFonts w:ascii="宋体" w:hAnsi="宋体" w:eastAsia="宋体" w:cs="宋体"/>
                <w:color w:val="000000"/>
                <w:sz w:val="24"/>
              </w:rPr>
              <w:t>4.支持无线双流功能，兼容Windows、MAC操作系统，PC可通过Wi-Fi或有线网络将桌面内容作为双流发送给远端会场，视频清晰度不少于1080P，支持音频共享；</w:t>
            </w:r>
          </w:p>
          <w:p>
            <w:pPr>
              <w:pStyle w:val="4"/>
              <w:jc w:val="left"/>
            </w:pPr>
            <w:r>
              <w:rPr>
                <w:rFonts w:ascii="宋体" w:hAnsi="宋体" w:eastAsia="宋体" w:cs="宋体"/>
                <w:color w:val="000000"/>
                <w:sz w:val="24"/>
              </w:rPr>
              <w:t>5.视频画面经过本地采集、编码、网络传输、解码、显示输出后整体时延≤130ms；</w:t>
            </w:r>
          </w:p>
          <w:p>
            <w:pPr>
              <w:pStyle w:val="4"/>
              <w:jc w:val="left"/>
            </w:pPr>
            <w:r>
              <w:rPr>
                <w:rFonts w:ascii="宋体" w:hAnsi="宋体" w:eastAsia="宋体" w:cs="宋体"/>
                <w:color w:val="000000"/>
                <w:sz w:val="24"/>
              </w:rPr>
              <w:t>6.不少于4路高清输入和3路数字高清视频输出物理接口，其中至少具备1路4K高清信号远距离传输输入接口，支持同品牌摄像头一条线线连接终端，实现同时传输视频信号、控制信号和摄像头供电；</w:t>
            </w:r>
          </w:p>
          <w:p>
            <w:pPr>
              <w:pStyle w:val="4"/>
              <w:jc w:val="left"/>
            </w:pPr>
            <w:r>
              <w:rPr>
                <w:rFonts w:ascii="宋体" w:hAnsi="宋体" w:eastAsia="宋体" w:cs="宋体"/>
                <w:color w:val="000000"/>
                <w:sz w:val="24"/>
              </w:rPr>
              <w:t>7.终端在静音状态下检测到发言人声音时，可在会议画面上显示文字提示，支持远端声音智能抵消，避免非本地发言声音引起的误报；</w:t>
            </w:r>
          </w:p>
          <w:p>
            <w:pPr>
              <w:pStyle w:val="4"/>
              <w:jc w:val="left"/>
            </w:pPr>
            <w:r>
              <w:rPr>
                <w:rFonts w:ascii="宋体" w:hAnsi="宋体" w:eastAsia="宋体" w:cs="宋体"/>
                <w:color w:val="000000"/>
                <w:sz w:val="24"/>
              </w:rPr>
              <w:t>8.★支持SM2、SM3、SM4 国密加密算法；</w:t>
            </w:r>
          </w:p>
          <w:p>
            <w:pPr>
              <w:pStyle w:val="4"/>
              <w:jc w:val="left"/>
            </w:pPr>
            <w:r>
              <w:rPr>
                <w:rFonts w:ascii="宋体" w:hAnsi="宋体" w:eastAsia="宋体" w:cs="宋体"/>
                <w:color w:val="000000"/>
                <w:sz w:val="24"/>
              </w:rPr>
              <w:t>9.支持2.4GHz、5GHz双频接入，同时支持Wi-Fi热点及客户端模式，满足通过无线网络进行视音频通信；</w:t>
            </w:r>
          </w:p>
          <w:p>
            <w:pPr>
              <w:pStyle w:val="4"/>
              <w:jc w:val="left"/>
            </w:pPr>
            <w:r>
              <w:rPr>
                <w:rFonts w:ascii="宋体" w:hAnsi="宋体" w:eastAsia="宋体" w:cs="宋体"/>
                <w:color w:val="000000"/>
                <w:sz w:val="24"/>
              </w:rPr>
              <w:t>10.支持40%丢包时，语音清晰连续，视频（图像）清晰流畅，无卡顿、无马赛克；网络丢包率达到80%时，声音清晰，可准确理解，不影响会议正常进行；</w:t>
            </w:r>
          </w:p>
          <w:p>
            <w:pPr>
              <w:pStyle w:val="4"/>
              <w:jc w:val="left"/>
            </w:pPr>
            <w:r>
              <w:rPr>
                <w:rFonts w:ascii="宋体" w:hAnsi="宋体" w:eastAsia="宋体" w:cs="宋体"/>
                <w:color w:val="000000"/>
                <w:sz w:val="24"/>
              </w:rPr>
              <w:t>11.支持在H.323协议下，H.235信令加密；支持在SIP下，TLS、SRTP加密；支持 AES媒体流加密算法，保证会议安全；</w:t>
            </w:r>
          </w:p>
          <w:p>
            <w:pPr>
              <w:pStyle w:val="4"/>
              <w:jc w:val="left"/>
            </w:pPr>
            <w:r>
              <w:rPr>
                <w:rFonts w:ascii="宋体" w:hAnsi="宋体" w:eastAsia="宋体" w:cs="宋体"/>
                <w:color w:val="000000"/>
                <w:sz w:val="24"/>
              </w:rPr>
              <w:t>12.★支持同时发送不少于4路视频码流，接收不少于16路视频码流，同时观看多个视频会场画面；</w:t>
            </w:r>
          </w:p>
          <w:p>
            <w:pPr>
              <w:pStyle w:val="4"/>
              <w:jc w:val="left"/>
            </w:pPr>
            <w:r>
              <w:rPr>
                <w:rFonts w:ascii="宋体" w:hAnsi="宋体" w:eastAsia="宋体" w:cs="宋体"/>
                <w:color w:val="000000"/>
                <w:sz w:val="24"/>
              </w:rPr>
              <w:t>13.在终端软件升级过程中，发生网络中断、断电重启情况，恢复后可断点续传，避免升级失败还原设备出厂默认参数配置后，保留设备现有IP地址，方便远程维护；</w:t>
            </w:r>
          </w:p>
          <w:p>
            <w:pPr>
              <w:pStyle w:val="4"/>
              <w:jc w:val="left"/>
            </w:pPr>
            <w:r>
              <w:rPr>
                <w:rFonts w:ascii="宋体" w:hAnsi="宋体" w:eastAsia="宋体" w:cs="宋体"/>
                <w:color w:val="000000"/>
                <w:sz w:val="24"/>
              </w:rPr>
              <w:t>14.会议接入密码、会议控制密码、管理员密码，SSH/HTTPS协议及双流加密；</w:t>
            </w:r>
          </w:p>
          <w:p>
            <w:pPr>
              <w:pStyle w:val="4"/>
              <w:jc w:val="left"/>
            </w:pPr>
            <w:r>
              <w:rPr>
                <w:rFonts w:ascii="宋体" w:hAnsi="宋体" w:eastAsia="宋体" w:cs="宋体"/>
                <w:color w:val="000000"/>
                <w:sz w:val="24"/>
              </w:rPr>
              <w:t>15.支持按组织层级和权限级别设置不同呼叫等级，呼叫等级按数值大小排序。处于通话状态的视频会议终端，收到高呼叫等级的呼叫请求后，保持当前的通话状态，并接听新的呼叫。当新的通话结束后，如原通话仍处于有效状态，则自动恢复原呼叫。</w:t>
            </w:r>
          </w:p>
          <w:p>
            <w:pPr>
              <w:pStyle w:val="4"/>
              <w:jc w:val="left"/>
            </w:pPr>
            <w:r>
              <w:rPr>
                <w:rFonts w:ascii="宋体" w:hAnsi="宋体" w:eastAsia="宋体" w:cs="宋体"/>
                <w:color w:val="000000"/>
                <w:sz w:val="24"/>
              </w:rPr>
              <w:t>16.★提供原厂3年售后质保，并于中标后提供厂家盖章的售后服务承诺函。</w:t>
            </w:r>
          </w:p>
          <w:p>
            <w:pPr>
              <w:pStyle w:val="4"/>
              <w:jc w:val="left"/>
            </w:pPr>
            <w:r>
              <w:rPr>
                <w:rFonts w:ascii="宋体" w:hAnsi="宋体" w:eastAsia="宋体" w:cs="宋体"/>
                <w:color w:val="000000"/>
                <w:sz w:val="24"/>
              </w:rPr>
              <w:t>17.★配置1080P60规格终端。</w:t>
            </w:r>
          </w:p>
          <w:p>
            <w:pPr>
              <w:pStyle w:val="4"/>
              <w:jc w:val="left"/>
            </w:pPr>
            <w:r>
              <w:rPr>
                <w:rFonts w:ascii="宋体" w:hAnsi="宋体" w:eastAsia="宋体" w:cs="宋体"/>
                <w:color w:val="000000"/>
                <w:sz w:val="24"/>
              </w:rPr>
              <w:t>18.★配置1套和上级单位视频会议MCU对接的平台接入授权，并具备以下功能：</w:t>
            </w:r>
          </w:p>
          <w:p>
            <w:pPr>
              <w:pStyle w:val="4"/>
              <w:jc w:val="both"/>
            </w:pPr>
            <w:r>
              <w:rPr>
                <w:rFonts w:ascii="宋体" w:hAnsi="宋体" w:eastAsia="宋体" w:cs="宋体"/>
                <w:color w:val="000000"/>
                <w:sz w:val="24"/>
              </w:rPr>
              <w:t>（1）能够配合市级全适配MCU使用，实现1个1080P 60fps全解会场的接入；</w:t>
            </w:r>
          </w:p>
          <w:p>
            <w:pPr>
              <w:pStyle w:val="4"/>
              <w:jc w:val="both"/>
            </w:pPr>
            <w:r>
              <w:rPr>
                <w:rFonts w:ascii="宋体" w:hAnsi="宋体" w:eastAsia="宋体" w:cs="宋体"/>
                <w:color w:val="000000"/>
                <w:sz w:val="24"/>
              </w:rPr>
              <w:t>（2）全编全解端口授权，实现全编全解技术，实现全适配功能，确保每个接入的会场均能以任意不同的协议、带宽、格式、帧率参加同一组会议。</w:t>
            </w:r>
          </w:p>
          <w:p>
            <w:pPr>
              <w:pStyle w:val="4"/>
              <w:jc w:val="both"/>
            </w:pPr>
            <w:r>
              <w:rPr>
                <w:rFonts w:ascii="宋体" w:hAnsi="宋体" w:eastAsia="宋体" w:cs="宋体"/>
                <w:color w:val="000000"/>
                <w:sz w:val="24"/>
              </w:rPr>
              <w:t>（3）支持ITU-T H.264BP、H.264HP、 H.265、H.264 SVC、H.265 SVC、H.265 SCC等视频协议、支持G.711、G.722、G.729、AAC-LD等音频协议；</w:t>
            </w:r>
          </w:p>
          <w:p>
            <w:pPr>
              <w:pStyle w:val="4"/>
              <w:jc w:val="both"/>
            </w:pPr>
            <w:r>
              <w:rPr>
                <w:rFonts w:ascii="宋体" w:hAnsi="宋体" w:eastAsia="宋体" w:cs="宋体"/>
                <w:color w:val="000000"/>
                <w:sz w:val="24"/>
              </w:rPr>
              <w:t>（4）支持ITU-T H.323、IETF SIP、ITU-TH.239、IETF BFCP协议；</w:t>
            </w:r>
          </w:p>
          <w:p>
            <w:pPr>
              <w:pStyle w:val="4"/>
              <w:jc w:val="both"/>
            </w:pPr>
            <w:r>
              <w:rPr>
                <w:rFonts w:ascii="宋体" w:hAnsi="宋体" w:eastAsia="宋体" w:cs="宋体"/>
                <w:color w:val="000000"/>
                <w:sz w:val="24"/>
              </w:rPr>
              <w:t>（5）支持MCU资源池备份功能，支持MCU资源负载均衡</w:t>
            </w:r>
          </w:p>
          <w:p>
            <w:pPr>
              <w:pStyle w:val="4"/>
              <w:jc w:val="left"/>
            </w:pPr>
            <w:r>
              <w:rPr>
                <w:rFonts w:ascii="宋体" w:hAnsi="宋体" w:eastAsia="宋体" w:cs="宋体"/>
                <w:color w:val="000000"/>
                <w:sz w:val="24"/>
              </w:rPr>
              <w:t>（6）主视频1080P60,辅视频1080P60；</w:t>
            </w:r>
          </w:p>
          <w:p>
            <w:pPr>
              <w:pStyle w:val="4"/>
              <w:jc w:val="both"/>
            </w:pPr>
            <w:r>
              <w:rPr>
                <w:rFonts w:ascii="宋体" w:hAnsi="宋体" w:eastAsia="宋体" w:cs="宋体"/>
                <w:color w:val="000000"/>
                <w:sz w:val="24"/>
              </w:rPr>
              <w:t>19.★配置会议管理软件1套,并具备以下功能：</w:t>
            </w:r>
          </w:p>
          <w:p>
            <w:pPr>
              <w:pStyle w:val="4"/>
              <w:jc w:val="both"/>
            </w:pPr>
            <w:r>
              <w:rPr>
                <w:rFonts w:ascii="宋体" w:hAnsi="宋体" w:eastAsia="宋体" w:cs="宋体"/>
                <w:color w:val="000000"/>
                <w:sz w:val="24"/>
              </w:rPr>
              <w:t>（1）支持向省级平台注册，并向平台实时上报设备在线、媒体能力、资源动态等状态</w:t>
            </w:r>
          </w:p>
          <w:p>
            <w:pPr>
              <w:pStyle w:val="4"/>
              <w:jc w:val="both"/>
            </w:pPr>
            <w:r>
              <w:rPr>
                <w:rFonts w:ascii="宋体" w:hAnsi="宋体" w:eastAsia="宋体" w:cs="宋体"/>
                <w:color w:val="000000"/>
                <w:sz w:val="24"/>
              </w:rPr>
              <w:t>（2）支持接收省级平台下发配置参数（GK注册配置、SIP注册配置、会管平台配置、接听方式等）及会议日程，并支持接收平台的远程推送升级功能</w:t>
            </w:r>
          </w:p>
          <w:p>
            <w:pPr>
              <w:pStyle w:val="4"/>
              <w:jc w:val="both"/>
            </w:pPr>
            <w:r>
              <w:rPr>
                <w:rFonts w:ascii="宋体" w:hAnsi="宋体" w:eastAsia="宋体" w:cs="宋体"/>
                <w:color w:val="000000"/>
                <w:sz w:val="24"/>
              </w:rPr>
              <w:t>（3）支持自主会议召集功能，并支持会中申请发言、申请会控等功能</w:t>
            </w:r>
          </w:p>
          <w:p>
            <w:pPr>
              <w:pStyle w:val="4"/>
              <w:jc w:val="both"/>
            </w:pPr>
            <w:r>
              <w:rPr>
                <w:rFonts w:ascii="宋体" w:hAnsi="宋体" w:eastAsia="宋体" w:cs="宋体"/>
                <w:color w:val="000000"/>
                <w:sz w:val="24"/>
              </w:rPr>
              <w:t>（4）通过省级平台统一拉会，实现一键静闭音、广播/选看会场、辅流加入多画面、设置多画面、锁定会议演示、指定会场发送辅流、声控切换、设置主席、点名等功能</w:t>
            </w:r>
          </w:p>
          <w:p>
            <w:pPr>
              <w:pStyle w:val="4"/>
              <w:jc w:val="both"/>
            </w:pPr>
            <w:r>
              <w:rPr>
                <w:rFonts w:ascii="宋体" w:hAnsi="宋体" w:eastAsia="宋体" w:cs="宋体"/>
                <w:color w:val="000000"/>
                <w:sz w:val="24"/>
              </w:rPr>
              <w:t>（5）支持通过省级平台批量的设备巡检、诊断信息收集等维护操作</w:t>
            </w:r>
          </w:p>
          <w:p>
            <w:pPr>
              <w:pStyle w:val="4"/>
              <w:jc w:val="both"/>
            </w:pPr>
            <w:r>
              <w:rPr>
                <w:rFonts w:ascii="宋体" w:hAnsi="宋体" w:eastAsia="宋体" w:cs="宋体"/>
                <w:color w:val="000000"/>
                <w:sz w:val="24"/>
              </w:rPr>
              <w:t>（6）支持通过许可实现全省资源集中管理、按需分配、浮动共享</w:t>
            </w:r>
          </w:p>
          <w:p>
            <w:pPr>
              <w:pStyle w:val="4"/>
              <w:jc w:val="both"/>
            </w:pPr>
            <w:r>
              <w:rPr>
                <w:rFonts w:ascii="宋体" w:hAnsi="宋体" w:eastAsia="宋体" w:cs="宋体"/>
                <w:color w:val="000000"/>
                <w:sz w:val="24"/>
              </w:rPr>
              <w:t>（7）支持通过会议号、会议密码的方式，接入省级平台会议</w:t>
            </w:r>
          </w:p>
          <w:p>
            <w:pPr>
              <w:pStyle w:val="4"/>
              <w:jc w:val="both"/>
            </w:pPr>
            <w:r>
              <w:rPr>
                <w:rFonts w:ascii="宋体" w:hAnsi="宋体" w:eastAsia="宋体" w:cs="宋体"/>
                <w:color w:val="000000"/>
                <w:sz w:val="24"/>
              </w:rPr>
              <w:t>（8）支持接收省级平台通讯录，可通过输入关键字搜索会场，输入会场号码或会场IP地址选择某个会场后对单个会场发起呼叫</w:t>
            </w:r>
          </w:p>
        </w:tc>
      </w:tr>
    </w:tbl>
    <w:p>
      <w:pPr>
        <w:pStyle w:val="4"/>
      </w:pPr>
    </w:p>
    <w:p>
      <w:pPr>
        <w:pStyle w:val="4"/>
      </w:pPr>
      <w:r>
        <w:t>标的名称：漏洞扫描设备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7"/>
        <w:gridCol w:w="588"/>
        <w:gridCol w:w="668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7" w:type="dxa"/>
          </w:tcPr>
          <w:p>
            <w:pPr>
              <w:pStyle w:val="4"/>
            </w:pPr>
            <w:r>
              <w:t>参数性质</w:t>
            </w:r>
          </w:p>
        </w:tc>
        <w:tc>
          <w:tcPr>
            <w:tcW w:w="588" w:type="dxa"/>
          </w:tcPr>
          <w:p>
            <w:pPr>
              <w:pStyle w:val="4"/>
            </w:pPr>
            <w:r>
              <w:t>序号</w:t>
            </w:r>
          </w:p>
        </w:tc>
        <w:tc>
          <w:tcPr>
            <w:tcW w:w="668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7" w:type="dxa"/>
          </w:tcPr>
          <w:p/>
        </w:tc>
        <w:tc>
          <w:tcPr>
            <w:tcW w:w="588" w:type="dxa"/>
          </w:tcPr>
          <w:p>
            <w:pPr>
              <w:pStyle w:val="4"/>
            </w:pPr>
            <w:r>
              <w:t>1</w:t>
            </w:r>
          </w:p>
        </w:tc>
        <w:tc>
          <w:tcPr>
            <w:tcW w:w="6682" w:type="dxa"/>
          </w:tcPr>
          <w:p>
            <w:pPr>
              <w:pStyle w:val="4"/>
              <w:jc w:val="both"/>
            </w:pPr>
            <w:r>
              <w:rPr>
                <w:rFonts w:ascii="宋体" w:hAnsi="宋体" w:eastAsia="宋体" w:cs="宋体"/>
                <w:color w:val="000000"/>
                <w:sz w:val="24"/>
              </w:rPr>
              <w:t>1.★内存≥8G，硬盘容量≥ 2TB SATA，千兆电口≥6个，千兆光口SFP≥2个。</w:t>
            </w:r>
          </w:p>
          <w:p>
            <w:pPr>
              <w:pStyle w:val="4"/>
              <w:jc w:val="both"/>
            </w:pPr>
            <w:r>
              <w:rPr>
                <w:rFonts w:ascii="宋体" w:hAnsi="宋体" w:eastAsia="宋体" w:cs="宋体"/>
                <w:color w:val="000000"/>
                <w:sz w:val="24"/>
              </w:rPr>
              <w:t>2.★平台管理运维功能数授权数≥50，系统漏扫授权IP数≥100，WEB漏扫授权URL数≥20；主机漏扫最大并发IP数≥150，WEB漏扫最大并发URL数≥5。内存≥8G，硬盘容量≥ 2TB SATA，千兆电口≥6个，千兆光口SFP≥2个。</w:t>
            </w:r>
          </w:p>
          <w:p>
            <w:pPr>
              <w:pStyle w:val="4"/>
              <w:jc w:val="both"/>
            </w:pPr>
            <w:r>
              <w:rPr>
                <w:rFonts w:ascii="宋体" w:hAnsi="宋体" w:eastAsia="宋体" w:cs="宋体"/>
                <w:color w:val="000000"/>
                <w:sz w:val="24"/>
              </w:rPr>
              <w:t>3.支持同时开启全插件系统漏洞扫描、WEB漏洞扫描、弱口令扫描、基线配置核查，扫描速度不低于1000ip/h；</w:t>
            </w:r>
          </w:p>
          <w:p>
            <w:pPr>
              <w:pStyle w:val="4"/>
              <w:jc w:val="both"/>
            </w:pPr>
            <w:r>
              <w:rPr>
                <w:rFonts w:ascii="宋体" w:hAnsi="宋体" w:eastAsia="宋体" w:cs="宋体"/>
                <w:color w:val="000000"/>
                <w:sz w:val="24"/>
              </w:rPr>
              <w:t>4.支持全局风险统计功能，通过扇形图、条状图、标签、表格等形式直观展示资产风险分布、漏洞风险等级分布、紧急漏洞、风险资产清单等信息，并可查看详情；（提供产品功能截图）</w:t>
            </w:r>
          </w:p>
          <w:p>
            <w:pPr>
              <w:pStyle w:val="4"/>
              <w:jc w:val="both"/>
            </w:pPr>
            <w:r>
              <w:rPr>
                <w:rFonts w:ascii="宋体" w:hAnsi="宋体" w:eastAsia="宋体" w:cs="宋体"/>
                <w:color w:val="000000"/>
                <w:sz w:val="24"/>
              </w:rPr>
              <w:t>5.支持全局风险统计时段自定义，展示近3个月、6个月、1年或自定义统计区间的风险分布和详情，时间跨度不限制。</w:t>
            </w:r>
          </w:p>
          <w:p>
            <w:pPr>
              <w:pStyle w:val="4"/>
              <w:jc w:val="both"/>
            </w:pPr>
            <w:r>
              <w:rPr>
                <w:rFonts w:ascii="宋体" w:hAnsi="宋体" w:eastAsia="宋体" w:cs="宋体"/>
                <w:color w:val="000000"/>
                <w:sz w:val="24"/>
              </w:rPr>
              <w:t>6.支持全面扫描 、资产发现、系统漏洞扫描、弱口令扫描、WEB漏洞扫描、基线配置核查六种任务类型，其中全面扫描支持系统漏洞扫描、WEB漏洞扫描、弱口令扫描同时执行；（提供产品功能截图）</w:t>
            </w:r>
          </w:p>
          <w:p>
            <w:pPr>
              <w:pStyle w:val="4"/>
              <w:jc w:val="both"/>
            </w:pPr>
            <w:r>
              <w:rPr>
                <w:rFonts w:ascii="宋体" w:hAnsi="宋体" w:eastAsia="宋体" w:cs="宋体"/>
                <w:color w:val="000000"/>
                <w:sz w:val="24"/>
              </w:rPr>
              <w:t>7.支持检测的漏洞数大于19000条，兼容CVE、CNNVD、CNVD、Bugtraq等主流标准；支持操作系统、网络设备、数据库、中间件等漏洞扫描</w:t>
            </w:r>
          </w:p>
          <w:p>
            <w:pPr>
              <w:pStyle w:val="4"/>
              <w:jc w:val="both"/>
            </w:pPr>
            <w:r>
              <w:rPr>
                <w:rFonts w:ascii="宋体" w:hAnsi="宋体" w:eastAsia="宋体" w:cs="宋体"/>
                <w:color w:val="000000"/>
                <w:sz w:val="24"/>
              </w:rPr>
              <w:t>8.支持行业通用标准OWASP，支持通用WEB漏洞检测，如：SQL注入、XSS、目录遍历、本地/远程文件包含漏洞、安全配置错误、命令执行、敏感信息泄露等；</w:t>
            </w:r>
          </w:p>
          <w:p>
            <w:pPr>
              <w:pStyle w:val="4"/>
              <w:jc w:val="both"/>
            </w:pPr>
            <w:r>
              <w:rPr>
                <w:rFonts w:ascii="宋体" w:hAnsi="宋体" w:eastAsia="宋体" w:cs="宋体"/>
                <w:color w:val="000000"/>
                <w:sz w:val="24"/>
              </w:rPr>
              <w:t>9.支持等保资产登记功能，包括但不限于物理机房、网络设备、安全设备、服务器或存储设备、终端、系统管理软件或平台、业务应用系统或平台、关键数据类型、大数据数据类别、安全相关人员、管理文档、安全文档等12类资产进行资产登记；</w:t>
            </w:r>
          </w:p>
          <w:p>
            <w:pPr>
              <w:pStyle w:val="4"/>
              <w:jc w:val="both"/>
            </w:pPr>
            <w:r>
              <w:rPr>
                <w:rFonts w:ascii="宋体" w:hAnsi="宋体" w:eastAsia="宋体" w:cs="宋体"/>
                <w:color w:val="000000"/>
                <w:sz w:val="24"/>
              </w:rPr>
              <w:t>10.★提供检测结果综述分析，按照等保2.0的检测项要求，统计客户业务系统存在的不符合、部分符合、符合、待确认、不适用检测项，直观了解自身业务系统合规情况；（提供产品功能截图）</w:t>
            </w:r>
          </w:p>
          <w:p>
            <w:pPr>
              <w:pStyle w:val="4"/>
              <w:jc w:val="both"/>
            </w:pPr>
            <w:r>
              <w:rPr>
                <w:rFonts w:ascii="宋体" w:hAnsi="宋体" w:eastAsia="宋体" w:cs="宋体"/>
                <w:color w:val="000000"/>
                <w:sz w:val="24"/>
              </w:rPr>
              <w:t>11.产品支持对系统漏洞、WEB漏洞、基线配置、弱口令进行扫描和分析，可同时输出包含系统漏洞扫描、WEB漏洞扫描、基线配置核查、弱口令扫描结果的报表。</w:t>
            </w:r>
          </w:p>
          <w:p>
            <w:pPr>
              <w:pStyle w:val="4"/>
              <w:jc w:val="both"/>
            </w:pPr>
            <w:r>
              <w:rPr>
                <w:rFonts w:ascii="宋体" w:hAnsi="宋体" w:eastAsia="宋体" w:cs="宋体"/>
                <w:color w:val="000000"/>
                <w:sz w:val="24"/>
              </w:rPr>
              <w:t>12.★具备网络安全设备运维功能，支持对交换机、路由器、防火墙、负载均衡等网络设备、安全设备的监测：要求能够监测网络设备各端口的流量、利用率和出错率等信息。还能够监测设备本身的CPU利用率、内存利用率等。并对被监控的对象设置阈值，实现主动监控；且可以为不同严重程度设置不同警告级别，并通过颜色区分告警；（提供功能截图）</w:t>
            </w:r>
          </w:p>
          <w:p>
            <w:pPr>
              <w:pStyle w:val="4"/>
              <w:jc w:val="both"/>
            </w:pPr>
            <w:r>
              <w:rPr>
                <w:rFonts w:ascii="宋体" w:hAnsi="宋体" w:eastAsia="宋体" w:cs="宋体"/>
                <w:color w:val="000000"/>
                <w:sz w:val="24"/>
              </w:rPr>
              <w:t>13.内置多种合规性规则，以便检查设备的配置信息生成合规报表，显示配置是否符合规则的标准及约定。并支持自定义合规性规则的生成，灵活定义合规性标准或者约定。</w:t>
            </w:r>
          </w:p>
          <w:p>
            <w:pPr>
              <w:pStyle w:val="4"/>
              <w:jc w:val="both"/>
            </w:pPr>
            <w:r>
              <w:rPr>
                <w:rFonts w:ascii="宋体" w:hAnsi="宋体" w:eastAsia="宋体" w:cs="宋体"/>
                <w:color w:val="000000"/>
                <w:sz w:val="24"/>
              </w:rPr>
              <w:t>14.★提供原厂3年售后质保，并于中标后提供厂家盖章的售后服务承诺函。</w:t>
            </w:r>
          </w:p>
          <w:p>
            <w:pPr>
              <w:pStyle w:val="4"/>
            </w:pPr>
            <w:r>
              <w:rPr>
                <w:rFonts w:ascii="宋体" w:hAnsi="宋体" w:eastAsia="宋体" w:cs="宋体"/>
                <w:sz w:val="24"/>
              </w:rPr>
              <w:t>15.★拟提供的产品若涉及《网络关键设备和网络安全专用产品目录》内产品，供应商应按照《信息安全技术网络安全专用产品安全技术要求》等相关国家标准强制性要求，提供具备资格的机构安全认证合格或者安全检测符合要求的相关证明或证书复印件，具体产品类别详见《网络关键设备和网络安全专用产品目录》（网信办（2023）2号）（注：需提供证书复印件并加盖供应商电子公章。）</w:t>
            </w:r>
          </w:p>
        </w:tc>
      </w:tr>
    </w:tbl>
    <w:p>
      <w:pPr>
        <w:pStyle w:val="4"/>
      </w:pPr>
    </w:p>
    <w:p>
      <w:pPr>
        <w:pStyle w:val="4"/>
      </w:pPr>
      <w:r>
        <w:t>标的名称：其他信息安全设备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2"/>
        <w:gridCol w:w="638"/>
        <w:gridCol w:w="66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12" w:type="dxa"/>
          </w:tcPr>
          <w:p>
            <w:pPr>
              <w:pStyle w:val="4"/>
            </w:pPr>
            <w:r>
              <w:t>参数性质</w:t>
            </w:r>
          </w:p>
        </w:tc>
        <w:tc>
          <w:tcPr>
            <w:tcW w:w="638" w:type="dxa"/>
          </w:tcPr>
          <w:p>
            <w:pPr>
              <w:pStyle w:val="4"/>
            </w:pPr>
            <w:r>
              <w:t>序号</w:t>
            </w:r>
          </w:p>
        </w:tc>
        <w:tc>
          <w:tcPr>
            <w:tcW w:w="665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12" w:type="dxa"/>
          </w:tcPr>
          <w:p/>
        </w:tc>
        <w:tc>
          <w:tcPr>
            <w:tcW w:w="638" w:type="dxa"/>
          </w:tcPr>
          <w:p>
            <w:pPr>
              <w:pStyle w:val="4"/>
            </w:pPr>
            <w:r>
              <w:t>1</w:t>
            </w:r>
          </w:p>
        </w:tc>
        <w:tc>
          <w:tcPr>
            <w:tcW w:w="6657" w:type="dxa"/>
          </w:tcPr>
          <w:p>
            <w:pPr>
              <w:pStyle w:val="4"/>
              <w:jc w:val="left"/>
            </w:pPr>
            <w:r>
              <w:rPr>
                <w:rFonts w:ascii="宋体" w:hAnsi="宋体" w:eastAsia="宋体" w:cs="宋体"/>
                <w:color w:val="000000"/>
                <w:sz w:val="24"/>
              </w:rPr>
              <w:t>1.★采用国产商用密码算法并满足中国疾病预防控制信息系统用户身份认证；</w:t>
            </w:r>
          </w:p>
          <w:p>
            <w:pPr>
              <w:pStyle w:val="4"/>
              <w:jc w:val="left"/>
            </w:pPr>
            <w:r>
              <w:rPr>
                <w:rFonts w:ascii="宋体" w:hAnsi="宋体" w:eastAsia="宋体" w:cs="宋体"/>
                <w:color w:val="000000"/>
                <w:sz w:val="24"/>
              </w:rPr>
              <w:t>2.证书格式标准遵循x．509v3标准；</w:t>
            </w:r>
          </w:p>
          <w:p>
            <w:pPr>
              <w:pStyle w:val="4"/>
              <w:jc w:val="left"/>
            </w:pPr>
            <w:r>
              <w:rPr>
                <w:rFonts w:ascii="宋体" w:hAnsi="宋体" w:eastAsia="宋体" w:cs="宋体"/>
                <w:color w:val="000000"/>
                <w:sz w:val="24"/>
              </w:rPr>
              <w:t>3.数字证书签发机构具有《电子认证服务许可证》和《电子认证服务使用密码许可证》（提供证书证明材料）；</w:t>
            </w:r>
          </w:p>
          <w:p>
            <w:pPr>
              <w:pStyle w:val="4"/>
              <w:jc w:val="both"/>
            </w:pPr>
            <w:r>
              <w:rPr>
                <w:rFonts w:ascii="宋体" w:hAnsi="宋体" w:eastAsia="宋体" w:cs="宋体"/>
                <w:color w:val="000000"/>
                <w:sz w:val="24"/>
              </w:rPr>
              <w:t>4.★供应商需提供100个介质及授权；</w:t>
            </w:r>
          </w:p>
        </w:tc>
      </w:tr>
    </w:tbl>
    <w:p>
      <w:pPr>
        <w:pStyle w:val="4"/>
      </w:pPr>
    </w:p>
    <w:p>
      <w:pPr>
        <w:pStyle w:val="4"/>
      </w:pPr>
      <w:r>
        <w:t>标的名称：其他视频会议系统设备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7"/>
        <w:gridCol w:w="625"/>
        <w:gridCol w:w="66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7" w:type="dxa"/>
          </w:tcPr>
          <w:p>
            <w:pPr>
              <w:pStyle w:val="4"/>
            </w:pPr>
            <w:r>
              <w:t>参数性质</w:t>
            </w:r>
          </w:p>
        </w:tc>
        <w:tc>
          <w:tcPr>
            <w:tcW w:w="625" w:type="dxa"/>
          </w:tcPr>
          <w:p>
            <w:pPr>
              <w:pStyle w:val="4"/>
            </w:pPr>
            <w:r>
              <w:t>序号</w:t>
            </w:r>
          </w:p>
        </w:tc>
        <w:tc>
          <w:tcPr>
            <w:tcW w:w="6645"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7" w:type="dxa"/>
          </w:tcPr>
          <w:p/>
        </w:tc>
        <w:tc>
          <w:tcPr>
            <w:tcW w:w="625" w:type="dxa"/>
          </w:tcPr>
          <w:p>
            <w:pPr>
              <w:pStyle w:val="4"/>
            </w:pPr>
            <w:r>
              <w:t>1</w:t>
            </w:r>
          </w:p>
        </w:tc>
        <w:tc>
          <w:tcPr>
            <w:tcW w:w="6645" w:type="dxa"/>
          </w:tcPr>
          <w:p>
            <w:pPr>
              <w:pStyle w:val="4"/>
              <w:jc w:val="both"/>
            </w:pPr>
            <w:r>
              <w:rPr>
                <w:rFonts w:ascii="宋体" w:hAnsi="宋体" w:eastAsia="宋体" w:cs="宋体"/>
                <w:color w:val="000000"/>
                <w:sz w:val="24"/>
              </w:rPr>
              <w:t>1.★支持4K 60fps、4K 30fps、1080P60fps、1080P30fps等视频输出格式；</w:t>
            </w:r>
          </w:p>
          <w:p>
            <w:pPr>
              <w:pStyle w:val="4"/>
              <w:jc w:val="both"/>
            </w:pPr>
            <w:r>
              <w:rPr>
                <w:rFonts w:ascii="宋体" w:hAnsi="宋体" w:eastAsia="宋体" w:cs="宋体"/>
                <w:color w:val="000000"/>
                <w:sz w:val="24"/>
              </w:rPr>
              <w:t>2.★支持≥3路高清视频输出接口，3路高清图像同时输出。至少具备一个高清接口，支持摄像头一线连接同品牌终端，实现同时传输视频信号、控制信号和摄像头供电，通过终端的WEB界面实现摄像机曝光度、白平衡和视频格式等内容的参数调节；</w:t>
            </w:r>
          </w:p>
          <w:p>
            <w:pPr>
              <w:pStyle w:val="4"/>
              <w:jc w:val="both"/>
            </w:pPr>
            <w:r>
              <w:rPr>
                <w:rFonts w:ascii="宋体" w:hAnsi="宋体" w:eastAsia="宋体" w:cs="宋体"/>
                <w:color w:val="000000"/>
                <w:sz w:val="24"/>
              </w:rPr>
              <w:t>3.支持最高不小于800万像素1/2.5英寸CMOS成像芯片；</w:t>
            </w:r>
          </w:p>
          <w:p>
            <w:pPr>
              <w:pStyle w:val="4"/>
              <w:jc w:val="both"/>
            </w:pPr>
            <w:r>
              <w:rPr>
                <w:rFonts w:ascii="宋体" w:hAnsi="宋体" w:eastAsia="宋体" w:cs="宋体"/>
                <w:color w:val="000000"/>
                <w:sz w:val="24"/>
              </w:rPr>
              <w:t>4.支持不小于12倍光学变焦、支持≥80°水平视角，增加外置广角镜视为不满足；</w:t>
            </w:r>
          </w:p>
          <w:p>
            <w:pPr>
              <w:pStyle w:val="4"/>
              <w:jc w:val="both"/>
            </w:pPr>
            <w:r>
              <w:rPr>
                <w:rFonts w:ascii="宋体" w:hAnsi="宋体" w:eastAsia="宋体" w:cs="宋体"/>
                <w:color w:val="000000"/>
                <w:sz w:val="24"/>
              </w:rPr>
              <w:t>5.水平转动范围：≥+/-110°，垂直转动范围：≥+/- 30°；</w:t>
            </w:r>
          </w:p>
          <w:p>
            <w:pPr>
              <w:pStyle w:val="4"/>
              <w:jc w:val="both"/>
            </w:pPr>
            <w:r>
              <w:rPr>
                <w:rFonts w:ascii="宋体" w:hAnsi="宋体" w:eastAsia="宋体" w:cs="宋体"/>
                <w:color w:val="000000"/>
                <w:sz w:val="24"/>
              </w:rPr>
              <w:t>6.支持≥200个预置位。支持RS232协议，具备不少于两个控制接口，支持本地USB接口软件升级功能；</w:t>
            </w:r>
          </w:p>
          <w:p>
            <w:pPr>
              <w:pStyle w:val="4"/>
              <w:jc w:val="both"/>
            </w:pPr>
            <w:r>
              <w:rPr>
                <w:rFonts w:ascii="宋体" w:hAnsi="宋体" w:eastAsia="宋体" w:cs="宋体"/>
                <w:color w:val="000000"/>
                <w:sz w:val="24"/>
              </w:rPr>
              <w:t>7.支持红外透传功能，实现终端遥控器通过摄像机控制机房内会议终端，方便调试。</w:t>
            </w:r>
          </w:p>
        </w:tc>
      </w:tr>
    </w:tbl>
    <w:p>
      <w:pPr>
        <w:pStyle w:val="4"/>
      </w:pPr>
    </w:p>
    <w:p>
      <w:pPr>
        <w:pStyle w:val="4"/>
      </w:pPr>
      <w:r>
        <w:t>标的名称：虚拟专用网（VPN）设备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62"/>
        <w:gridCol w:w="588"/>
        <w:gridCol w:w="66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2" w:type="dxa"/>
          </w:tcPr>
          <w:p>
            <w:pPr>
              <w:pStyle w:val="4"/>
            </w:pPr>
            <w:r>
              <w:t>参数性质</w:t>
            </w:r>
          </w:p>
        </w:tc>
        <w:tc>
          <w:tcPr>
            <w:tcW w:w="588" w:type="dxa"/>
          </w:tcPr>
          <w:p>
            <w:pPr>
              <w:pStyle w:val="4"/>
            </w:pPr>
            <w:r>
              <w:t>序号</w:t>
            </w:r>
          </w:p>
        </w:tc>
        <w:tc>
          <w:tcPr>
            <w:tcW w:w="665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2" w:type="dxa"/>
          </w:tcPr>
          <w:p/>
        </w:tc>
        <w:tc>
          <w:tcPr>
            <w:tcW w:w="588" w:type="dxa"/>
          </w:tcPr>
          <w:p>
            <w:pPr>
              <w:pStyle w:val="4"/>
            </w:pPr>
            <w:r>
              <w:t>1</w:t>
            </w:r>
          </w:p>
        </w:tc>
        <w:tc>
          <w:tcPr>
            <w:tcW w:w="6657" w:type="dxa"/>
          </w:tcPr>
          <w:p>
            <w:pPr>
              <w:pStyle w:val="4"/>
              <w:jc w:val="both"/>
            </w:pPr>
            <w:r>
              <w:rPr>
                <w:rFonts w:ascii="宋体" w:hAnsi="宋体" w:eastAsia="宋体" w:cs="宋体"/>
                <w:color w:val="000000"/>
                <w:sz w:val="24"/>
              </w:rPr>
              <w:t>1.★专业IPSec VPN和SSL VPN二合一设备，采用符合国际标准SSL、TLS 协议，同时支持IPSec VPN和SSL VPN功能，为非插卡或防火墙带VPN模块设备。</w:t>
            </w:r>
          </w:p>
          <w:p>
            <w:pPr>
              <w:pStyle w:val="4"/>
              <w:jc w:val="both"/>
            </w:pPr>
            <w:r>
              <w:rPr>
                <w:rFonts w:ascii="宋体" w:hAnsi="宋体" w:eastAsia="宋体" w:cs="宋体"/>
                <w:color w:val="000000"/>
                <w:sz w:val="24"/>
              </w:rPr>
              <w:t>2.★与上级设备兼容互联互通，并支持与辖区医疗卫生机构在用数字证书对接，无障碍访问和使用中国疾病预防控制系统。</w:t>
            </w:r>
          </w:p>
          <w:p>
            <w:pPr>
              <w:pStyle w:val="4"/>
              <w:jc w:val="both"/>
            </w:pPr>
            <w:r>
              <w:rPr>
                <w:rFonts w:ascii="宋体" w:hAnsi="宋体" w:eastAsia="宋体" w:cs="宋体"/>
                <w:color w:val="000000"/>
                <w:sz w:val="24"/>
              </w:rPr>
              <w:t>3.★具备国家密码管理局颁发的《商用密码产品认证证书》，并符合GM/T0023-2014《IPSec VPN网关产品规范》、GM/T 0025-2014《SSL VPN网关产品规范》和满足GM/T 0028-2014《密码模块安全技术要求》第二级要求。（需提供证书复印件并加盖供应商电子公章）</w:t>
            </w:r>
          </w:p>
          <w:p>
            <w:pPr>
              <w:pStyle w:val="4"/>
              <w:jc w:val="both"/>
            </w:pPr>
            <w:r>
              <w:rPr>
                <w:rFonts w:ascii="宋体" w:hAnsi="宋体" w:eastAsia="宋体" w:cs="宋体"/>
                <w:color w:val="000000"/>
                <w:sz w:val="24"/>
              </w:rPr>
              <w:t>4.★标准机架式设备，国产化CPU，内含硬件加密卡，支持国家商用密码算法SM2、SM3、SM4。</w:t>
            </w:r>
          </w:p>
          <w:p>
            <w:pPr>
              <w:pStyle w:val="4"/>
              <w:jc w:val="both"/>
            </w:pPr>
            <w:r>
              <w:rPr>
                <w:rFonts w:ascii="宋体" w:hAnsi="宋体" w:eastAsia="宋体" w:cs="宋体"/>
                <w:color w:val="000000"/>
                <w:sz w:val="24"/>
              </w:rPr>
              <w:t>5.★≥6个千兆电口，≥2个千兆SFP插槽，≥1个网络接口扩展槽位，≥2个USB口，整机吞吐≥2.5Gbps；IPSec/SSL国密加解密吞吐≥260Mbps，并发用户授权数≥300。</w:t>
            </w:r>
          </w:p>
          <w:p>
            <w:pPr>
              <w:pStyle w:val="4"/>
              <w:jc w:val="both"/>
            </w:pPr>
            <w:r>
              <w:rPr>
                <w:rFonts w:ascii="宋体" w:hAnsi="宋体" w:eastAsia="宋体" w:cs="宋体"/>
                <w:color w:val="000000"/>
                <w:sz w:val="24"/>
              </w:rPr>
              <w:t>6.支持IPSec、SSL、PPTP、L2TP VPN的统一用户管理和认证体系，实现用户名口令一次配置，即可适用于全部VPN类型接入。（需提供功能界面截图证明）</w:t>
            </w:r>
          </w:p>
          <w:p>
            <w:pPr>
              <w:pStyle w:val="4"/>
              <w:jc w:val="both"/>
            </w:pPr>
            <w:r>
              <w:rPr>
                <w:rFonts w:ascii="宋体" w:hAnsi="宋体" w:eastAsia="宋体" w:cs="宋体"/>
                <w:color w:val="000000"/>
                <w:sz w:val="24"/>
              </w:rPr>
              <w:t>7.支持管理员密码设置禁止修改为设备初始默认密码，提高设备的安全性。</w:t>
            </w:r>
          </w:p>
          <w:p>
            <w:pPr>
              <w:pStyle w:val="4"/>
              <w:jc w:val="both"/>
            </w:pPr>
            <w:r>
              <w:rPr>
                <w:rFonts w:ascii="宋体" w:hAnsi="宋体" w:eastAsia="宋体" w:cs="宋体"/>
                <w:color w:val="000000"/>
                <w:sz w:val="24"/>
              </w:rPr>
              <w:t>8.客户端支持Windows7及以上版本和国产化操作系统。</w:t>
            </w:r>
          </w:p>
          <w:p>
            <w:pPr>
              <w:pStyle w:val="4"/>
              <w:jc w:val="both"/>
            </w:pPr>
            <w:r>
              <w:rPr>
                <w:rFonts w:ascii="宋体" w:hAnsi="宋体" w:eastAsia="宋体" w:cs="宋体"/>
                <w:color w:val="000000"/>
                <w:sz w:val="24"/>
              </w:rPr>
              <w:t>9.产品支持用户访问策略，支持访问痕迹的留存、支持对访问用户的详细信息查询（客户端名称、客户端特征码、客户机MAC、登录时间、登录用户名等）、支持账号和客户端MAC的关联绑定，仅允许绑定的MAC地址客户机访问。（需提供功能界面截图证明）</w:t>
            </w:r>
          </w:p>
          <w:p>
            <w:pPr>
              <w:pStyle w:val="4"/>
              <w:jc w:val="both"/>
            </w:pPr>
            <w:r>
              <w:rPr>
                <w:rFonts w:ascii="宋体" w:hAnsi="宋体" w:eastAsia="宋体" w:cs="宋体"/>
                <w:color w:val="000000"/>
                <w:sz w:val="24"/>
              </w:rPr>
              <w:t>10.支持去除ICMP重定向、抗ARP攻击、IP地址冲突检查等功能，避免VPN设备被攻击或者仿冒。（需提供功能界面截图证明）</w:t>
            </w:r>
          </w:p>
          <w:p>
            <w:pPr>
              <w:pStyle w:val="4"/>
              <w:jc w:val="both"/>
            </w:pPr>
            <w:r>
              <w:rPr>
                <w:rFonts w:ascii="宋体" w:hAnsi="宋体" w:eastAsia="宋体" w:cs="宋体"/>
                <w:color w:val="000000"/>
                <w:sz w:val="24"/>
              </w:rPr>
              <w:t>11.SSL VPN客户端同时支持国际算法和国密算法，可自定义选择。</w:t>
            </w:r>
          </w:p>
          <w:p>
            <w:pPr>
              <w:pStyle w:val="4"/>
              <w:jc w:val="both"/>
            </w:pPr>
            <w:r>
              <w:rPr>
                <w:rFonts w:ascii="宋体" w:hAnsi="宋体" w:eastAsia="宋体" w:cs="宋体"/>
                <w:color w:val="000000"/>
                <w:sz w:val="24"/>
              </w:rPr>
              <w:t>12.IPSecVPN支持网关、单臂部署模式，IPSecVPN支持透明、路由、冗余等网络接入方式。</w:t>
            </w:r>
          </w:p>
          <w:p>
            <w:pPr>
              <w:pStyle w:val="4"/>
              <w:jc w:val="both"/>
            </w:pPr>
            <w:r>
              <w:rPr>
                <w:rFonts w:ascii="宋体" w:hAnsi="宋体" w:eastAsia="宋体" w:cs="宋体"/>
                <w:color w:val="000000"/>
                <w:sz w:val="24"/>
              </w:rPr>
              <w:t>13.设备日志存储要求大于6个月。</w:t>
            </w:r>
          </w:p>
          <w:p>
            <w:pPr>
              <w:pStyle w:val="4"/>
              <w:jc w:val="both"/>
            </w:pPr>
            <w:r>
              <w:rPr>
                <w:rFonts w:ascii="宋体" w:hAnsi="宋体" w:eastAsia="宋体" w:cs="宋体"/>
                <w:color w:val="000000"/>
                <w:sz w:val="24"/>
              </w:rPr>
              <w:t>14.★提供原厂3年售后质保，并于中标后提供厂家盖章的售后服务承诺函。</w:t>
            </w:r>
          </w:p>
          <w:p>
            <w:pPr>
              <w:pStyle w:val="4"/>
              <w:jc w:val="both"/>
            </w:pPr>
            <w:r>
              <w:rPr>
                <w:rFonts w:ascii="宋体" w:hAnsi="宋体" w:eastAsia="宋体" w:cs="宋体"/>
                <w:sz w:val="24"/>
              </w:rPr>
              <w:t>15.★拟提供的产品若涉及《网络关键设备和网络安全专用产品目录》内产品，供应商应按照《信息安全技术网络安全专用产品安全技术要求》等相关国家标准强制性要求，提供具备资格的机构安全认证合格或者安全检测符合要求的相关证明或证书复印件，具体产品类别详见《网络关键设备和网络安全专用产品目录》（网信办（2023）2号）（注：需提供证书复印件并加盖供应商电子公章。）</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3.4.2交货地点和方式</w:t>
      </w:r>
    </w:p>
    <w:p>
      <w:pPr>
        <w:pStyle w:val="4"/>
      </w:pPr>
    </w:p>
    <w:p>
      <w:pPr>
        <w:pStyle w:val="4"/>
      </w:pPr>
      <w:r>
        <w:t>采购包1：</w:t>
      </w:r>
    </w:p>
    <w:p>
      <w:pPr>
        <w:pStyle w:val="4"/>
      </w:pPr>
      <w:r>
        <w:t>简阳市疾病预防控制中心</w:t>
      </w:r>
    </w:p>
    <w:p>
      <w:pPr>
        <w:pStyle w:val="4"/>
        <w:outlineLvl w:val="3"/>
      </w:pPr>
      <w:r>
        <w:rPr>
          <w:b/>
          <w:sz w:val="24"/>
        </w:rPr>
        <w:t>3.4.3支付方式</w:t>
      </w:r>
    </w:p>
    <w:p>
      <w:pPr>
        <w:pStyle w:val="4"/>
      </w:pPr>
    </w:p>
    <w:p>
      <w:pPr>
        <w:pStyle w:val="4"/>
      </w:pPr>
      <w:r>
        <w:t>采购包1：</w:t>
      </w:r>
    </w:p>
    <w:p>
      <w:pPr>
        <w:pStyle w:val="4"/>
      </w:pPr>
      <w:r>
        <w:t>一次付清</w:t>
      </w:r>
    </w:p>
    <w:p>
      <w:pPr>
        <w:pStyle w:val="4"/>
        <w:outlineLvl w:val="3"/>
      </w:pPr>
      <w:r>
        <w:rPr>
          <w:b/>
          <w:sz w:val="24"/>
        </w:rPr>
        <w:t>3.4.4支付约定</w:t>
      </w:r>
    </w:p>
    <w:p>
      <w:pPr>
        <w:pStyle w:val="4"/>
      </w:pPr>
    </w:p>
    <w:p>
      <w:pPr>
        <w:pStyle w:val="4"/>
      </w:pPr>
      <w:r>
        <w:t>采购包1： 付款条件说明： 验收合格后，采购人收到供应商提供的全额正式发票并完善相关手续后 ，达到付款条件起 15 日内，支付合同总金额的 100.00%。</w:t>
      </w:r>
    </w:p>
    <w:p>
      <w:pPr>
        <w:pStyle w:val="4"/>
        <w:outlineLvl w:val="3"/>
      </w:pPr>
      <w:r>
        <w:rPr>
          <w:b/>
          <w:sz w:val="24"/>
        </w:rPr>
        <w:t>3.4.5验收标准和方法</w:t>
      </w:r>
    </w:p>
    <w:p>
      <w:pPr>
        <w:pStyle w:val="4"/>
      </w:pPr>
    </w:p>
    <w:p>
      <w:pPr>
        <w:pStyle w:val="4"/>
      </w:pPr>
      <w:r>
        <w:t>采购包1：</w:t>
      </w:r>
    </w:p>
    <w:p>
      <w:pPr>
        <w:pStyle w:val="4"/>
      </w:pPr>
      <w:r>
        <w:t>1、成交供应商在安装调试完毕后，通知采购人进行验收，采购人应在10日内完成验收。2、按国家有关规定以及采购文件的质量要求和技术指标、响应文件及承诺与合同约定标准进行验收；双方如对质量要求和技术指标的约定标准有相互抵触或异议的事项，由采购人在采购文件与响应文件中按质量要求和技术指标比较优胜的原则确定该项的约定标准进行验收。3、验收时如发现所交付的货物有短装、次品、损坏或其它不符合标准及合同规定之情形者，采购人应做出详尽的现场记录，或由双方签署备忘录，此现场记录或备忘录可用作补充、缺失和更换损坏部件的有效证据，由此产生的时间延误与有关费用由供应商承担，验收期限相应顺延。</w:t>
      </w:r>
    </w:p>
    <w:p>
      <w:pPr>
        <w:pStyle w:val="4"/>
        <w:outlineLvl w:val="3"/>
      </w:pPr>
      <w:r>
        <w:rPr>
          <w:b/>
          <w:sz w:val="24"/>
        </w:rPr>
        <w:t>3.4.6包装方式及运输</w:t>
      </w: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r>
        <w:t>采购包1：</w:t>
      </w:r>
    </w:p>
    <w:p>
      <w:pPr>
        <w:pStyle w:val="4"/>
      </w:pPr>
      <w:r>
        <w:t>★售后服务及相关要求：（1）送货安装方案;运输、安装、调试由供应商负责。 （2）质保期内，提供本项目范围内所有设备的维修（更换）、升级保养等相关服务，并提供7×24小时的技术支持服务，接到采购人系统故障报修在应4小时内响应，12小时内到达现场，24小时内不能排除故障的应向采购人提交问题处理报告，说明问题种类、问题原因、问题解决中使用的方法及造成的损失等情况。 （3）质量保障方案。若产品故障，供应商负责修理好产品，并经使用科室人员使用正常后支付相关维修费用。修复设备若涉及更换配件或耗材的，配件或耗材只收取厂家成本费。 （4）在质保期内，供应商对所投产品提供每年不少于2次的巡检和维护保养。当采购人有重要活动时，供应商应当提供现场技术保障服务。 （5）供应商所有设备的各种部件均保证齐备、充足供应，若因设备升级更新等原因不能保障供应造成采购人损失的，由供应商承担全部赔偿责任。</w:t>
      </w:r>
    </w:p>
    <w:p>
      <w:pPr>
        <w:pStyle w:val="4"/>
        <w:outlineLvl w:val="3"/>
      </w:pPr>
      <w:r>
        <w:rPr>
          <w:b/>
          <w:sz w:val="24"/>
        </w:rPr>
        <w:t>3.4.8违约责任及解决争议的方法</w:t>
      </w:r>
    </w:p>
    <w:p>
      <w:pPr>
        <w:pStyle w:val="4"/>
      </w:pPr>
    </w:p>
    <w:p>
      <w:pPr>
        <w:pStyle w:val="4"/>
      </w:pPr>
    </w:p>
    <w:p>
      <w:pPr>
        <w:pStyle w:val="4"/>
      </w:pPr>
    </w:p>
    <w:p>
      <w:pPr>
        <w:pStyle w:val="4"/>
      </w:pPr>
      <w:r>
        <w:t>采购包1：</w:t>
      </w:r>
    </w:p>
    <w:p>
      <w:pPr>
        <w:pStyle w:val="4"/>
      </w:pPr>
      <w:r>
        <w:t>违约责任： （1）成交供应商交付的软件或设备质量不符合合同规定的，成交供应商应向采购人支付合同总价的百分之一的违约金，并须在合同规定的交货时间内更换合格的软件和设备给采购人，否则，视作成交供应商不能交付软件及设备而违约，按本条本款下述第“（2）”项规定由成交供应商偿付违约赔偿金给采购人。 （2）成交供应商不能交付或逾期交付软件或设备而违约的，除应及时交足设备外，应向采购人偿付逾期交付部分款项总额的万分之一/天的违约金；逾期交货超过30天，采购人有权终止合同，合同终止后，成交供应商除应向采购人返还已收款项外,成交供应商还应按合同总价的百分之一的款额向采购人偿付赔偿金，同时采购人有权没收履约保证金。 （3）成交供应商软件或设备经采购人送交具有法定资格条件的质量技术监督机构检测后，如检测结果认定设备质量不符合本合同规定标准的，则视为成交供应商没有按时交付而违约，成交供应商须在15天内无条件更换合格的软件及设备，如逾期不能更换合格的软件和设备，采购人有权终止本合同，合同终止后，成交供应商除应向采购人返还已收款项外，成交供应商还应另付合同总价的百分之一的赔偿金给采购人。 （4）成交供应商保证本合同软件或设备的权利无瑕疵，包括软件或设备所有权及知识产权等权利无瑕疵。如任何第三方经法院（或仲裁机构）裁决有权对上述软件或设备主张权利或国家机关依法对软件或设备进行没收查处的，成交供应商除应向采购人返还已收款项外，还应另按合同总价的百分之十向采购人支付违约金并赔偿因此给采购人造成的一切损失。 （5）成交供应商偿付的违约金不足以弥补采购人损失的，还应按采购人损失尚未弥补的部分，支付赔偿金给采购人。 争议解决办法： 1、因软件或设备的质量问题发生争议，由质量技术监督部门或其指定的质量鉴定机构进行质量鉴定，鉴定费由成交供应商进行垫付。鉴定结果软件和设备符合标准的，鉴定费由采购人承担，采购人在收到鉴定报告之日起15日内将鉴定费支付给成交供应商；鉴定结果软件或设备不符合质量标准的，鉴定费由成交供应商承担。 2、合同履行期间,若双方发生争议，可协商或由有关部门调解解决，协商或调解不成的，双方均可依法向本合同履行地法院提起诉讼。</w:t>
      </w:r>
    </w:p>
    <w:p>
      <w:pPr>
        <w:pStyle w:val="4"/>
        <w:jc w:val="left"/>
        <w:outlineLvl w:val="3"/>
      </w:pPr>
      <w:r>
        <w:rPr>
          <w:b/>
          <w:sz w:val="24"/>
        </w:rPr>
        <w:t>3.5其他要求</w:t>
      </w:r>
    </w:p>
    <w:p>
      <w:pPr>
        <w:pStyle w:val="4"/>
      </w:pPr>
    </w:p>
    <w:p>
      <w:pPr>
        <w:pStyle w:val="4"/>
      </w:pPr>
    </w:p>
    <w:p>
      <w:pPr>
        <w:pStyle w:val="4"/>
      </w:pPr>
      <w:r>
        <w:t>采购包1：</w:t>
      </w:r>
    </w:p>
    <w:p>
      <w:pPr>
        <w:pStyle w:val="4"/>
      </w:pPr>
      <w:r>
        <w:t>无</w:t>
      </w:r>
    </w:p>
    <w:p>
      <w:pPr>
        <w:pStyle w:val="4"/>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hZTA2YThmYmZmMGRlZjU1OTI0NWNjNDE3ZDczMWYifQ=="/>
  </w:docVars>
  <w:rsids>
    <w:rsidRoot w:val="00000000"/>
    <w:rsid w:val="1DD73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Administrator.USER-20190820XW</dc:creator>
  <cp:lastModifiedBy>Zzzzz捷</cp:lastModifiedBy>
  <dcterms:modified xsi:type="dcterms:W3CDTF">2024-04-16T03:10:46Z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AA5D4F6F8BB943B2A27B7CA481155160_12</vt:lpwstr>
  </property>
</Properties>
</file>