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附件</w:t>
      </w:r>
      <w:r>
        <w:rPr>
          <w:rFonts w:hint="eastAsia" w:ascii="宋体" w:hAnsi="宋体" w:eastAsia="宋体" w:cs="宋体"/>
          <w:color w:val="000000" w:themeColor="text1"/>
          <w:sz w:val="28"/>
          <w:szCs w:val="28"/>
          <w:lang w:eastAsia="zh-CN"/>
          <w14:textFill>
            <w14:solidFill>
              <w14:schemeClr w14:val="tx1"/>
            </w14:solidFill>
          </w14:textFill>
        </w:rPr>
        <w:t>：《合作街道餐厨垃圾收运监督考核标准</w:t>
      </w:r>
      <w:bookmarkStart w:id="0" w:name="_GoBack"/>
      <w:bookmarkEnd w:id="0"/>
      <w:r>
        <w:rPr>
          <w:rFonts w:hint="eastAsia" w:ascii="宋体" w:hAnsi="宋体" w:eastAsia="宋体" w:cs="宋体"/>
          <w:color w:val="000000" w:themeColor="text1"/>
          <w:sz w:val="28"/>
          <w:szCs w:val="28"/>
          <w:lang w:eastAsia="zh-CN"/>
          <w14:textFill>
            <w14:solidFill>
              <w14:schemeClr w14:val="tx1"/>
            </w14:solidFill>
          </w14:textFill>
        </w:rPr>
        <w:t>及评分表》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4895"/>
        <w:gridCol w:w="1089"/>
        <w:gridCol w:w="69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合作街道餐厨垃圾收运监督考核标准及评分表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pct"/>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考核内容</w:t>
            </w:r>
          </w:p>
        </w:tc>
        <w:tc>
          <w:tcPr>
            <w:tcW w:w="2872" w:type="pct"/>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考核标准</w:t>
            </w:r>
          </w:p>
        </w:tc>
        <w:tc>
          <w:tcPr>
            <w:tcW w:w="639" w:type="pct"/>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考核分值</w:t>
            </w:r>
          </w:p>
        </w:tc>
        <w:tc>
          <w:tcPr>
            <w:tcW w:w="408" w:type="pct"/>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得分</w:t>
            </w:r>
          </w:p>
        </w:tc>
        <w:tc>
          <w:tcPr>
            <w:tcW w:w="412" w:type="pct"/>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7" w:type="pct"/>
            <w:vMerge w:val="restar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组织管理</w:t>
            </w:r>
          </w:p>
        </w:tc>
        <w:tc>
          <w:tcPr>
            <w:tcW w:w="287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组织机构：领导组织机构健全，指定具体的负责人和收运人员，任务分工明确，领导组织机构不完善，任务分工不明确扣1分；无领导组织构架扣2分。</w:t>
            </w:r>
          </w:p>
        </w:tc>
        <w:tc>
          <w:tcPr>
            <w:tcW w:w="639"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4</w:t>
            </w:r>
          </w:p>
        </w:tc>
        <w:tc>
          <w:tcPr>
            <w:tcW w:w="408"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41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pct"/>
            <w:vMerge w:val="continue"/>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287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管理制度：收运处置人员管理规范、及时收运处置餐厨垃圾，项目各种规章制度完善，合理配备运行人员。管理制度不规范，未按制度执行，1次扣1分；收运不规范，未合理配备收运人员，1次扣1分。</w:t>
            </w:r>
          </w:p>
        </w:tc>
        <w:tc>
          <w:tcPr>
            <w:tcW w:w="639"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5</w:t>
            </w:r>
          </w:p>
        </w:tc>
        <w:tc>
          <w:tcPr>
            <w:tcW w:w="408"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41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pct"/>
            <w:vMerge w:val="continue"/>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287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应急事件处理：指定详细的餐厨垃圾管理应急预案，具有可操作性，加强重点区域安全保障措施，及时处理各类突发事件。突发事件处理不及时，造成餐厨垃圾大面积撒漏、收运不及时造成群体上访等不良社会影响，每次扣2分；不积极处理突发事件，每次扣3分；无应急预案扣6分。</w:t>
            </w:r>
          </w:p>
        </w:tc>
        <w:tc>
          <w:tcPr>
            <w:tcW w:w="639"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6</w:t>
            </w:r>
          </w:p>
        </w:tc>
        <w:tc>
          <w:tcPr>
            <w:tcW w:w="408"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41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67"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日常管理</w:t>
            </w:r>
          </w:p>
        </w:tc>
        <w:tc>
          <w:tcPr>
            <w:tcW w:w="2872" w:type="pct"/>
            <w:vAlign w:val="center"/>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各类投诉处理：积极妥善处理各类投诉，对存在问题及时处置，投诉处理率达100%，每一件正常投诉件扣0.5分，处置整改不及时扣1分，每次整改报告未及时报送监管部门的扣2分，每月连续出现5件投诉件扣10分。</w:t>
            </w:r>
          </w:p>
        </w:tc>
        <w:tc>
          <w:tcPr>
            <w:tcW w:w="639"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15</w:t>
            </w:r>
          </w:p>
        </w:tc>
        <w:tc>
          <w:tcPr>
            <w:tcW w:w="408"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41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pct"/>
            <w:vMerge w:val="restar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餐厨垃圾收运</w:t>
            </w:r>
          </w:p>
        </w:tc>
        <w:tc>
          <w:tcPr>
            <w:tcW w:w="2872" w:type="pct"/>
            <w:vAlign w:val="center"/>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收运后保持餐厨垃圾桶面干净，并将餐厨垃圾桶放回原位，标识向外，若垃圾桶脏污，每次扣10分，若未将餐厨垃圾桶放回原位或标识未向外，每次扣5分。</w:t>
            </w:r>
          </w:p>
        </w:tc>
        <w:tc>
          <w:tcPr>
            <w:tcW w:w="639"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15</w:t>
            </w:r>
          </w:p>
        </w:tc>
        <w:tc>
          <w:tcPr>
            <w:tcW w:w="408"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41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pct"/>
            <w:vMerge w:val="continue"/>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2872"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按时收运，收运时保持现场清洁，收运后及时清理现场、若未按时收运（时间指日期），每次扣25分，若未按时段收运，每次扣10分。若收运时未保持现场清洁，收运后未及时清理现场，每次扣5分。</w:t>
            </w:r>
          </w:p>
        </w:tc>
        <w:tc>
          <w:tcPr>
            <w:tcW w:w="639"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30</w:t>
            </w:r>
          </w:p>
        </w:tc>
        <w:tc>
          <w:tcPr>
            <w:tcW w:w="408"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41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pct"/>
            <w:vMerge w:val="continue"/>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287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每月提供并填写上报相关资料、联单，若未及时报送或未报送餐厨垃圾相关资料、台账，每次扣15分。</w:t>
            </w:r>
          </w:p>
        </w:tc>
        <w:tc>
          <w:tcPr>
            <w:tcW w:w="639"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15</w:t>
            </w:r>
          </w:p>
        </w:tc>
        <w:tc>
          <w:tcPr>
            <w:tcW w:w="408"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41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pct"/>
            <w:vMerge w:val="continue"/>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287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因收运服务公司工作不当导致街道被上级主管部门通报批评等荣誉受损，每次扣10分</w:t>
            </w:r>
          </w:p>
        </w:tc>
        <w:tc>
          <w:tcPr>
            <w:tcW w:w="639" w:type="pct"/>
            <w:vAlign w:val="center"/>
          </w:tcPr>
          <w:p>
            <w:pPr>
              <w:pStyle w:val="5"/>
              <w:widowControl w:val="0"/>
              <w:numPr>
                <w:ilvl w:val="255"/>
                <w:numId w:val="0"/>
              </w:numPr>
              <w:jc w:val="center"/>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asciiTheme="majorEastAsia" w:hAnsiTheme="majorEastAsia" w:eastAsiaTheme="majorEastAsia" w:cstheme="majorEastAsia"/>
                <w:color w:val="000000" w:themeColor="text1"/>
                <w:sz w:val="21"/>
                <w:szCs w:val="21"/>
                <w:lang w:eastAsia="zh-CN"/>
                <w14:textFill>
                  <w14:solidFill>
                    <w14:schemeClr w14:val="tx1"/>
                  </w14:solidFill>
                </w14:textFill>
              </w:rPr>
              <w:t>10</w:t>
            </w:r>
          </w:p>
        </w:tc>
        <w:tc>
          <w:tcPr>
            <w:tcW w:w="408"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c>
          <w:tcPr>
            <w:tcW w:w="412" w:type="pct"/>
          </w:tcPr>
          <w:p>
            <w:pPr>
              <w:pStyle w:val="5"/>
              <w:widowControl w:val="0"/>
              <w:numPr>
                <w:ilvl w:val="255"/>
                <w:numId w:val="0"/>
              </w:numPr>
              <w:jc w:val="both"/>
              <w:rPr>
                <w:rFonts w:hint="default" w:asciiTheme="majorEastAsia" w:hAnsiTheme="majorEastAsia" w:eastAsiaTheme="majorEastAsia" w:cstheme="majorEastAsia"/>
                <w:color w:val="000000" w:themeColor="text1"/>
                <w:sz w:val="21"/>
                <w:szCs w:val="21"/>
                <w:lang w:eastAsia="zh-CN"/>
                <w14:textFill>
                  <w14:solidFill>
                    <w14:schemeClr w14:val="tx1"/>
                  </w14:solidFill>
                </w14:textFill>
              </w:rPr>
            </w:pPr>
          </w:p>
        </w:tc>
      </w:tr>
    </w:tbl>
    <w:p>
      <w:pPr>
        <w:rPr>
          <w:rFonts w:ascii="方正黑体" w:hAnsi="方正黑体" w:eastAsia="方正黑体" w:cs="方正黑体"/>
          <w:color w:val="000000" w:themeColor="text1"/>
          <w:sz w:val="21"/>
          <w:szCs w:val="2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
    <w:altName w:val="微软雅黑"/>
    <w:panose1 w:val="020B0604020202020204"/>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GQzOGI3YWFmZWIwZDIwYTNmODJkZTU0NzRkY2UifQ=="/>
  </w:docVars>
  <w:rsids>
    <w:rsidRoot w:val="713E7BE5"/>
    <w:rsid w:val="713E7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null3"/>
    <w:autoRedefine/>
    <w:hidden/>
    <w:qFormat/>
    <w:uiPriority w:val="0"/>
    <w:rPr>
      <w:rFonts w:hint="eastAsia" w:asciiTheme="minorHAnsi" w:hAnsiTheme="minorHAnsi" w:eastAsiaTheme="minorEastAsia" w:cstheme="minorBidi"/>
      <w:lang w:val="en-US" w:eastAsia="zh-Han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2024-04-15T04:17:00Z</dcterms:created>
  <dc:creator>WPS_1593672881</dc:creator>
  <cp:lastModifiedBy>WPS_1593672881</cp:lastModifiedBy>
  <dcterms:modified xsi:type="dcterms:W3CDTF">2024-04-15T04:18:55Z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00D962A07C2C4770ABEF6380DAF3D900_11</vt:lpwstr>
  </property>
</Properties>
</file>