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本单位工作开展需根据规划指标和勘测报告，由有资质的作业单位（乙级及乙级以上）对出让地块开展地质灾害危险性评估并出具是否适宜建设的地灾报告，只有适宜或基本适宜的地块，才能开展下步出让工作。</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300,000.00</w:t>
      </w:r>
    </w:p>
    <w:p>
      <w:pPr>
        <w:pStyle w:val="4"/>
      </w:pPr>
      <w:r>
        <w:t>采购包最高限价（元）: 300,000.00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2024年市本级收储土地出让前期工作地质灾害危险性评估服务</w:t>
            </w:r>
          </w:p>
        </w:tc>
        <w:tc>
          <w:tcPr>
            <w:tcW w:w="848" w:type="dxa"/>
          </w:tcPr>
          <w:p>
            <w:pPr>
              <w:pStyle w:val="4"/>
              <w:jc w:val="right"/>
            </w:pPr>
            <w:r>
              <w:t>12.00</w:t>
            </w:r>
          </w:p>
        </w:tc>
        <w:tc>
          <w:tcPr>
            <w:tcW w:w="1356" w:type="dxa"/>
          </w:tcPr>
          <w:p>
            <w:pPr>
              <w:pStyle w:val="4"/>
              <w:jc w:val="right"/>
            </w:pPr>
            <w:r>
              <w:t>300,000.00</w:t>
            </w:r>
          </w:p>
        </w:tc>
        <w:tc>
          <w:tcPr>
            <w:tcW w:w="678" w:type="dxa"/>
          </w:tcPr>
          <w:p>
            <w:pPr>
              <w:pStyle w:val="4"/>
            </w:pPr>
            <w:r>
              <w:t>宗</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标的名称：2024年市本级收储土地出让前期工作地质灾害危险性评估服务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20"/>
              <w:jc w:val="left"/>
            </w:pPr>
            <w:r>
              <w:rPr>
                <w:rFonts w:ascii="宋体" w:hAnsi="宋体" w:eastAsia="宋体" w:cs="宋体"/>
                <w:sz w:val="24"/>
              </w:rPr>
              <w:t>1、工作的依据</w:t>
            </w:r>
          </w:p>
          <w:p>
            <w:pPr>
              <w:pStyle w:val="4"/>
              <w:ind w:firstLine="420"/>
              <w:jc w:val="left"/>
            </w:pPr>
            <w:r>
              <w:rPr>
                <w:rFonts w:ascii="宋体" w:hAnsi="宋体" w:eastAsia="宋体" w:cs="宋体"/>
                <w:sz w:val="24"/>
              </w:rPr>
              <w:t>（1）国务院令第394号《地质灾害防治条例》（2003年11月24日公布，2004年3月1日实施）；</w:t>
            </w:r>
          </w:p>
          <w:p>
            <w:pPr>
              <w:pStyle w:val="4"/>
              <w:ind w:firstLine="420"/>
              <w:jc w:val="left"/>
            </w:pPr>
            <w:r>
              <w:rPr>
                <w:rFonts w:ascii="宋体" w:hAnsi="宋体" w:eastAsia="宋体" w:cs="宋体"/>
                <w:sz w:val="24"/>
              </w:rPr>
              <w:t>（2）国土资源部令第68号《关于修改建设项目用地预审管理办法的决定》（2016年11月25日发布，2017年1月1日实施）；</w:t>
            </w:r>
          </w:p>
          <w:p>
            <w:pPr>
              <w:pStyle w:val="4"/>
              <w:ind w:firstLine="420"/>
              <w:jc w:val="left"/>
            </w:pPr>
            <w:r>
              <w:rPr>
                <w:rFonts w:ascii="宋体" w:hAnsi="宋体" w:eastAsia="宋体" w:cs="宋体"/>
                <w:sz w:val="24"/>
              </w:rPr>
              <w:t>（3）国土资源部令第69号《国土资源部关于修改&lt;建设用地审查报批管理办法&gt;的决定》，（2016年11月25日发布，2017年1月1日施行）；</w:t>
            </w:r>
          </w:p>
          <w:p>
            <w:pPr>
              <w:pStyle w:val="4"/>
              <w:ind w:firstLine="420"/>
              <w:jc w:val="left"/>
            </w:pPr>
            <w:r>
              <w:rPr>
                <w:rFonts w:ascii="宋体" w:hAnsi="宋体" w:eastAsia="宋体" w:cs="宋体"/>
                <w:sz w:val="24"/>
              </w:rPr>
              <w:t>（4）国土资源部国土资发〔2004〕69号文《国土资源部关于加强地质灾害危险性评估工作的通知》（2004年3月25日发布）；</w:t>
            </w:r>
          </w:p>
          <w:p>
            <w:pPr>
              <w:pStyle w:val="4"/>
              <w:ind w:firstLine="420"/>
              <w:jc w:val="left"/>
            </w:pPr>
            <w:r>
              <w:rPr>
                <w:rFonts w:ascii="宋体" w:hAnsi="宋体" w:eastAsia="宋体" w:cs="宋体"/>
                <w:sz w:val="24"/>
              </w:rPr>
              <w:t>（5）国土资源部〔2011〕20号文《国务院关于加强地质灾害防治工作的决定》（2011年6月13日发布）；</w:t>
            </w:r>
          </w:p>
          <w:p>
            <w:pPr>
              <w:pStyle w:val="4"/>
              <w:ind w:firstLine="420"/>
              <w:jc w:val="left"/>
            </w:pPr>
            <w:r>
              <w:rPr>
                <w:rFonts w:ascii="宋体" w:hAnsi="宋体" w:eastAsia="宋体" w:cs="宋体"/>
                <w:sz w:val="24"/>
              </w:rPr>
              <w:t>（6）国土资源部〔2008〕168号文《国土资源部关于进一步加强地震灾区地质灾害危险性评估工作的通知》；</w:t>
            </w:r>
          </w:p>
          <w:p>
            <w:pPr>
              <w:pStyle w:val="4"/>
              <w:ind w:firstLine="420"/>
              <w:jc w:val="left"/>
            </w:pPr>
            <w:r>
              <w:rPr>
                <w:rFonts w:ascii="宋体" w:hAnsi="宋体" w:eastAsia="宋体" w:cs="宋体"/>
                <w:sz w:val="24"/>
              </w:rPr>
              <w:t>（7）四川省国土资源厅〔2016〕6号文《四川省国土资源厅关于进一步强化地质灾害危险性评估工作的通知》；</w:t>
            </w:r>
          </w:p>
          <w:p>
            <w:pPr>
              <w:pStyle w:val="4"/>
              <w:ind w:firstLine="420"/>
              <w:jc w:val="left"/>
            </w:pPr>
            <w:r>
              <w:rPr>
                <w:rFonts w:ascii="宋体" w:hAnsi="宋体" w:eastAsia="宋体" w:cs="宋体"/>
                <w:sz w:val="24"/>
              </w:rPr>
              <w:t>（8）《四川省地质环境管理条例》；</w:t>
            </w:r>
          </w:p>
          <w:p>
            <w:pPr>
              <w:pStyle w:val="4"/>
              <w:ind w:firstLine="420"/>
              <w:jc w:val="left"/>
            </w:pPr>
            <w:r>
              <w:rPr>
                <w:rFonts w:ascii="宋体" w:hAnsi="宋体" w:eastAsia="宋体" w:cs="宋体"/>
                <w:sz w:val="24"/>
              </w:rPr>
              <w:t>（9）中华人民共和国自然资源部令第8号《地质灾害防治单位资质管理办法》。</w:t>
            </w:r>
          </w:p>
          <w:p>
            <w:pPr>
              <w:pStyle w:val="4"/>
              <w:ind w:firstLine="420"/>
              <w:jc w:val="left"/>
            </w:pPr>
            <w:r>
              <w:rPr>
                <w:rFonts w:ascii="宋体" w:hAnsi="宋体" w:eastAsia="宋体" w:cs="宋体"/>
                <w:sz w:val="24"/>
              </w:rPr>
              <w:t>（10）《岩土工程勘察规范》（GB50021-2001）（2009版）；</w:t>
            </w:r>
          </w:p>
          <w:p>
            <w:pPr>
              <w:pStyle w:val="4"/>
              <w:ind w:firstLine="420"/>
              <w:jc w:val="left"/>
            </w:pPr>
            <w:r>
              <w:rPr>
                <w:rFonts w:ascii="宋体" w:hAnsi="宋体" w:eastAsia="宋体" w:cs="宋体"/>
                <w:sz w:val="24"/>
              </w:rPr>
              <w:t>（11）《建筑抗震设计规范》（GB50011-2010）；</w:t>
            </w:r>
          </w:p>
          <w:p>
            <w:pPr>
              <w:pStyle w:val="4"/>
              <w:ind w:firstLine="420"/>
              <w:jc w:val="left"/>
            </w:pPr>
            <w:r>
              <w:rPr>
                <w:rFonts w:ascii="宋体" w:hAnsi="宋体" w:eastAsia="宋体" w:cs="宋体"/>
                <w:sz w:val="24"/>
              </w:rPr>
              <w:t>（12）《建筑地基基础设计规范》（GB50007-2011）；</w:t>
            </w:r>
          </w:p>
          <w:p>
            <w:pPr>
              <w:pStyle w:val="4"/>
              <w:ind w:firstLine="420"/>
              <w:jc w:val="left"/>
            </w:pPr>
            <w:r>
              <w:rPr>
                <w:rFonts w:ascii="宋体" w:hAnsi="宋体" w:eastAsia="宋体" w:cs="宋体"/>
                <w:sz w:val="24"/>
              </w:rPr>
              <w:t>（13）《建筑边坡工程技术规范》（GB50330-2013）；</w:t>
            </w:r>
          </w:p>
          <w:p>
            <w:pPr>
              <w:pStyle w:val="4"/>
              <w:ind w:firstLine="420"/>
              <w:jc w:val="left"/>
            </w:pPr>
            <w:r>
              <w:rPr>
                <w:rFonts w:ascii="宋体" w:hAnsi="宋体" w:eastAsia="宋体" w:cs="宋体"/>
                <w:sz w:val="24"/>
              </w:rPr>
              <w:t>（14）《集镇滑坡崩塌泥石流勘查规范》（DZ/T0262-2014）；</w:t>
            </w:r>
          </w:p>
          <w:p>
            <w:pPr>
              <w:pStyle w:val="4"/>
              <w:ind w:firstLine="420"/>
              <w:jc w:val="left"/>
            </w:pPr>
            <w:r>
              <w:rPr>
                <w:rFonts w:ascii="宋体" w:hAnsi="宋体" w:eastAsia="宋体" w:cs="宋体"/>
                <w:sz w:val="24"/>
              </w:rPr>
              <w:t>（15）《地质灾害排查规范》（DZ/T0284-2015）；</w:t>
            </w:r>
          </w:p>
          <w:p>
            <w:pPr>
              <w:pStyle w:val="4"/>
              <w:ind w:firstLine="420"/>
              <w:jc w:val="left"/>
            </w:pPr>
            <w:r>
              <w:rPr>
                <w:rFonts w:ascii="宋体" w:hAnsi="宋体" w:eastAsia="宋体" w:cs="宋体"/>
                <w:sz w:val="24"/>
              </w:rPr>
              <w:t>（16）《中国地震动参数区划图》（GB18306-2015）；</w:t>
            </w:r>
          </w:p>
          <w:p>
            <w:pPr>
              <w:pStyle w:val="4"/>
              <w:ind w:firstLine="420"/>
              <w:jc w:val="left"/>
            </w:pPr>
            <w:r>
              <w:rPr>
                <w:rFonts w:ascii="宋体" w:hAnsi="宋体" w:eastAsia="宋体" w:cs="宋体"/>
                <w:sz w:val="24"/>
              </w:rPr>
              <w:t>（17）《建筑抗震设计规范》（GB50011-2010）（2016版）；</w:t>
            </w:r>
          </w:p>
          <w:p>
            <w:pPr>
              <w:pStyle w:val="4"/>
              <w:ind w:firstLine="420"/>
              <w:jc w:val="left"/>
            </w:pPr>
            <w:r>
              <w:rPr>
                <w:rFonts w:ascii="宋体" w:hAnsi="宋体" w:eastAsia="宋体" w:cs="宋体"/>
                <w:sz w:val="24"/>
              </w:rPr>
              <w:t>（18）《滑坡防治工程勘查规范》（GB/T32864-2016）；</w:t>
            </w:r>
          </w:p>
          <w:p>
            <w:pPr>
              <w:pStyle w:val="4"/>
              <w:ind w:firstLine="420"/>
              <w:jc w:val="left"/>
            </w:pPr>
            <w:r>
              <w:rPr>
                <w:rFonts w:ascii="宋体" w:hAnsi="宋体" w:eastAsia="宋体" w:cs="宋体"/>
                <w:sz w:val="24"/>
              </w:rPr>
              <w:t>（19）《场地地质灾害危险性评估技术要求（试行）》（T/CAGHP025-2018）；</w:t>
            </w:r>
          </w:p>
          <w:p>
            <w:pPr>
              <w:pStyle w:val="4"/>
              <w:ind w:firstLine="420"/>
              <w:jc w:val="left"/>
            </w:pPr>
            <w:r>
              <w:rPr>
                <w:rFonts w:ascii="宋体" w:hAnsi="宋体" w:eastAsia="宋体" w:cs="宋体"/>
                <w:sz w:val="24"/>
              </w:rPr>
              <w:t>（20）《岩土工程勘察安全规范》（GB/T50585-2019）；</w:t>
            </w:r>
          </w:p>
          <w:p>
            <w:pPr>
              <w:pStyle w:val="4"/>
              <w:ind w:firstLine="420"/>
              <w:jc w:val="left"/>
            </w:pPr>
            <w:r>
              <w:rPr>
                <w:rFonts w:ascii="宋体" w:hAnsi="宋体" w:eastAsia="宋体" w:cs="宋体"/>
                <w:sz w:val="24"/>
              </w:rPr>
              <w:t>（21）《滑坡防治设计规范》（GB/T38509-2020）；</w:t>
            </w:r>
          </w:p>
          <w:p>
            <w:pPr>
              <w:pStyle w:val="4"/>
              <w:ind w:firstLine="420"/>
              <w:jc w:val="left"/>
            </w:pPr>
            <w:r>
              <w:rPr>
                <w:rFonts w:ascii="宋体" w:hAnsi="宋体" w:eastAsia="宋体" w:cs="宋体"/>
                <w:sz w:val="24"/>
              </w:rPr>
              <w:t>（22）《地质灾害危险性评估规范》（GB/T40112-2021）；</w:t>
            </w:r>
          </w:p>
          <w:p>
            <w:pPr>
              <w:pStyle w:val="4"/>
              <w:ind w:firstLine="420"/>
              <w:jc w:val="left"/>
            </w:pPr>
            <w:r>
              <w:rPr>
                <w:rFonts w:ascii="宋体" w:hAnsi="宋体" w:eastAsia="宋体" w:cs="宋体"/>
                <w:sz w:val="24"/>
              </w:rPr>
              <w:t>（23）地质灾害评估委托书。</w:t>
            </w:r>
          </w:p>
          <w:p>
            <w:pPr>
              <w:pStyle w:val="4"/>
              <w:ind w:firstLine="420"/>
              <w:jc w:val="left"/>
            </w:pPr>
            <w:r>
              <w:rPr>
                <w:rFonts w:ascii="宋体" w:hAnsi="宋体" w:eastAsia="宋体" w:cs="宋体"/>
                <w:sz w:val="24"/>
              </w:rPr>
              <w:t>2、工作内容</w:t>
            </w:r>
          </w:p>
          <w:p>
            <w:pPr>
              <w:pStyle w:val="4"/>
              <w:ind w:firstLine="420"/>
              <w:jc w:val="left"/>
            </w:pPr>
            <w:r>
              <w:rPr>
                <w:rFonts w:ascii="宋体" w:hAnsi="宋体" w:eastAsia="宋体" w:cs="宋体"/>
                <w:sz w:val="24"/>
              </w:rPr>
              <w:t>（1）确定评估工作范围、评估级别；</w:t>
            </w:r>
          </w:p>
          <w:p>
            <w:pPr>
              <w:pStyle w:val="4"/>
              <w:ind w:firstLine="420"/>
              <w:jc w:val="left"/>
            </w:pPr>
            <w:r>
              <w:rPr>
                <w:rFonts w:ascii="宋体" w:hAnsi="宋体" w:eastAsia="宋体" w:cs="宋体"/>
                <w:sz w:val="24"/>
              </w:rPr>
              <w:t>（2）在充分收集前人已有研究成果的基础上，通过野外调查与室内资料综合整理、分析，查明评估范围内的地质环境条件（包括评估区气象水文、地形地貌、地层岩性、地质构造、水文地质及工程地质条件、人类工程活动状况等）；</w:t>
            </w:r>
          </w:p>
          <w:p>
            <w:pPr>
              <w:pStyle w:val="4"/>
              <w:ind w:firstLine="420"/>
              <w:jc w:val="left"/>
            </w:pPr>
            <w:r>
              <w:rPr>
                <w:rFonts w:ascii="宋体" w:hAnsi="宋体" w:eastAsia="宋体" w:cs="宋体"/>
                <w:sz w:val="24"/>
              </w:rPr>
              <w:t>（3）查明该项目及其影响范围内主要地质灾害类型、分布、规模等，对其现状危险性进行评估；</w:t>
            </w:r>
          </w:p>
          <w:p>
            <w:pPr>
              <w:pStyle w:val="4"/>
              <w:ind w:firstLine="420"/>
              <w:jc w:val="left"/>
            </w:pPr>
            <w:r>
              <w:rPr>
                <w:rFonts w:ascii="宋体" w:hAnsi="宋体" w:eastAsia="宋体" w:cs="宋体"/>
                <w:sz w:val="24"/>
              </w:rPr>
              <w:t>（4）对该项目范围内工程建设加剧、引发地质灾害的可能性以及工程建设本身可能遭受地质灾害的危险性进行预测评估；</w:t>
            </w:r>
          </w:p>
          <w:p>
            <w:pPr>
              <w:pStyle w:val="4"/>
              <w:ind w:firstLine="420"/>
              <w:jc w:val="left"/>
            </w:pPr>
            <w:r>
              <w:rPr>
                <w:rFonts w:ascii="宋体" w:hAnsi="宋体" w:eastAsia="宋体" w:cs="宋体"/>
                <w:sz w:val="24"/>
              </w:rPr>
              <w:t>（5）在现状评估和预测评估的基础上对该项目建设用地进行地质灾害危险性综合分区评估；</w:t>
            </w:r>
          </w:p>
          <w:p>
            <w:pPr>
              <w:pStyle w:val="4"/>
              <w:ind w:firstLine="420"/>
              <w:jc w:val="left"/>
            </w:pPr>
            <w:r>
              <w:rPr>
                <w:rFonts w:ascii="宋体" w:hAnsi="宋体" w:eastAsia="宋体" w:cs="宋体"/>
                <w:sz w:val="24"/>
              </w:rPr>
              <w:t>（6）提出该项目地质灾害防治对策、措施及建议，为工程建设提供依据；</w:t>
            </w:r>
          </w:p>
          <w:p>
            <w:pPr>
              <w:pStyle w:val="4"/>
              <w:ind w:firstLine="420"/>
              <w:jc w:val="left"/>
            </w:pPr>
            <w:r>
              <w:rPr>
                <w:rFonts w:ascii="宋体" w:hAnsi="宋体" w:eastAsia="宋体" w:cs="宋体"/>
                <w:sz w:val="24"/>
              </w:rPr>
              <w:t>（7）根据地质灾害危险性等级、综合分区及防治处理措施的难易程度，对该场地适宜性进行评</w:t>
            </w:r>
          </w:p>
          <w:p>
            <w:pPr>
              <w:pStyle w:val="4"/>
              <w:ind w:firstLine="420"/>
              <w:jc w:val="left"/>
            </w:pPr>
            <w:r>
              <w:rPr>
                <w:rFonts w:ascii="宋体" w:hAnsi="宋体" w:eastAsia="宋体" w:cs="宋体"/>
                <w:sz w:val="24"/>
              </w:rPr>
              <w:t>3、评估方法：</w:t>
            </w:r>
          </w:p>
          <w:p>
            <w:pPr>
              <w:pStyle w:val="4"/>
              <w:ind w:firstLine="420"/>
              <w:jc w:val="left"/>
            </w:pPr>
            <w:r>
              <w:rPr>
                <w:rFonts w:ascii="宋体" w:hAnsi="宋体" w:eastAsia="宋体" w:cs="宋体"/>
                <w:sz w:val="24"/>
              </w:rPr>
              <w:t>（1）评价工作级别的确定；</w:t>
            </w:r>
          </w:p>
          <w:p>
            <w:pPr>
              <w:pStyle w:val="4"/>
              <w:ind w:firstLine="420"/>
              <w:jc w:val="left"/>
            </w:pPr>
            <w:r>
              <w:rPr>
                <w:rFonts w:ascii="宋体" w:hAnsi="宋体" w:eastAsia="宋体" w:cs="宋体"/>
                <w:sz w:val="24"/>
              </w:rPr>
              <w:t>（2）地质环境条件评价，具体包括气象、水文及地形地貌特征、地层岩性、构造形迹、水文地质及工程地质等；</w:t>
            </w:r>
          </w:p>
          <w:p>
            <w:pPr>
              <w:pStyle w:val="4"/>
              <w:ind w:firstLine="420"/>
              <w:jc w:val="left"/>
            </w:pPr>
            <w:r>
              <w:rPr>
                <w:rFonts w:ascii="宋体" w:hAnsi="宋体" w:eastAsia="宋体" w:cs="宋体"/>
                <w:sz w:val="24"/>
              </w:rPr>
              <w:t>（3）地质灾害类型和特征及其现状评估；</w:t>
            </w:r>
          </w:p>
          <w:p>
            <w:pPr>
              <w:pStyle w:val="4"/>
              <w:ind w:firstLine="420"/>
              <w:jc w:val="left"/>
            </w:pPr>
            <w:r>
              <w:rPr>
                <w:rFonts w:ascii="宋体" w:hAnsi="宋体" w:eastAsia="宋体" w:cs="宋体"/>
                <w:sz w:val="24"/>
              </w:rPr>
              <w:t>（4）工程建设引发、加剧地质灾害的可能性；</w:t>
            </w:r>
          </w:p>
          <w:p>
            <w:pPr>
              <w:pStyle w:val="4"/>
              <w:ind w:firstLine="420"/>
              <w:jc w:val="left"/>
            </w:pPr>
            <w:r>
              <w:rPr>
                <w:rFonts w:ascii="宋体" w:hAnsi="宋体" w:eastAsia="宋体" w:cs="宋体"/>
                <w:sz w:val="24"/>
              </w:rPr>
              <w:t>（5）工程建设本身可能遭受地质灾害的危险性；</w:t>
            </w:r>
          </w:p>
          <w:p>
            <w:pPr>
              <w:pStyle w:val="4"/>
              <w:ind w:firstLine="420"/>
              <w:jc w:val="left"/>
            </w:pPr>
            <w:r>
              <w:rPr>
                <w:rFonts w:ascii="宋体" w:hAnsi="宋体" w:eastAsia="宋体" w:cs="宋体"/>
                <w:sz w:val="24"/>
              </w:rPr>
              <w:t>（6）综合分区评估。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宋体" w:hAnsi="宋体" w:eastAsia="宋体" w:cs="宋体"/>
                <w:sz w:val="24"/>
              </w:rPr>
              <w:t>1、本项目具体宗地以采购人指定为准，单价最高限价为25,000.00元/宗（贰万伍仟元整每宗</w:t>
            </w:r>
            <w:r>
              <w:rPr>
                <w:rFonts w:ascii="Calibri" w:hAnsi="Calibri" w:eastAsia="Calibri" w:cs="Calibri"/>
                <w:sz w:val="24"/>
              </w:rPr>
              <w:t>）。单价报价超过单价最高限价的为无效响应。</w:t>
            </w:r>
          </w:p>
          <w:p>
            <w:pPr>
              <w:pStyle w:val="4"/>
              <w:jc w:val="both"/>
            </w:pPr>
            <w:r>
              <w:rPr>
                <w:rFonts w:ascii="宋体" w:hAnsi="宋体" w:eastAsia="宋体" w:cs="宋体"/>
                <w:sz w:val="24"/>
              </w:rPr>
              <w:t>2、本项目为据实结算。在合同履行期间，成交供应商每完成一宗地的地质灾害危险性评估服务，提交相应报告及票据后，采购人支付一宗地的评估费用。因四川政府采购网一体化平台系统固化，采购需求、采购文件及采购合同中支付方式若与此处冲突，以此处据实结算为准。（供应商须提供承诺函并加盖供应商公章）。</w:t>
            </w:r>
          </w:p>
          <w:p>
            <w:pPr>
              <w:pStyle w:val="4"/>
              <w:jc w:val="both"/>
            </w:pPr>
            <w:r>
              <w:rPr>
                <w:rFonts w:ascii="宋体" w:hAnsi="宋体" w:eastAsia="宋体" w:cs="宋体"/>
                <w:sz w:val="24"/>
              </w:rPr>
              <w:t>3、合同履行期限：自合同签订之日起至2024年12月31日。因四川政府采购网一体化平台系统固化，采购需求、采购文件及采购合同中合同履行期限若与此处冲突，以此处自合同签订之日起至2024年12月31日为准。</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详见5.4.2评分标准</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自合同签订之日起228日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自贡市</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9）根据文件规定的要求和供应商响应文件及合同约定的内容,严格按照政府采购相关法律法规以及《财政部关于进一步加强政府采购需求和履约验收管理的指导意见》财库〔2016〕205号的要求进行验收。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合同签订后（因四川政府采购网一体化平台系统固化，采购需求、采购文件及采购合同中支付方式均以据实结算为准）支付预付款 ，达到付款条件起 10 日内，支付合同总金额的 40.00%。</w:t>
      </w:r>
    </w:p>
    <w:p>
      <w:pPr>
        <w:pStyle w:val="4"/>
      </w:pPr>
      <w:r>
        <w:t>采购包1： 付款条件说明： 完成地质灾害危险性评估工作且验收合格后（因四川政府采购网一体化平台系统固化，采购需求、采购文件及采购合同中支付方式均以据实结算为准） ，达到付款条件起 10 日内，支付合同总金额的 60.00%。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违约责任：（1）双方必须遵守合同中的各项规定，保证合同的正常履行。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争议解决方法：如发生争议，由双方协商而定，若协商无果，以采购人所在地人民法院管辖。</w:t>
      </w:r>
    </w:p>
    <w:p>
      <w:pPr>
        <w:pStyle w:val="4"/>
        <w:jc w:val="left"/>
        <w:outlineLvl w:val="2"/>
      </w:pPr>
      <w:r>
        <w:rPr>
          <w:b/>
          <w:sz w:val="28"/>
        </w:rPr>
        <w:t>3.4其他要求</w:t>
      </w:r>
    </w:p>
    <w:p>
      <w:pPr>
        <w:pStyle w:val="4"/>
      </w:pPr>
    </w:p>
    <w:p>
      <w:pPr>
        <w:pStyle w:val="4"/>
      </w:pPr>
    </w:p>
    <w:p>
      <w:pPr>
        <w:pStyle w:val="4"/>
      </w:pPr>
      <w:r>
        <w:t>1.供应商提供技术方案，内容包括但不限于：（一）项目概述；（二）工作目的、原则及技术路线；（三）地质灾害调查方案；（四）人员配置；（五）工作进度计划；（六）保证措施及售后服务。（本条仅作为评分项，供应商可不在此处响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NTQyOTM3MzFhNGE2ZmJjOTYyNjJjMzU1MzMxNTYifQ=="/>
  </w:docVars>
  <w:rsids>
    <w:rsidRoot w:val="631149B8"/>
    <w:rsid w:val="6311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2024-04-26T08:38:00Z</dcterms:created>
  <dc:creator>魚</dc:creator>
  <cp:lastModifiedBy>魚</cp:lastModifiedBy>
  <dcterms:modified xsi:type="dcterms:W3CDTF">2024-04-26T08:39:32Z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C831B8196A674EAF89CE2012F7DD6BE5_11</vt:lpwstr>
  </property>
</Properties>
</file>