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left"/>
      </w:pPr>
      <w:r>
        <w:rPr/>
        <w:t>正文</w:t>
      </w: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安保服务采购项目</w:t>
      </w:r>
    </w:p>
    <w:p>
      <w:pPr>
        <w:pStyle w:val="null3"/>
        <w:jc w:val="center"/>
        <w:outlineLvl w:val="2"/>
      </w:pPr>
      <w:r>
        <w:rPr>
          <w:b/>
          <w:sz w:val="28"/>
        </w:rPr>
        <w:t>采购项目编号：</w:t>
      </w:r>
      <w:r>
        <w:rPr>
          <w:b/>
          <w:sz w:val="28"/>
        </w:rPr>
        <w:t>N5106032023000171</w:t>
      </w:r>
      <w:r>
        <w:br/>
      </w:r>
      <w:r>
        <w:br/>
      </w:r>
      <w:r>
        <w:br/>
      </w:r>
    </w:p>
    <w:p>
      <w:pPr>
        <w:pStyle w:val="null3"/>
        <w:jc w:val="center"/>
        <w:outlineLvl w:val="2"/>
      </w:pPr>
      <w:r>
        <w:rPr>
          <w:b/>
          <w:sz w:val="28"/>
        </w:rPr>
        <w:t>德阳市旌阳区中医院</w:t>
      </w:r>
    </w:p>
    <w:p>
      <w:pPr>
        <w:pStyle w:val="null3"/>
        <w:jc w:val="center"/>
        <w:outlineLvl w:val="2"/>
      </w:pPr>
      <w:r>
        <w:rPr>
          <w:b/>
          <w:sz w:val="28"/>
        </w:rPr>
        <w:t>四川旌洲项目管理有限公司</w:t>
      </w:r>
      <w:r>
        <w:rPr>
          <w:b/>
          <w:sz w:val="28"/>
        </w:rPr>
        <w:t>共同编制</w:t>
      </w:r>
    </w:p>
    <w:p>
      <w:pPr>
        <w:pStyle w:val="null3"/>
        <w:jc w:val="center"/>
        <w:outlineLvl w:val="2"/>
      </w:pPr>
      <w:r>
        <w:rPr>
          <w:b/>
          <w:sz w:val="28"/>
        </w:rPr>
        <w:t>2023年12月25日</w:t>
      </w:r>
    </w:p>
    <w:p>
      <w:pPr>
        <w:pStyle w:val="null3"/>
      </w:pPr>
    </w:p>
    <w:p>
      <w:pPr>
        <w:pStyle w:val="null3"/>
      </w:pPr>
      <w:r>
        <w:rPr/>
        <w:t xml:space="preserve"> </w:t>
      </w:r>
    </w:p>
    <w:p>
      <w:pPr>
        <w:pStyle w:val="null3"/>
        <w:jc w:val="center"/>
        <w:outlineLvl w:val="1"/>
      </w:pPr>
      <w:r>
        <w:rPr>
          <w:b/>
          <w:sz w:val="36"/>
        </w:rPr>
        <w:t>第一章 竞争性磋商邀请</w:t>
      </w:r>
    </w:p>
    <w:p>
      <w:pPr>
        <w:pStyle w:val="null3"/>
        <w:ind w:firstLine="480"/>
      </w:pPr>
      <w:r>
        <w:rPr/>
        <w:t>四川旌洲项目管理有限公司</w:t>
      </w:r>
      <w:r>
        <w:rPr/>
        <w:t>（以下简称“代理机构”）受</w:t>
      </w:r>
      <w:r>
        <w:rPr/>
        <w:t>德阳市旌阳区中医院</w:t>
      </w:r>
      <w:r>
        <w:rPr/>
        <w:t>委托，拟对</w:t>
      </w:r>
      <w:r>
        <w:rPr/>
        <w:t>安保服务采购项目</w:t>
      </w:r>
      <w:r>
        <w:rPr/>
        <w:t>采用竞争性磋商采购方式进行采购，兹邀请供应商参加本项目的竞争性磋商。</w:t>
      </w:r>
    </w:p>
    <w:p>
      <w:pPr>
        <w:pStyle w:val="null3"/>
        <w:outlineLvl w:val="2"/>
      </w:pPr>
      <w:r>
        <w:rPr>
          <w:b/>
          <w:sz w:val="28"/>
        </w:rPr>
        <w:t>一、项目编号：</w:t>
      </w:r>
      <w:r>
        <w:rPr>
          <w:b/>
          <w:sz w:val="28"/>
        </w:rPr>
        <w:t>N5106032023000171</w:t>
      </w:r>
    </w:p>
    <w:p>
      <w:pPr>
        <w:pStyle w:val="null3"/>
        <w:outlineLvl w:val="2"/>
      </w:pPr>
      <w:r>
        <w:rPr>
          <w:b/>
          <w:sz w:val="28"/>
        </w:rPr>
        <w:t>二、项目名称：</w:t>
      </w:r>
      <w:r>
        <w:rPr>
          <w:b/>
          <w:sz w:val="28"/>
        </w:rPr>
        <w:t>安保服务采购项目</w:t>
      </w:r>
    </w:p>
    <w:p>
      <w:pPr>
        <w:pStyle w:val="null3"/>
        <w:outlineLvl w:val="2"/>
      </w:pPr>
      <w:r>
        <w:rPr>
          <w:b/>
          <w:sz w:val="28"/>
        </w:rPr>
        <w:t>三、磋商项目简介</w:t>
      </w:r>
    </w:p>
    <w:p>
      <w:pPr>
        <w:pStyle w:val="null3"/>
        <w:ind w:firstLine="480"/>
      </w:pPr>
      <w:r>
        <w:rPr/>
        <w:t>德阳市旌阳区中医院位于德阳市华山路169号（西小区院区）、泾河路33号（黄河新区院区），为三级乙等综合医院，总占地46亩、总建筑面积为100000㎡。其中；西小区院区建筑面积约为40000㎡，室外道路及停车场约10000㎡；院区分布为门诊综合楼7层，第一住院部大楼11层，第二住院部大楼7层，综合楼7层，家属楼一栋楼2个单元，院内公共区域，地下车库等区域。黄河新区院区建筑面积约为60000㎡，室外道路及停车场约15700㎡；院区分布为门诊、急诊综合楼5层，门诊、住院大楼16层；院内公共通道，地下车库等区域。</w:t>
      </w:r>
    </w:p>
    <w:p>
      <w:pPr>
        <w:pStyle w:val="null3"/>
        <w:outlineLvl w:val="2"/>
      </w:pPr>
      <w:r>
        <w:rPr>
          <w:b/>
          <w:sz w:val="28"/>
        </w:rPr>
        <w:t>四、邀请供应商</w:t>
      </w:r>
    </w:p>
    <w:p>
      <w:pPr>
        <w:pStyle w:val="null3"/>
      </w:pPr>
    </w:p>
    <w:p>
      <w:pPr>
        <w:pStyle w:val="null3"/>
      </w:pPr>
    </w:p>
    <w:p>
      <w:pPr>
        <w:pStyle w:val="null3"/>
      </w:pPr>
      <w:r>
        <w:rPr/>
        <w:t>本次采购采取公告征集邀请磋商的供应商。</w:t>
      </w:r>
    </w:p>
    <w:p>
      <w:pPr>
        <w:pStyle w:val="null3"/>
      </w:pPr>
      <w:r>
        <w:rPr/>
        <w:t xml:space="preserve"> 公告征集：本次竞争性磋商在“四川政府采购网（www.ccgp-sichuan.gov.cn）”上以公告形式发布，兹邀请符合本次采购要求的供应商参加本项目的竞争性磋商。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采购包1（合同包一）：属于专门面向中小企业采购。</w:t>
      </w:r>
    </w:p>
    <w:p>
      <w:pPr>
        <w:pStyle w:val="null3"/>
        <w:ind w:firstLine="480"/>
      </w:pPr>
      <w:r>
        <w:rPr/>
        <w:t xml:space="preserve"> 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1、供应商须具备有效的公安部门颁发的《保安服务许可证》，提供证书复印件。（描述：供应商须具备有效的公安部门颁发的《保安服务许可证》，提供证书复印件。）</w:t>
      </w:r>
    </w:p>
    <w:p>
      <w:pPr>
        <w:pStyle w:val="null3"/>
      </w:pPr>
      <w:r>
        <w:rPr/>
        <w:t>2、本项目安全责任承诺书（描述：提供承诺函）</w:t>
      </w:r>
    </w:p>
    <w:p>
      <w:pPr>
        <w:pStyle w:val="null3"/>
        <w:outlineLvl w:val="2"/>
      </w:pPr>
      <w:r>
        <w:rPr>
          <w:b/>
          <w:sz w:val="28"/>
        </w:rPr>
        <w:t>六、电子化采购相关事项</w:t>
      </w:r>
    </w:p>
    <w:p>
      <w:pPr>
        <w:pStyle w:val="null3"/>
        <w:ind w:firstLine="480"/>
      </w:pPr>
      <w:r>
        <w:rPr/>
        <w:t xml:space="preserve"> 本项目实行电子化采购，使用的电子化交易系统为：四川省政府采购一体化平台（以下简称“采购一体化平台”）的项目电子化交易系统（以下简称项目电子化交易系统），登录方式及地址：通过四川政府采购网（www.ccgp-sichuan.gov.cn）首页供应商用户登录采购一体化平台，进入项目电子化交易系统。供应商应当按照以下要求，参与本次电子化采购活动。</w:t>
      </w:r>
    </w:p>
    <w:p>
      <w:pPr>
        <w:pStyle w:val="null3"/>
        <w:ind w:firstLine="480"/>
      </w:pPr>
      <w:r>
        <w:rPr/>
        <w:t xml:space="preserve"> （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 xml:space="preserve"> （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免费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德阳市旌阳区中医院</w:t>
      </w:r>
    </w:p>
    <w:p>
      <w:pPr>
        <w:pStyle w:val="null3"/>
      </w:pPr>
    </w:p>
    <w:p>
      <w:pPr>
        <w:pStyle w:val="null3"/>
      </w:pPr>
    </w:p>
    <w:p>
      <w:pPr>
        <w:pStyle w:val="null3"/>
      </w:pPr>
      <w:r>
        <w:rPr/>
        <w:t xml:space="preserve"> 地址： </w:t>
      </w:r>
      <w:r>
        <w:rPr/>
        <w:t>德阳市旌阳区华山北路169号</w:t>
      </w:r>
    </w:p>
    <w:p>
      <w:pPr>
        <w:pStyle w:val="null3"/>
      </w:pPr>
      <w:r>
        <w:rPr/>
        <w:t xml:space="preserve"> 邮编： </w:t>
      </w:r>
      <w:r>
        <w:rPr/>
        <w:t>618000</w:t>
      </w:r>
    </w:p>
    <w:p>
      <w:pPr>
        <w:pStyle w:val="null3"/>
      </w:pPr>
      <w:r>
        <w:rPr/>
        <w:t xml:space="preserve"> 联系人： </w:t>
      </w:r>
      <w:r>
        <w:rPr/>
        <w:t>唐老师、王老师</w:t>
      </w:r>
    </w:p>
    <w:p>
      <w:pPr>
        <w:pStyle w:val="null3"/>
      </w:pPr>
      <w:r>
        <w:rPr/>
        <w:t xml:space="preserve"> 联系电话： </w:t>
      </w:r>
      <w:r>
        <w:rPr/>
        <w:t>08382208091</w:t>
      </w:r>
    </w:p>
    <w:p>
      <w:pPr>
        <w:pStyle w:val="null3"/>
        <w:outlineLvl w:val="3"/>
      </w:pPr>
      <w:r>
        <w:rPr>
          <w:b/>
          <w:sz w:val="24"/>
        </w:rPr>
        <w:t>代理机构：</w:t>
      </w:r>
      <w:r>
        <w:rPr>
          <w:b/>
          <w:sz w:val="24"/>
        </w:rPr>
        <w:t>四川旌洲项目管理有限公司</w:t>
      </w:r>
    </w:p>
    <w:p>
      <w:pPr>
        <w:pStyle w:val="null3"/>
      </w:pPr>
    </w:p>
    <w:p>
      <w:pPr>
        <w:pStyle w:val="null3"/>
      </w:pPr>
    </w:p>
    <w:p>
      <w:pPr>
        <w:pStyle w:val="null3"/>
      </w:pPr>
      <w:r>
        <w:rPr/>
        <w:t xml:space="preserve"> 地址： </w:t>
      </w:r>
      <w:r>
        <w:rPr/>
        <w:t>四川省德阳市绵远街一段276号102生活广场1栋1-23-6（美斯特同栋）</w:t>
      </w:r>
    </w:p>
    <w:p>
      <w:pPr>
        <w:pStyle w:val="null3"/>
      </w:pPr>
      <w:r>
        <w:rPr/>
        <w:t xml:space="preserve"> 邮编： </w:t>
      </w:r>
      <w:r>
        <w:rPr/>
        <w:t>618000</w:t>
      </w:r>
    </w:p>
    <w:p>
      <w:pPr>
        <w:pStyle w:val="null3"/>
      </w:pPr>
      <w:r>
        <w:rPr/>
        <w:t xml:space="preserve"> 联系人： </w:t>
      </w:r>
      <w:r>
        <w:rPr/>
        <w:t>周女士</w:t>
      </w:r>
    </w:p>
    <w:p>
      <w:pPr>
        <w:pStyle w:val="null3"/>
      </w:pPr>
      <w:r>
        <w:rPr/>
        <w:t xml:space="preserve"> 联系电话： </w:t>
      </w:r>
      <w:r>
        <w:rPr/>
        <w:t>0838-6556599</w:t>
      </w:r>
    </w:p>
    <w:p>
      <w:pPr>
        <w:pStyle w:val="null3"/>
      </w:pP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p>
          <w:p>
            <w:pPr>
              <w:pStyle w:val="null3"/>
            </w:pPr>
            <w:r>
              <w:rPr/>
              <w:t>采购包1：1,731,000.00元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采购包1：不接受联合体</w:t>
            </w:r>
          </w:p>
          <w:p>
            <w:pPr>
              <w:pStyle w:val="null3"/>
            </w:pPr>
          </w:p>
        </w:tc>
      </w:tr>
      <w:tr>
        <w:tc>
          <w:tcPr>
            <w:tcW w:type="dxa" w:w="1051"/>
          </w:tcPr>
          <w:p>
            <w:pPr>
              <w:pStyle w:val="null3"/>
            </w:pPr>
            <w:r>
              <w:rPr/>
              <w:t>5</w:t>
            </w:r>
          </w:p>
        </w:tc>
        <w:tc>
          <w:tcPr>
            <w:tcW w:type="dxa" w:w="2252"/>
          </w:tcPr>
          <w:p>
            <w:pPr>
              <w:pStyle w:val="null3"/>
            </w:pPr>
            <w:r>
              <w:rPr/>
              <w:t>落实节能、环保、无线局域网</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 xml:space="preserve"> 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应当加盖供应商公章，在磋商小组要求的时间内通过项目电子化交易系统进行提交，否则视为不能证明其响应报价合理性。供应商不能证明其响应报价合理性的，磋商小组应当将其响应文件作为无效处理。（注：供应商报价低于最高限价50%或者低于其他有效供应商报价算术平均价40%的，磋商小组可以认为该供应商“报价明显低于其他实质性响应的供应商报价”。）</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本项目不收取磋商保证金。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采购包1：不收取</w:t>
            </w:r>
          </w:p>
        </w:tc>
      </w:tr>
      <w:tr>
        <w:tc>
          <w:tcPr>
            <w:tcW w:type="dxa" w:w="1051"/>
          </w:tcPr>
          <w:p>
            <w:pPr>
              <w:pStyle w:val="null3"/>
            </w:pPr>
            <w:r>
              <w:rPr/>
              <w:t>11</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12</w:t>
            </w:r>
          </w:p>
        </w:tc>
        <w:tc>
          <w:tcPr>
            <w:tcW w:type="dxa" w:w="2252"/>
          </w:tcPr>
          <w:p>
            <w:pPr>
              <w:pStyle w:val="null3"/>
            </w:pPr>
            <w:r>
              <w:rPr/>
              <w:t>招标代理服务费（实质性要求）</w:t>
            </w:r>
          </w:p>
        </w:tc>
        <w:tc>
          <w:tcPr>
            <w:tcW w:type="dxa" w:w="5004"/>
          </w:tcPr>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代理服务费收费标准：按照成本加合理利润的原则收取代理服务费,本项目定额收取代理服务费 62544元，代理服务费由成交人领取成交通知书时一次性支付。</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成交通知书</w:t>
            </w:r>
          </w:p>
        </w:tc>
        <w:tc>
          <w:tcPr>
            <w:tcW w:type="dxa" w:w="5004"/>
          </w:tcPr>
          <w:p>
            <w:pPr>
              <w:pStyle w:val="null3"/>
            </w:pPr>
            <w:r>
              <w:rPr/>
              <w:t xml:space="preserve"> 采购结果公告后，采购人或代理机构通过项目电子化交易系统向成交供应商发出成交通知书；成交供应商通过项目电子化交易系统获取成交通知书。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p>
          <w:p>
            <w:pPr>
              <w:pStyle w:val="null3"/>
            </w:pPr>
            <w:r>
              <w:rPr/>
              <w:t>不允许（实质性要求）</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 xml:space="preserve"> 报价/分值精确度仅保留“所有数据项默认最多可输入/展示至小数点后2位，超出小数点位的数值采用四舍五入的方式进行精确。”</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德阳市旌阳区中医院</w:t>
      </w:r>
      <w:r>
        <w:rPr/>
        <w:t>和</w:t>
      </w:r>
      <w:r>
        <w:rPr/>
        <w:t>四川旌洲项目管理有限公司</w:t>
      </w:r>
      <w:r>
        <w:rPr/>
        <w:t>享有。对磋商文件中供应商参加本次政府采购活动应当具备的条件，磋商项目技术、服务、商务及其他要求，评审细则及标准由</w:t>
      </w:r>
      <w:r>
        <w:rPr/>
        <w:t>德阳市旌阳区中医院</w:t>
      </w:r>
      <w:r>
        <w:rPr/>
        <w:t>负责解释。除上述磋商文件内容，其他内容由</w:t>
      </w:r>
      <w:r>
        <w:rPr/>
        <w:t>四川旌洲项目管理有限公司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德阳市旌阳区中医院</w:t>
      </w:r>
      <w:r>
        <w:rPr/>
        <w:t>。</w:t>
      </w:r>
    </w:p>
    <w:p>
      <w:pPr>
        <w:pStyle w:val="null3"/>
        <w:ind w:firstLine="480"/>
      </w:pPr>
      <w:r>
        <w:rPr/>
        <w:t xml:space="preserve"> 二、“供应商”是指在按照磋商公告规定获取磋商文件，拟参加响应和向采购人提供货物及相应服务的法人、其他组织或自然人。</w:t>
      </w:r>
    </w:p>
    <w:p>
      <w:pPr>
        <w:pStyle w:val="null3"/>
        <w:ind w:firstLine="480"/>
      </w:pPr>
      <w:r>
        <w:rPr/>
        <w:t xml:space="preserve"> 三、“代理机构”是指政府采购集中采购机构和从事政府采购代理业务的社会中介机构。本项目的代理机构是</w:t>
      </w:r>
      <w:r>
        <w:rPr/>
        <w:t>四川旌洲项目管理有限公司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（四）磋商过程中可实质性变动的内容；</w:t>
      </w:r>
    </w:p>
    <w:p>
      <w:pPr>
        <w:pStyle w:val="null3"/>
        <w:ind w:firstLine="480"/>
      </w:pPr>
      <w:r>
        <w:rPr/>
        <w:t>（五）磋商办法；</w:t>
      </w:r>
    </w:p>
    <w:p>
      <w:pPr>
        <w:pStyle w:val="null3"/>
        <w:ind w:firstLine="480"/>
      </w:pPr>
      <w:r>
        <w:rPr/>
        <w:t>（六）响应文件格式；</w:t>
      </w:r>
    </w:p>
    <w:p>
      <w:pPr>
        <w:pStyle w:val="null3"/>
        <w:ind w:firstLine="480"/>
      </w:pPr>
      <w:r>
        <w:rPr/>
        <w:t>（七）拟签订采购合同文本。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四川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2.4.2计量单位（实质性要求）</w:t>
      </w:r>
    </w:p>
    <w:p>
      <w:pPr>
        <w:pStyle w:val="null3"/>
        <w:ind w:firstLine="480"/>
      </w:pPr>
      <w:r>
        <w:rPr/>
        <w:t>除磋商文件中另有规定外，本项目均采用国家法定的计量单位。</w:t>
      </w:r>
    </w:p>
    <w:p>
      <w:pPr>
        <w:pStyle w:val="null3"/>
        <w:outlineLvl w:val="3"/>
      </w:pPr>
      <w:r>
        <w:rPr>
          <w:b/>
          <w:sz w:val="24"/>
        </w:rPr>
        <w:t>2.4.3响应货币（实质性要求）</w:t>
      </w:r>
    </w:p>
    <w:p>
      <w:pPr>
        <w:pStyle w:val="null3"/>
        <w:ind w:firstLine="480"/>
      </w:pPr>
      <w:r>
        <w:rPr/>
        <w:t>本次项目均以人民币报价。</w:t>
      </w:r>
    </w:p>
    <w:p>
      <w:pPr>
        <w:pStyle w:val="null3"/>
        <w:outlineLvl w:val="3"/>
      </w:pPr>
      <w:r>
        <w:rPr>
          <w:b/>
          <w:sz w:val="24"/>
        </w:rPr>
        <w:t xml:space="preserve"> 2.4.4知识产权（实质性要求）</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响应文件具体内容详见第六章。</w:t>
      </w:r>
    </w:p>
    <w:p>
      <w:pPr>
        <w:pStyle w:val="null3"/>
        <w:outlineLvl w:val="3"/>
      </w:pPr>
      <w:r>
        <w:rPr>
          <w:b/>
          <w:sz w:val="24"/>
        </w:rPr>
        <w:t xml:space="preserve"> 2.4.6响应文件格式</w:t>
      </w:r>
    </w:p>
    <w:p>
      <w:pPr>
        <w:pStyle w:val="null3"/>
        <w:ind w:firstLine="480"/>
      </w:pPr>
      <w:r>
        <w:rPr/>
        <w:t>一、供应商应按照磋商文件第六章中提供的“响应文件格式”填写相关内容。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五章磋商办法规定予以修正，修正后的报价经供应商以书面形式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一、响应文件应当根据磋商文件进行编制。供应商应通过四川政府采购网-办事指南下载响应客户端，使用客户端编制响应文件。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一、本项目为竞争性磋商项目。网上开启的开始时间为响应文件提交截止时间。成功提交或成功提交和解密电子响应文件的供应商不足3家的，不予开启，采购人或代理机构将终止采购活动。</w:t>
      </w:r>
    </w:p>
    <w:p>
      <w:pPr>
        <w:pStyle w:val="null3"/>
        <w:ind w:firstLine="480"/>
      </w:pPr>
      <w:r>
        <w:rPr/>
        <w:t>二、磋商开启准备工作</w:t>
      </w:r>
    </w:p>
    <w:p>
      <w:pPr>
        <w:pStyle w:val="null3"/>
        <w:ind w:firstLine="480"/>
        <w:jc w:val="left"/>
      </w:pPr>
    </w:p>
    <w:p>
      <w:pPr>
        <w:pStyle w:val="null3"/>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详见磋商文件第五章。</w:t>
      </w:r>
    </w:p>
    <w:p>
      <w:pPr>
        <w:pStyle w:val="null3"/>
        <w:outlineLvl w:val="3"/>
      </w:pPr>
      <w:r>
        <w:rPr>
          <w:b/>
          <w:sz w:val="24"/>
        </w:rPr>
        <w:t>2.5.4磋商</w:t>
      </w:r>
    </w:p>
    <w:p>
      <w:pPr>
        <w:pStyle w:val="null3"/>
        <w:ind w:firstLine="480"/>
      </w:pPr>
      <w:r>
        <w:rPr/>
        <w:t>详见磋商文件第五章。</w:t>
      </w:r>
    </w:p>
    <w:p>
      <w:pPr>
        <w:pStyle w:val="null3"/>
        <w:outlineLvl w:val="3"/>
      </w:pPr>
      <w:r>
        <w:rPr>
          <w:b/>
          <w:sz w:val="24"/>
        </w:rPr>
        <w:t>2.5.5成交通知书</w:t>
      </w:r>
    </w:p>
    <w:p>
      <w:pPr>
        <w:pStyle w:val="null3"/>
        <w:ind w:firstLine="480"/>
      </w:pPr>
      <w:r>
        <w:rPr/>
        <w:t xml:space="preserve"> 一、采购人或者磋商小组确认成交供应商后，代理机构在四川政府采购网发布成交结果公告、通过项目电子化交易系统发出成交通知书，成交供应商通过项目电子化交易系统获取成交通知书。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p>
    <w:p>
      <w:pPr>
        <w:pStyle w:val="null3"/>
      </w:pPr>
    </w:p>
    <w:p>
      <w:pPr>
        <w:pStyle w:val="null3"/>
      </w:pP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否</w:t>
      </w:r>
    </w:p>
    <w:p>
      <w:pPr>
        <w:pStyle w:val="null3"/>
        <w:ind w:firstLine="840"/>
      </w:pPr>
      <w:r>
        <w:rPr/>
        <w:t>4）是否邀请服务对象：</w:t>
      </w:r>
      <w:r>
        <w:rPr/>
        <w:t>否</w:t>
      </w:r>
    </w:p>
    <w:p>
      <w:pPr>
        <w:pStyle w:val="null3"/>
        <w:ind w:firstLine="840"/>
      </w:pPr>
      <w:r>
        <w:rPr/>
        <w:t>5）是否邀请第三方检测机构：</w:t>
      </w:r>
      <w:r>
        <w:rPr/>
        <w:t>否</w:t>
      </w:r>
    </w:p>
    <w:p>
      <w:pPr>
        <w:pStyle w:val="null3"/>
        <w:ind w:firstLine="840"/>
      </w:pPr>
      <w:r>
        <w:rPr/>
        <w:t>6）履约验收程序：</w:t>
      </w:r>
      <w:r>
        <w:rPr/>
        <w:t>一次性验收</w:t>
      </w:r>
    </w:p>
    <w:p>
      <w:pPr>
        <w:pStyle w:val="null3"/>
        <w:ind w:firstLine="840"/>
      </w:pPr>
      <w:r>
        <w:rPr/>
        <w:t>7）履约验收时间：</w:t>
      </w:r>
    </w:p>
    <w:p>
      <w:pPr>
        <w:pStyle w:val="null3"/>
      </w:pPr>
    </w:p>
    <w:p>
      <w:pPr>
        <w:pStyle w:val="null3"/>
        <w:ind w:firstLine="1200"/>
      </w:pPr>
      <w:r>
        <w:rPr/>
        <w:t>供应商提出验收申请之日起</w:t>
      </w:r>
      <w:r>
        <w:rPr/>
        <w:t>15</w:t>
      </w:r>
      <w:r>
        <w:rPr/>
        <w:t>日内组织验收</w:t>
      </w:r>
    </w:p>
    <w:p>
      <w:pPr>
        <w:pStyle w:val="null3"/>
        <w:ind w:firstLine="840"/>
      </w:pPr>
      <w:r>
        <w:rPr/>
        <w:t>8）验收组织的其他事项：</w:t>
      </w:r>
      <w:r>
        <w:rPr/>
        <w:t>详见验收交付标准和方法</w:t>
      </w:r>
    </w:p>
    <w:p>
      <w:pPr>
        <w:pStyle w:val="null3"/>
        <w:ind w:firstLine="840"/>
      </w:pPr>
      <w:r>
        <w:rPr/>
        <w:t>9）技术履约验收内容：</w:t>
      </w:r>
      <w:r>
        <w:rPr/>
        <w:t>详见验收交付标准和方法</w:t>
      </w:r>
    </w:p>
    <w:p>
      <w:pPr>
        <w:pStyle w:val="null3"/>
        <w:ind w:firstLine="840"/>
      </w:pPr>
      <w:r>
        <w:rPr/>
        <w:t>10）商务履约验收内容：</w:t>
      </w:r>
      <w:r>
        <w:rPr/>
        <w:t>详见验收交付标准和方法</w:t>
      </w:r>
    </w:p>
    <w:p>
      <w:pPr>
        <w:pStyle w:val="null3"/>
        <w:ind w:firstLine="840"/>
      </w:pPr>
      <w:r>
        <w:rPr/>
        <w:t>11）履约验收标准：</w:t>
      </w:r>
    </w:p>
    <w:p>
      <w:pPr>
        <w:pStyle w:val="null3"/>
      </w:pPr>
    </w:p>
    <w:p>
      <w:pPr>
        <w:pStyle w:val="null3"/>
        <w:ind w:firstLine="1200"/>
      </w:pPr>
      <w:r>
        <w:rPr/>
        <w:t>详见验收交付标准和方法</w:t>
      </w:r>
    </w:p>
    <w:p>
      <w:pPr>
        <w:pStyle w:val="null3"/>
        <w:ind w:firstLine="840"/>
      </w:pPr>
      <w:r>
        <w:rPr/>
        <w:t>12）履约验收其他事项：</w:t>
      </w:r>
      <w:r>
        <w:rPr/>
        <w:t>详见验收交付标准和方法</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2.7响应纪律要求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四川旌洲项目管理有限公司</w:t>
      </w:r>
      <w:r>
        <w:rPr/>
        <w:t xml:space="preserve"> 负责答复；供应商对除采购需求外的采购文件的询问、质疑由</w:t>
      </w:r>
      <w:r>
        <w:rPr/>
        <w:t>四川旌洲项目管理有限公司</w:t>
      </w:r>
      <w:r>
        <w:rPr/>
        <w:t xml:space="preserve"> 负责答复；供应商对采购过程、采购结果的询问、质疑由 </w:t>
      </w:r>
      <w:r>
        <w:rPr/>
        <w:t>四川旌洲项目管理有限公司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p>
    <w:p>
      <w:pPr>
        <w:pStyle w:val="null3"/>
      </w:pPr>
    </w:p>
    <w:p>
      <w:pPr>
        <w:pStyle w:val="null3"/>
      </w:pPr>
      <w:r>
        <w:rPr/>
        <w:t>答复主体：代理机构</w:t>
      </w:r>
    </w:p>
    <w:p>
      <w:pPr>
        <w:pStyle w:val="null3"/>
      </w:pPr>
      <w:r>
        <w:rPr/>
        <w:t>联系人：周女士</w:t>
      </w:r>
    </w:p>
    <w:p>
      <w:pPr>
        <w:pStyle w:val="null3"/>
      </w:pPr>
      <w:r>
        <w:rPr/>
        <w:t>联系电话：0838-6556599</w:t>
      </w:r>
    </w:p>
    <w:p>
      <w:pPr>
        <w:pStyle w:val="null3"/>
      </w:pPr>
      <w:r>
        <w:rPr/>
        <w:t>地址：四川省德阳市绵远街一段276号102生活广场1栋1-23-6（美斯特同栋）</w:t>
      </w:r>
    </w:p>
    <w:p>
      <w:pPr>
        <w:pStyle w:val="null3"/>
      </w:pPr>
      <w:r>
        <w:rPr/>
        <w:t>邮编：618000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p>
    <w:p>
      <w:pPr>
        <w:pStyle w:val="null3"/>
      </w:pPr>
    </w:p>
    <w:p>
      <w:pPr>
        <w:pStyle w:val="null3"/>
      </w:pPr>
      <w:r>
        <w:rPr/>
        <w:t>德阳市旌阳区中医院位于德阳市华山路169号（西小区院区）、泾河路33号（黄河新区院区），为三级乙等综合医院，总占地46亩、总建筑面积为100000㎡。其中；西小区院区建筑面积约为40000㎡，室外道路及停车场约10000㎡；院区分布为门诊综合楼7层，第一住院部大楼11层，第二住院部大楼7层，综合楼7层，家属楼一栋楼2个单元，院内公共区域，地下车库等区域。黄河新区院区建筑面积约为60000㎡，室外道路及停车场约15700㎡；院区分布为门诊、急诊综合楼5层，门诊、住院大楼16层；院内公共通道，地下车库等区域。</w:t>
      </w:r>
    </w:p>
    <w:p>
      <w:pPr>
        <w:pStyle w:val="null3"/>
        <w:outlineLvl w:val="2"/>
      </w:pPr>
      <w:r>
        <w:rPr>
          <w:b/>
          <w:sz w:val="28"/>
        </w:rPr>
        <w:t>3.2、服务内容及服务要求</w:t>
      </w:r>
    </w:p>
    <w:p>
      <w:pPr>
        <w:pStyle w:val="null3"/>
        <w:outlineLvl w:val="3"/>
      </w:pPr>
      <w:r>
        <w:rPr>
          <w:b/>
          <w:sz w:val="24"/>
        </w:rPr>
        <w:t>3.2.1服务内容</w:t>
      </w:r>
    </w:p>
    <w:p>
      <w:pPr>
        <w:pStyle w:val="null3"/>
      </w:pPr>
    </w:p>
    <w:p>
      <w:pPr>
        <w:pStyle w:val="null3"/>
      </w:pPr>
    </w:p>
    <w:p>
      <w:pPr>
        <w:pStyle w:val="null3"/>
      </w:pPr>
      <w:r>
        <w:rPr/>
        <w:t>采购包1：</w:t>
      </w:r>
    </w:p>
    <w:p>
      <w:pPr>
        <w:pStyle w:val="null3"/>
      </w:pPr>
      <w:r>
        <w:rPr/>
        <w:t>采购包预算金额（元）: 1,731,000.00</w:t>
      </w:r>
    </w:p>
    <w:p>
      <w:pPr>
        <w:pStyle w:val="null3"/>
      </w:pPr>
      <w:r>
        <w:rPr/>
        <w:t>采购包最高限价（元）: 1,731,000.00</w:t>
      </w:r>
    </w:p>
    <w:tbl>
      <w:tblPr>
        <w:tblW w:w="0" w:type="auto"/>
        <w:tblBorders>
          <w:top w:val="single"/>
          <w:left w:val="single"/>
          <w:bottom w:val="single"/>
          <w:right w:val="single"/>
          <w:insideH w:val="single"/>
          <w:insideV w:val="single"/>
        </w:tblBorders>
      </w:tblPr>
      <w:tblGrid>
        <w:gridCol w:w="678"/>
        <w:gridCol w:w="1271"/>
        <w:gridCol w:w="848"/>
        <w:gridCol w:w="1356"/>
        <w:gridCol w:w="678"/>
        <w:gridCol w:w="678"/>
        <w:gridCol w:w="593"/>
        <w:gridCol w:w="678"/>
        <w:gridCol w:w="678"/>
        <w:gridCol w:w="848"/>
      </w:tblGrid>
      <w:tr>
        <w:tc>
          <w:tcPr>
            <w:tcW w:type="dxa" w:w="678"/>
          </w:tcPr>
          <w:p>
            <w:pPr>
              <w:pStyle w:val="null3"/>
            </w:pPr>
            <w:r>
              <w:rPr/>
              <w:t>序号</w:t>
            </w:r>
          </w:p>
        </w:tc>
        <w:tc>
          <w:tcPr>
            <w:tcW w:type="dxa" w:w="1271"/>
          </w:tcPr>
          <w:p>
            <w:pPr>
              <w:pStyle w:val="null3"/>
            </w:pPr>
            <w:r>
              <w:rPr/>
              <w:t>标的名称</w:t>
            </w:r>
          </w:p>
        </w:tc>
        <w:tc>
          <w:tcPr>
            <w:tcW w:type="dxa" w:w="848"/>
          </w:tcPr>
          <w:p>
            <w:pPr>
              <w:pStyle w:val="null3"/>
            </w:pPr>
            <w:r>
              <w:rPr/>
              <w:t>数量</w:t>
            </w:r>
          </w:p>
        </w:tc>
        <w:tc>
          <w:tcPr>
            <w:tcW w:type="dxa" w:w="1356"/>
          </w:tcPr>
          <w:p>
            <w:pPr>
              <w:pStyle w:val="null3"/>
            </w:pPr>
            <w:r>
              <w:rPr/>
              <w:t>标的金额 （元）</w:t>
            </w:r>
          </w:p>
        </w:tc>
        <w:tc>
          <w:tcPr>
            <w:tcW w:type="dxa" w:w="678"/>
          </w:tcPr>
          <w:p>
            <w:pPr>
              <w:pStyle w:val="null3"/>
            </w:pPr>
            <w:r>
              <w:rPr/>
              <w:t>计量单位</w:t>
            </w:r>
          </w:p>
        </w:tc>
        <w:tc>
          <w:tcPr>
            <w:tcW w:type="dxa" w:w="678"/>
          </w:tcPr>
          <w:p>
            <w:pPr>
              <w:pStyle w:val="null3"/>
            </w:pPr>
            <w:r>
              <w:rPr/>
              <w:t>所属行业</w:t>
            </w:r>
          </w:p>
        </w:tc>
        <w:tc>
          <w:tcPr>
            <w:tcW w:type="dxa" w:w="593"/>
          </w:tcPr>
          <w:p>
            <w:pPr>
              <w:pStyle w:val="null3"/>
            </w:pPr>
            <w:r>
              <w:rPr/>
              <w:t>是否涉及核心产品</w:t>
            </w:r>
          </w:p>
        </w:tc>
        <w:tc>
          <w:tcPr>
            <w:tcW w:type="dxa" w:w="678"/>
          </w:tcPr>
          <w:p>
            <w:pPr>
              <w:pStyle w:val="null3"/>
            </w:pPr>
            <w:r>
              <w:rPr/>
              <w:t>是否涉及采购进口产品</w:t>
            </w:r>
          </w:p>
        </w:tc>
        <w:tc>
          <w:tcPr>
            <w:tcW w:type="dxa" w:w="678"/>
          </w:tcPr>
          <w:p>
            <w:pPr>
              <w:pStyle w:val="null3"/>
            </w:pPr>
            <w:r>
              <w:rPr/>
              <w:t>是否涉及采购节能产品</w:t>
            </w:r>
          </w:p>
        </w:tc>
        <w:tc>
          <w:tcPr>
            <w:tcW w:type="dxa" w:w="848"/>
          </w:tcPr>
          <w:p>
            <w:pPr>
              <w:pStyle w:val="null3"/>
            </w:pPr>
            <w:r>
              <w:rPr/>
              <w:t>是否涉及采购环境标志产品</w:t>
            </w:r>
          </w:p>
        </w:tc>
      </w:tr>
      <w:tr>
        <w:tc>
          <w:tcPr>
            <w:tcW w:type="dxa" w:w="678"/>
          </w:tcPr>
          <w:p>
            <w:pPr>
              <w:pStyle w:val="null3"/>
            </w:pPr>
            <w:r>
              <w:rPr/>
              <w:t>1</w:t>
            </w:r>
          </w:p>
        </w:tc>
        <w:tc>
          <w:tcPr>
            <w:tcW w:type="dxa" w:w="1271"/>
          </w:tcPr>
          <w:p>
            <w:pPr>
              <w:pStyle w:val="null3"/>
            </w:pPr>
            <w:r>
              <w:rPr/>
              <w:t>德阳市旌阳区中医院安保服务采购项目</w:t>
            </w:r>
          </w:p>
        </w:tc>
        <w:tc>
          <w:tcPr>
            <w:tcW w:type="dxa" w:w="848"/>
          </w:tcPr>
          <w:p>
            <w:pPr>
              <w:pStyle w:val="null3"/>
              <w:jc w:val="right"/>
            </w:pPr>
            <w:r>
              <w:rPr/>
              <w:t>1.00</w:t>
            </w:r>
          </w:p>
        </w:tc>
        <w:tc>
          <w:tcPr>
            <w:tcW w:type="dxa" w:w="1356"/>
          </w:tcPr>
          <w:p>
            <w:pPr>
              <w:pStyle w:val="null3"/>
              <w:jc w:val="right"/>
            </w:pPr>
            <w:r>
              <w:rPr/>
              <w:t>1,731,000.00</w:t>
            </w:r>
          </w:p>
        </w:tc>
        <w:tc>
          <w:tcPr>
            <w:tcW w:type="dxa" w:w="678"/>
          </w:tcPr>
          <w:p>
            <w:pPr>
              <w:pStyle w:val="null3"/>
            </w:pPr>
            <w:r>
              <w:rPr/>
              <w:t>项</w:t>
            </w:r>
          </w:p>
        </w:tc>
        <w:tc>
          <w:tcPr>
            <w:tcW w:type="dxa" w:w="678"/>
          </w:tcPr>
          <w:p>
            <w:pPr>
              <w:pStyle w:val="null3"/>
            </w:pPr>
            <w:r>
              <w:rPr/>
              <w:t>租赁和商务服务业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bl>
    <w:p>
      <w:pPr>
        <w:pStyle w:val="null3"/>
        <w:outlineLvl w:val="3"/>
      </w:pPr>
      <w:r>
        <w:rPr>
          <w:b/>
          <w:sz w:val="24"/>
        </w:rPr>
        <w:t>3.2.2服务要求</w:t>
      </w:r>
    </w:p>
    <w:p>
      <w:pPr>
        <w:pStyle w:val="null3"/>
      </w:pPr>
    </w:p>
    <w:p>
      <w:pPr>
        <w:pStyle w:val="null3"/>
      </w:pPr>
    </w:p>
    <w:p>
      <w:pPr>
        <w:pStyle w:val="null3"/>
      </w:pPr>
    </w:p>
    <w:p>
      <w:pPr>
        <w:pStyle w:val="null3"/>
      </w:pPr>
      <w:r>
        <w:rPr/>
        <w:t>采购包1：</w:t>
      </w:r>
    </w:p>
    <w:p>
      <w:pPr>
        <w:pStyle w:val="null3"/>
      </w:pPr>
    </w:p>
    <w:p>
      <w:pPr>
        <w:pStyle w:val="null3"/>
      </w:pPr>
      <w:r>
        <w:rPr/>
        <w:t>标的名称：德阳市旌阳区中医院安保服务采购项目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黑体" w:hAnsi="黑体" w:cs="黑体" w:eastAsia="黑体"/>
                <w:b/>
                <w:color w:val="000000"/>
                <w:sz w:val="28"/>
              </w:rPr>
              <w:t>项目服务要求</w:t>
            </w:r>
          </w:p>
          <w:p>
            <w:pPr>
              <w:pStyle w:val="null3"/>
              <w:jc w:val="both"/>
            </w:pPr>
            <w:r>
              <w:rPr>
                <w:rFonts w:ascii="黑体" w:hAnsi="黑体" w:cs="黑体" w:eastAsia="黑体"/>
                <w:b/>
                <w:sz w:val="24"/>
              </w:rPr>
              <w:t>（一）人员配置要求：</w:t>
            </w:r>
          </w:p>
          <w:p>
            <w:pPr>
              <w:pStyle w:val="null3"/>
              <w:jc w:val="both"/>
            </w:pPr>
            <w:r>
              <w:rPr>
                <w:rFonts w:ascii="黑体" w:hAnsi="黑体" w:cs="黑体" w:eastAsia="黑体"/>
                <w:b/>
                <w:sz w:val="24"/>
              </w:rPr>
              <w:t>1.岗位要求：</w:t>
            </w:r>
          </w:p>
          <w:tbl>
            <w:tblPr>
              <w:tblBorders>
                <w:top w:val="none" w:color="000000" w:sz="4"/>
                <w:left w:val="none" w:color="000000" w:sz="4"/>
                <w:bottom w:val="none" w:color="000000" w:sz="4"/>
                <w:right w:val="none" w:color="000000" w:sz="4"/>
                <w:insideH w:val="none"/>
                <w:insideV w:val="none"/>
              </w:tblBorders>
            </w:tblPr>
            <w:tblGrid>
              <w:gridCol w:w="245"/>
              <w:gridCol w:w="611"/>
              <w:gridCol w:w="551"/>
              <w:gridCol w:w="1144"/>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b/>
                      <w:color w:val="000000"/>
                      <w:sz w:val="24"/>
                    </w:rPr>
                    <w:t>序号</w:t>
                  </w:r>
                </w:p>
              </w:tc>
              <w:tc>
                <w:tcPr>
                  <w:tcW w:type="dxa" w:w="6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b/>
                      <w:color w:val="000000"/>
                      <w:sz w:val="24"/>
                    </w:rPr>
                    <w:t>岗位</w:t>
                  </w:r>
                </w:p>
              </w:tc>
              <w:tc>
                <w:tcPr>
                  <w:tcW w:type="dxa" w:w="5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b/>
                      <w:color w:val="000000"/>
                      <w:sz w:val="24"/>
                    </w:rPr>
                    <w:t>合计人数</w:t>
                  </w:r>
                </w:p>
              </w:tc>
              <w:tc>
                <w:tcPr>
                  <w:tcW w:type="dxa" w:w="1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b/>
                      <w:color w:val="000000"/>
                      <w:sz w:val="24"/>
                    </w:rPr>
                    <w:t>要求</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color w:val="000000"/>
                      <w:sz w:val="24"/>
                    </w:rPr>
                    <w:t>1</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color w:val="000000"/>
                      <w:sz w:val="24"/>
                    </w:rPr>
                    <w:t>项目经理</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color w:val="000000"/>
                      <w:sz w:val="24"/>
                    </w:rPr>
                    <w:t>1人</w:t>
                  </w: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黑体" w:hAnsi="黑体" w:cs="黑体" w:eastAsia="黑体"/>
                      <w:color w:val="000000"/>
                      <w:sz w:val="24"/>
                    </w:rPr>
                    <w:t>45岁以下；必须具有大专及以上学历(提供学历证)，身体健康，责任心强，能吃苦耐劳，仪表端庄，无犯罪记录。</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color w:val="000000"/>
                      <w:sz w:val="24"/>
                    </w:rPr>
                    <w:t>2</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color w:val="000000"/>
                      <w:sz w:val="24"/>
                    </w:rPr>
                    <w:t>安保人员（兼停车场管理员）</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color w:val="000000"/>
                      <w:sz w:val="24"/>
                    </w:rPr>
                    <w:t>23人</w:t>
                  </w: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黑体" w:hAnsi="黑体" w:cs="黑体" w:eastAsia="黑体"/>
                      <w:color w:val="000000"/>
                      <w:sz w:val="24"/>
                    </w:rPr>
                    <w:t>1.男性身高1.65米及以上，女性身高1.60米及以上；</w:t>
                  </w:r>
                  <w:r>
                    <w:rPr>
                      <w:rFonts w:ascii="黑体" w:hAnsi="黑体" w:cs="黑体" w:eastAsia="黑体"/>
                      <w:color w:val="000000"/>
                      <w:sz w:val="24"/>
                    </w:rPr>
                    <w:t>年龄男性＜</w:t>
                  </w:r>
                  <w:r>
                    <w:rPr>
                      <w:rFonts w:ascii="黑体" w:hAnsi="黑体" w:cs="黑体" w:eastAsia="黑体"/>
                      <w:color w:val="000000"/>
                      <w:sz w:val="24"/>
                    </w:rPr>
                    <w:t>60周岁，女性＜50周岁</w:t>
                  </w:r>
                  <w:r>
                    <w:rPr>
                      <w:rFonts w:ascii="黑体" w:hAnsi="黑体" w:cs="黑体" w:eastAsia="黑体"/>
                      <w:color w:val="000000"/>
                      <w:sz w:val="24"/>
                    </w:rPr>
                    <w:t>。身体健康，责任心强，能吃苦耐劳，仪表端庄，无犯罪记录。</w:t>
                  </w:r>
                  <w:r>
                    <w:rPr>
                      <w:rFonts w:ascii="黑体" w:hAnsi="黑体" w:cs="黑体" w:eastAsia="黑体"/>
                      <w:color w:val="000000"/>
                      <w:sz w:val="24"/>
                    </w:rPr>
                    <w:t>采取</w:t>
                  </w:r>
                  <w:r>
                    <w:rPr>
                      <w:rFonts w:ascii="黑体" w:hAnsi="黑体" w:cs="黑体" w:eastAsia="黑体"/>
                      <w:color w:val="000000"/>
                      <w:sz w:val="24"/>
                    </w:rPr>
                    <w:t>2班倒工作制的方式进行上班，24小时值班，</w:t>
                  </w:r>
                  <w:r>
                    <w:rPr>
                      <w:rFonts w:ascii="黑体" w:hAnsi="黑体" w:cs="黑体" w:eastAsia="黑体"/>
                      <w:color w:val="000000"/>
                      <w:sz w:val="24"/>
                    </w:rPr>
                    <w:t>服从医院管理</w:t>
                  </w:r>
                  <w:r>
                    <w:rPr>
                      <w:rFonts w:ascii="黑体" w:hAnsi="黑体" w:cs="黑体" w:eastAsia="黑体"/>
                      <w:color w:val="000000"/>
                      <w:sz w:val="24"/>
                    </w:rPr>
                    <w:t>。</w:t>
                  </w:r>
                </w:p>
                <w:p>
                  <w:pPr>
                    <w:pStyle w:val="null3"/>
                    <w:jc w:val="both"/>
                  </w:pPr>
                  <w:r>
                    <w:rPr>
                      <w:rFonts w:ascii="黑体" w:hAnsi="黑体" w:cs="黑体" w:eastAsia="黑体"/>
                      <w:color w:val="000000"/>
                      <w:sz w:val="24"/>
                    </w:rPr>
                    <w:t>2.</w:t>
                  </w:r>
                  <w:r>
                    <w:rPr>
                      <w:rFonts w:ascii="黑体" w:hAnsi="黑体" w:cs="黑体" w:eastAsia="黑体"/>
                      <w:color w:val="000000"/>
                      <w:sz w:val="24"/>
                    </w:rPr>
                    <w:t>须持有《保安员证》。（提供相关证明材料）</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sz w:val="24"/>
                    </w:rPr>
                    <w:t>3</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color w:val="000000"/>
                      <w:sz w:val="24"/>
                    </w:rPr>
                    <w:t>消防设施操作员</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color w:val="000000"/>
                      <w:sz w:val="24"/>
                    </w:rPr>
                    <w:t>8人</w:t>
                  </w: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黑体" w:hAnsi="黑体" w:cs="黑体" w:eastAsia="黑体"/>
                      <w:color w:val="000000"/>
                      <w:sz w:val="24"/>
                    </w:rPr>
                    <w:t>1.年龄55岁以下，身体健康，责任心强，能吃苦耐劳，仪表端庄，无犯罪记录。</w:t>
                  </w:r>
                </w:p>
                <w:p>
                  <w:pPr>
                    <w:pStyle w:val="null3"/>
                    <w:jc w:val="both"/>
                  </w:pPr>
                  <w:r>
                    <w:rPr>
                      <w:rFonts w:ascii="黑体" w:hAnsi="黑体" w:cs="黑体" w:eastAsia="黑体"/>
                      <w:color w:val="000000"/>
                      <w:sz w:val="24"/>
                    </w:rPr>
                    <w:t>2.其中4人须持有《消防设施操作员》中级及以上证书，另外4人须持有《消防设施操作员》培训结业证书。（提供相关证明材料）</w:t>
                  </w:r>
                </w:p>
                <w:p>
                  <w:pPr>
                    <w:pStyle w:val="null3"/>
                    <w:jc w:val="both"/>
                  </w:pPr>
                  <w:r>
                    <w:rPr>
                      <w:rFonts w:ascii="黑体" w:hAnsi="黑体" w:cs="黑体" w:eastAsia="黑体"/>
                      <w:color w:val="000000"/>
                      <w:sz w:val="24"/>
                    </w:rPr>
                    <w:t>3.两个院区各安排4人，</w:t>
                  </w:r>
                  <w:r>
                    <w:rPr>
                      <w:rFonts w:ascii="黑体" w:hAnsi="黑体" w:cs="黑体" w:eastAsia="黑体"/>
                      <w:color w:val="000000"/>
                      <w:sz w:val="24"/>
                    </w:rPr>
                    <w:t>采取</w:t>
                  </w:r>
                  <w:r>
                    <w:rPr>
                      <w:rFonts w:ascii="黑体" w:hAnsi="黑体" w:cs="黑体" w:eastAsia="黑体"/>
                      <w:color w:val="000000"/>
                      <w:sz w:val="24"/>
                    </w:rPr>
                    <w:t>2班倒工作制的方式进行上班，24小时值班</w:t>
                  </w:r>
                  <w:r>
                    <w:rPr>
                      <w:rFonts w:ascii="黑体" w:hAnsi="黑体" w:cs="黑体" w:eastAsia="黑体"/>
                      <w:color w:val="000000"/>
                      <w:sz w:val="24"/>
                    </w:rPr>
                    <w:t>，服从医院管理</w:t>
                  </w:r>
                  <w:r>
                    <w:rPr>
                      <w:rFonts w:ascii="黑体" w:hAnsi="黑体" w:cs="黑体" w:eastAsia="黑体"/>
                      <w:color w:val="000000"/>
                      <w:sz w:val="24"/>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sz w:val="24"/>
                    </w:rPr>
                    <w:t>4</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color w:val="000000"/>
                      <w:sz w:val="24"/>
                    </w:rPr>
                    <w:t>司机</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color w:val="000000"/>
                      <w:sz w:val="24"/>
                    </w:rPr>
                    <w:t>5人</w:t>
                  </w: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黑体" w:hAnsi="黑体" w:cs="黑体" w:eastAsia="黑体"/>
                      <w:color w:val="000000"/>
                      <w:sz w:val="24"/>
                    </w:rPr>
                    <w:t>1.年龄55岁以下，身体健康，责任心强，能吃苦耐劳，仪表端庄，无犯罪记录。</w:t>
                  </w:r>
                </w:p>
                <w:p>
                  <w:pPr>
                    <w:pStyle w:val="null3"/>
                    <w:jc w:val="both"/>
                  </w:pPr>
                  <w:r>
                    <w:rPr>
                      <w:rFonts w:ascii="黑体" w:hAnsi="黑体" w:cs="黑体" w:eastAsia="黑体"/>
                      <w:color w:val="000000"/>
                      <w:sz w:val="24"/>
                    </w:rPr>
                    <w:t>2.须持有驾驶证B证。（提供相关证明材料）</w:t>
                  </w:r>
                </w:p>
                <w:p>
                  <w:pPr>
                    <w:pStyle w:val="null3"/>
                    <w:jc w:val="both"/>
                  </w:pPr>
                  <w:r>
                    <w:rPr>
                      <w:rFonts w:ascii="黑体" w:hAnsi="黑体" w:cs="黑体" w:eastAsia="黑体"/>
                      <w:color w:val="000000"/>
                      <w:sz w:val="24"/>
                    </w:rPr>
                    <w:t>3.采取倒班制，保证24小时有人值班，服从医院管理。</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sz w:val="24"/>
                    </w:rPr>
                    <w:t>5</w:t>
                  </w: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sz w:val="24"/>
                    </w:rPr>
                    <w:t>担架员</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黑体" w:hAnsi="黑体" w:cs="黑体" w:eastAsia="黑体"/>
                      <w:sz w:val="24"/>
                    </w:rPr>
                    <w:t>2人</w:t>
                  </w: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黑体" w:hAnsi="黑体" w:cs="黑体" w:eastAsia="黑体"/>
                      <w:sz w:val="24"/>
                    </w:rPr>
                    <w:t>年龄</w:t>
                  </w:r>
                  <w:r>
                    <w:rPr>
                      <w:rFonts w:ascii="黑体" w:hAnsi="黑体" w:cs="黑体" w:eastAsia="黑体"/>
                      <w:sz w:val="24"/>
                    </w:rPr>
                    <w:t>50岁以下，身体健康，责任心强，能吃苦耐劳，仪表端庄，无犯罪记录。</w:t>
                  </w:r>
                </w:p>
              </w:tc>
            </w:tr>
          </w:tbl>
          <w:p>
            <w:pPr>
              <w:pStyle w:val="null3"/>
              <w:jc w:val="both"/>
            </w:pPr>
          </w:p>
          <w:p>
            <w:pPr>
              <w:pStyle w:val="null3"/>
              <w:jc w:val="both"/>
            </w:pPr>
            <w:r>
              <w:rPr>
                <w:rFonts w:ascii="黑体" w:hAnsi="黑体" w:cs="黑体" w:eastAsia="黑体"/>
                <w:sz w:val="24"/>
              </w:rPr>
              <w:t>注：以上人员均须提供身份证明材料，且供应商承诺成交后签订合同前提供人员健康证、无犯罪记录证明。</w:t>
            </w:r>
          </w:p>
          <w:p>
            <w:pPr>
              <w:pStyle w:val="null3"/>
              <w:jc w:val="both"/>
            </w:pPr>
            <w:r>
              <w:rPr>
                <w:rFonts w:ascii="黑体" w:hAnsi="黑体" w:cs="黑体" w:eastAsia="黑体"/>
                <w:sz w:val="24"/>
              </w:rPr>
              <w:t>2.如因服务人员离职、享受探亲假或请事假，而出现缺编的现象，成交人应在当日内补齐。按需求全年365天不间断提供服务，包括处理各种突发事件及紧急任务。</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黑体" w:hAnsi="黑体" w:cs="黑体" w:eastAsia="黑体"/>
                <w:b/>
                <w:sz w:val="24"/>
              </w:rPr>
              <w:t>（二）人员要求及工作标准：</w:t>
            </w:r>
          </w:p>
          <w:p>
            <w:pPr>
              <w:pStyle w:val="null3"/>
              <w:ind w:firstLine="482"/>
              <w:jc w:val="both"/>
            </w:pPr>
            <w:r>
              <w:rPr>
                <w:rFonts w:ascii="黑体" w:hAnsi="黑体" w:cs="黑体" w:eastAsia="黑体"/>
                <w:b/>
                <w:color w:val="000000"/>
                <w:sz w:val="24"/>
              </w:rPr>
              <w:t>1.</w:t>
            </w:r>
            <w:r>
              <w:rPr>
                <w:rFonts w:ascii="黑体" w:hAnsi="黑体" w:cs="黑体" w:eastAsia="黑体"/>
                <w:color w:val="000000"/>
                <w:sz w:val="24"/>
              </w:rPr>
              <w:t>项目经理：负责本项目人员调度以及与采购人沟通等工作事宜。</w:t>
            </w:r>
          </w:p>
          <w:p>
            <w:pPr>
              <w:pStyle w:val="null3"/>
              <w:ind w:firstLine="482"/>
              <w:jc w:val="both"/>
            </w:pPr>
            <w:r>
              <w:rPr>
                <w:rFonts w:ascii="黑体" w:hAnsi="黑体" w:cs="黑体" w:eastAsia="黑体"/>
                <w:b/>
                <w:color w:val="000000"/>
                <w:sz w:val="24"/>
              </w:rPr>
              <w:t>2.安保人员（兼停车场管理员）</w:t>
            </w:r>
          </w:p>
          <w:p>
            <w:pPr>
              <w:pStyle w:val="null3"/>
              <w:ind w:firstLine="480"/>
              <w:jc w:val="both"/>
            </w:pPr>
            <w:r>
              <w:rPr>
                <w:rFonts w:ascii="黑体" w:hAnsi="黑体" w:cs="黑体" w:eastAsia="黑体"/>
                <w:color w:val="000000"/>
                <w:sz w:val="24"/>
              </w:rPr>
              <w:t>2.1服务标准</w:t>
            </w:r>
          </w:p>
          <w:p>
            <w:pPr>
              <w:pStyle w:val="null3"/>
              <w:ind w:firstLine="482"/>
              <w:jc w:val="both"/>
            </w:pPr>
            <w:r>
              <w:rPr>
                <w:rFonts w:ascii="黑体" w:hAnsi="黑体" w:cs="黑体" w:eastAsia="黑体"/>
                <w:b/>
                <w:color w:val="000000"/>
                <w:sz w:val="24"/>
              </w:rPr>
              <w:t>安保人员：</w:t>
            </w:r>
            <w:r>
              <w:rPr>
                <w:rFonts w:ascii="黑体" w:hAnsi="黑体" w:cs="黑体" w:eastAsia="黑体"/>
                <w:color w:val="000000"/>
                <w:sz w:val="24"/>
              </w:rPr>
              <w:t>执行</w:t>
            </w:r>
            <w:r>
              <w:rPr>
                <w:rFonts w:ascii="黑体" w:hAnsi="黑体" w:cs="黑体" w:eastAsia="黑体"/>
                <w:color w:val="000000"/>
                <w:sz w:val="24"/>
              </w:rPr>
              <w:t>安保管理制度，负责服务区域的安全与秩序维护工作，值班值守</w:t>
            </w:r>
            <w:r>
              <w:rPr>
                <w:rFonts w:ascii="黑体" w:hAnsi="黑体" w:cs="黑体" w:eastAsia="黑体"/>
                <w:color w:val="000000"/>
                <w:sz w:val="24"/>
              </w:rPr>
              <w:t>，</w:t>
            </w:r>
            <w:r>
              <w:rPr>
                <w:rFonts w:ascii="黑体" w:hAnsi="黑体" w:cs="黑体" w:eastAsia="黑体"/>
                <w:color w:val="000000"/>
                <w:sz w:val="24"/>
              </w:rPr>
              <w:t>保障防盗、防火等设备的正常运行院内定时治安巡逻检查工作。院内重大活动的安全警戒与秩序维护，配合做好重大事件的治安保卫工作。配合相关科室受理院内各类纠纷和治安案件，配合医院对违规事件的调查处理，协助司法及公安机关对案件的排查取证；排查和处理各种安全事故隐患，处置突发事件</w:t>
            </w:r>
            <w:r>
              <w:rPr>
                <w:rFonts w:ascii="黑体" w:hAnsi="黑体" w:cs="黑体" w:eastAsia="黑体"/>
                <w:color w:val="000000"/>
                <w:sz w:val="24"/>
              </w:rPr>
              <w:t>。</w:t>
            </w:r>
          </w:p>
          <w:p>
            <w:pPr>
              <w:pStyle w:val="null3"/>
              <w:ind w:firstLine="482"/>
              <w:jc w:val="both"/>
            </w:pPr>
            <w:r>
              <w:rPr>
                <w:rFonts w:ascii="黑体" w:hAnsi="黑体" w:cs="黑体" w:eastAsia="黑体"/>
                <w:b/>
                <w:color w:val="000000"/>
                <w:sz w:val="24"/>
              </w:rPr>
              <w:t>停车场管理员</w:t>
            </w:r>
            <w:r>
              <w:rPr>
                <w:rFonts w:ascii="黑体" w:hAnsi="黑体" w:cs="黑体" w:eastAsia="黑体"/>
                <w:b/>
                <w:color w:val="000000"/>
                <w:sz w:val="24"/>
              </w:rPr>
              <w:t>：</w:t>
            </w:r>
            <w:r>
              <w:rPr>
                <w:rFonts w:ascii="黑体" w:hAnsi="黑体" w:cs="黑体" w:eastAsia="黑体"/>
                <w:color w:val="000000"/>
                <w:sz w:val="24"/>
              </w:rPr>
              <w:t>在医院保卫科等相关部门的监督指导下，开展停车场管理服务</w:t>
            </w:r>
            <w:r>
              <w:rPr>
                <w:rFonts w:ascii="黑体" w:hAnsi="黑体" w:cs="黑体" w:eastAsia="黑体"/>
                <w:color w:val="000000"/>
                <w:sz w:val="24"/>
              </w:rPr>
              <w:t>,负责院区内车辆引导和交通疏散工作，引导车辆规范停放，保障院区内交通畅通。负责院内进出车辆的管理、停放规范。对不符合规定停放的进行劝阻，在重大活动期间对劝阻无效乱停放的车辆有权强行将其拖放至规定地点：负责院内上下班出入车辆指挥、疏导，维护院内出入的正常秩序；负责职工车棚车辆守护</w:t>
            </w:r>
            <w:r>
              <w:rPr>
                <w:rFonts w:ascii="黑体" w:hAnsi="黑体" w:cs="黑体" w:eastAsia="黑体"/>
                <w:color w:val="000000"/>
                <w:sz w:val="24"/>
              </w:rPr>
              <w:t>。</w:t>
            </w:r>
          </w:p>
          <w:p>
            <w:pPr>
              <w:pStyle w:val="null3"/>
              <w:ind w:firstLine="480"/>
              <w:jc w:val="both"/>
            </w:pPr>
            <w:r>
              <w:rPr>
                <w:rFonts w:ascii="黑体" w:hAnsi="黑体" w:cs="黑体" w:eastAsia="黑体"/>
                <w:color w:val="000000"/>
                <w:sz w:val="24"/>
              </w:rPr>
              <w:t>2.2</w:t>
            </w:r>
            <w:r>
              <w:rPr>
                <w:rFonts w:ascii="黑体" w:hAnsi="黑体" w:cs="黑体" w:eastAsia="黑体"/>
                <w:color w:val="000000"/>
                <w:sz w:val="24"/>
              </w:rPr>
              <w:t>服务要求：</w:t>
            </w:r>
          </w:p>
          <w:p>
            <w:pPr>
              <w:pStyle w:val="null3"/>
              <w:ind w:firstLine="482"/>
              <w:jc w:val="both"/>
            </w:pPr>
            <w:r>
              <w:rPr>
                <w:rFonts w:ascii="黑体" w:hAnsi="黑体" w:cs="黑体" w:eastAsia="黑体"/>
                <w:b/>
                <w:color w:val="000000"/>
                <w:sz w:val="24"/>
              </w:rPr>
              <w:t>安保人员：</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w:t>
            </w:r>
            <w:r>
              <w:rPr>
                <w:rFonts w:ascii="黑体" w:hAnsi="黑体" w:cs="黑体" w:eastAsia="黑体"/>
                <w:color w:val="000000"/>
                <w:sz w:val="24"/>
              </w:rPr>
              <w:t>服务</w:t>
            </w:r>
            <w:r>
              <w:rPr>
                <w:rFonts w:ascii="黑体" w:hAnsi="黑体" w:cs="黑体" w:eastAsia="黑体"/>
                <w:color w:val="000000"/>
                <w:sz w:val="24"/>
              </w:rPr>
              <w:t>人员须自觉严格遵守国家法律法规和医院的规章制度，服从管理，听从安排；规范执勤，恪尽职守。</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2）熟悉掌握医院各科室的分布状况与治安情况以及医院的环境、道路、电气设备和消防设施的位置、使用、检查等情况，及时排查安全隐患，做好消防、治安日常安全巡逻并签到。</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3）严格执行巡逻制度，</w:t>
            </w:r>
            <w:r>
              <w:rPr>
                <w:rFonts w:ascii="黑体" w:hAnsi="黑体" w:cs="黑体" w:eastAsia="黑体"/>
                <w:color w:val="000000"/>
                <w:sz w:val="24"/>
              </w:rPr>
              <w:t>服务</w:t>
            </w:r>
            <w:r>
              <w:rPr>
                <w:rFonts w:ascii="黑体" w:hAnsi="黑体" w:cs="黑体" w:eastAsia="黑体"/>
                <w:color w:val="000000"/>
                <w:sz w:val="24"/>
              </w:rPr>
              <w:t>人员应流动巡视，加强对医院重点科室和重要岗位的安全护卫、巡查，严格履行</w:t>
            </w:r>
            <w:r>
              <w:rPr>
                <w:rFonts w:ascii="黑体" w:hAnsi="黑体" w:cs="黑体" w:eastAsia="黑体"/>
                <w:color w:val="000000"/>
                <w:sz w:val="24"/>
              </w:rPr>
              <w:t>24小时安全巡查制度，发现可疑人员或隐患及时处理、汇报，做好记录。巡逻须两人以上成行，提高警惕，保护自身安全。</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4) 来访人员出入登记，禁止无关人员进入</w:t>
            </w:r>
            <w:r>
              <w:rPr>
                <w:rFonts w:ascii="黑体" w:hAnsi="黑体" w:cs="黑体" w:eastAsia="黑体"/>
                <w:color w:val="000000"/>
                <w:sz w:val="24"/>
              </w:rPr>
              <w:t>（医院有需求时提供）</w:t>
            </w:r>
            <w:r>
              <w:rPr>
                <w:rFonts w:ascii="黑体" w:hAnsi="黑体" w:cs="黑体" w:eastAsia="黑体"/>
                <w:color w:val="000000"/>
                <w:sz w:val="24"/>
              </w:rPr>
              <w:t>；指挥、疏导车辆，维护出入口正常秩序；对出入人员、车辆及其携带或装运的物品进行查验，防止单位和个人财物流失及违禁物品流失；协助单位做好来访人员接待、控烟宣传。</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5）严格执行值班登记制度。值班登记由当班人员负责记录。主要记载上级指示、交办的事项及值班期间发生和处理的问题，记录必须清晰、准确，不得随意涂改，由值班人员签字，并妥善保管</w:t>
            </w:r>
            <w:r>
              <w:rPr>
                <w:rFonts w:ascii="黑体" w:hAnsi="黑体" w:cs="黑体" w:eastAsia="黑体"/>
                <w:color w:val="000000"/>
                <w:sz w:val="24"/>
              </w:rPr>
              <w:t>。</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6）严格遵守交接班制度，按规定的时间交接班。交班人员应告知本班发生的情况和处理结果，并交代需要继续办理的事项。接班者未到或未办理交接班手续，当班者不能离开。遇有特殊情况不能按时下班的必须服从科室安排</w:t>
            </w:r>
            <w:r>
              <w:rPr>
                <w:rFonts w:ascii="黑体" w:hAnsi="黑体" w:cs="黑体" w:eastAsia="黑体"/>
                <w:color w:val="000000"/>
                <w:sz w:val="24"/>
              </w:rPr>
              <w:t>。</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7) 秩序维护人员应当着装整洁，举止端庄，文明用语；工作期间不得擅自离岗、串岗、脱岗、喝酒</w:t>
            </w:r>
            <w:r>
              <w:rPr>
                <w:rFonts w:ascii="黑体" w:hAnsi="黑体" w:cs="黑体" w:eastAsia="黑体"/>
                <w:color w:val="000000"/>
                <w:sz w:val="24"/>
              </w:rPr>
              <w:t>。</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8）完成采购人安排的其他指令性工作。</w:t>
            </w:r>
          </w:p>
          <w:p>
            <w:pPr>
              <w:pStyle w:val="null3"/>
              <w:ind w:firstLine="482"/>
              <w:jc w:val="both"/>
            </w:pPr>
            <w:r>
              <w:rPr>
                <w:rFonts w:ascii="黑体" w:hAnsi="黑体" w:cs="黑体" w:eastAsia="黑体"/>
                <w:b/>
                <w:color w:val="000000"/>
                <w:sz w:val="24"/>
              </w:rPr>
              <w:t>停车场管理员</w:t>
            </w:r>
            <w:r>
              <w:rPr>
                <w:rFonts w:ascii="黑体" w:hAnsi="黑体" w:cs="黑体" w:eastAsia="黑体"/>
                <w:b/>
                <w:color w:val="000000"/>
                <w:sz w:val="24"/>
              </w:rPr>
              <w:t>：</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w:t>
            </w:r>
            <w:r>
              <w:rPr>
                <w:rFonts w:ascii="黑体" w:hAnsi="黑体" w:cs="黑体" w:eastAsia="黑体"/>
                <w:color w:val="000000"/>
                <w:sz w:val="24"/>
              </w:rPr>
              <w:t>）</w:t>
            </w:r>
            <w:r>
              <w:rPr>
                <w:rFonts w:ascii="黑体" w:hAnsi="黑体" w:cs="黑体" w:eastAsia="黑体"/>
                <w:color w:val="000000"/>
                <w:sz w:val="24"/>
              </w:rPr>
              <w:t>凡车辆进入停车场由值守人员引领，按秩序和指定区域停放，保障</w:t>
            </w:r>
            <w:r>
              <w:rPr>
                <w:rFonts w:ascii="黑体" w:hAnsi="黑体" w:cs="黑体" w:eastAsia="黑体"/>
                <w:color w:val="000000"/>
                <w:sz w:val="24"/>
              </w:rPr>
              <w:t>120通道及消防通道畅通，车场入口车辆有序进入，无车位时及时引导分流车辆。</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2</w:t>
            </w:r>
            <w:r>
              <w:rPr>
                <w:rFonts w:ascii="黑体" w:hAnsi="黑体" w:cs="黑体" w:eastAsia="黑体"/>
                <w:color w:val="000000"/>
                <w:sz w:val="24"/>
              </w:rPr>
              <w:t>）</w:t>
            </w:r>
            <w:r>
              <w:rPr>
                <w:rFonts w:ascii="黑体" w:hAnsi="黑体" w:cs="黑体" w:eastAsia="黑体"/>
                <w:color w:val="000000"/>
                <w:sz w:val="24"/>
              </w:rPr>
              <w:t>医院内非机动车辆停放在指定区域，由车辆看管值守人员看管，保障非机动车辆的安全，并按相关标准执行收费。</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3</w:t>
            </w:r>
            <w:r>
              <w:rPr>
                <w:rFonts w:ascii="黑体" w:hAnsi="黑体" w:cs="黑体" w:eastAsia="黑体"/>
                <w:color w:val="000000"/>
                <w:sz w:val="24"/>
              </w:rPr>
              <w:t>）</w:t>
            </w:r>
            <w:r>
              <w:rPr>
                <w:rFonts w:ascii="黑体" w:hAnsi="黑体" w:cs="黑体" w:eastAsia="黑体"/>
                <w:color w:val="000000"/>
                <w:sz w:val="24"/>
              </w:rPr>
              <w:t>负责指挥</w:t>
            </w:r>
            <w:r>
              <w:rPr>
                <w:rFonts w:ascii="黑体" w:hAnsi="黑体" w:cs="黑体" w:eastAsia="黑体"/>
                <w:color w:val="000000"/>
                <w:sz w:val="24"/>
              </w:rPr>
              <w:t>院</w:t>
            </w:r>
            <w:r>
              <w:rPr>
                <w:rFonts w:ascii="黑体" w:hAnsi="黑体" w:cs="黑体" w:eastAsia="黑体"/>
                <w:color w:val="000000"/>
                <w:sz w:val="24"/>
              </w:rPr>
              <w:t>区内车辆行驶和停放，定时巡视停车场并确使各停车位正确使用，督促所有车辆正确使用行车线和泊车位，维持停车秩序，保证车辆停放安全。</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4</w:t>
            </w:r>
            <w:r>
              <w:rPr>
                <w:rFonts w:ascii="黑体" w:hAnsi="黑体" w:cs="黑体" w:eastAsia="黑体"/>
                <w:color w:val="000000"/>
                <w:sz w:val="24"/>
              </w:rPr>
              <w:t>）</w:t>
            </w:r>
            <w:r>
              <w:rPr>
                <w:rFonts w:ascii="黑体" w:hAnsi="黑体" w:cs="黑体" w:eastAsia="黑体"/>
                <w:color w:val="000000"/>
                <w:sz w:val="24"/>
              </w:rPr>
              <w:t>当发现任何车辆未锁好或门窗未关好，应留驻现场值勤并录像及立即呈报上级主管设法通知车主，防止发生失窃现象。</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5</w:t>
            </w:r>
            <w:r>
              <w:rPr>
                <w:rFonts w:ascii="黑体" w:hAnsi="黑体" w:cs="黑体" w:eastAsia="黑体"/>
                <w:color w:val="000000"/>
                <w:sz w:val="24"/>
              </w:rPr>
              <w:t>）</w:t>
            </w:r>
            <w:r>
              <w:rPr>
                <w:rFonts w:ascii="黑体" w:hAnsi="黑体" w:cs="黑体" w:eastAsia="黑体"/>
                <w:color w:val="000000"/>
                <w:sz w:val="24"/>
              </w:rPr>
              <w:t>如发生交通意外，应记录和拍摄有关数据包括涉及车辆损坏情况等，并立即呈报主管人员。</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6</w:t>
            </w:r>
            <w:r>
              <w:rPr>
                <w:rFonts w:ascii="黑体" w:hAnsi="黑体" w:cs="黑体" w:eastAsia="黑体"/>
                <w:color w:val="000000"/>
                <w:sz w:val="24"/>
              </w:rPr>
              <w:t>）</w:t>
            </w:r>
            <w:r>
              <w:rPr>
                <w:rFonts w:ascii="黑体" w:hAnsi="黑体" w:cs="黑体" w:eastAsia="黑体"/>
                <w:color w:val="000000"/>
                <w:sz w:val="24"/>
              </w:rPr>
              <w:t>负责对停车场现场的巡视查看，如发现可疑人物逗留停车场，应立即规劝其离开，如有需要，立即呈报上级主管人员。</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7</w:t>
            </w:r>
            <w:r>
              <w:rPr>
                <w:rFonts w:ascii="黑体" w:hAnsi="黑体" w:cs="黑体" w:eastAsia="黑体"/>
                <w:color w:val="000000"/>
                <w:sz w:val="24"/>
              </w:rPr>
              <w:t>）</w:t>
            </w:r>
            <w:r>
              <w:rPr>
                <w:rFonts w:ascii="黑体" w:hAnsi="黑体" w:cs="黑体" w:eastAsia="黑体"/>
                <w:color w:val="000000"/>
                <w:sz w:val="24"/>
              </w:rPr>
              <w:t>任何停车场的员工，不得以任何理由向司机或车主索取任何利益或报酬。</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8</w:t>
            </w:r>
            <w:r>
              <w:rPr>
                <w:rFonts w:ascii="黑体" w:hAnsi="黑体" w:cs="黑体" w:eastAsia="黑体"/>
                <w:color w:val="000000"/>
                <w:sz w:val="24"/>
              </w:rPr>
              <w:t>）</w:t>
            </w:r>
            <w:r>
              <w:rPr>
                <w:rFonts w:ascii="黑体" w:hAnsi="黑体" w:cs="黑体" w:eastAsia="黑体"/>
                <w:color w:val="000000"/>
                <w:sz w:val="24"/>
              </w:rPr>
              <w:t>按规范和实际使用需求配置车场相关标识标牌和防汛、安全管理等各类设施设备。</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9</w:t>
            </w:r>
            <w:r>
              <w:rPr>
                <w:rFonts w:ascii="黑体" w:hAnsi="黑体" w:cs="黑体" w:eastAsia="黑体"/>
                <w:color w:val="000000"/>
                <w:sz w:val="24"/>
              </w:rPr>
              <w:t>）</w:t>
            </w:r>
            <w:r>
              <w:rPr>
                <w:rFonts w:ascii="黑体" w:hAnsi="黑体" w:cs="黑体" w:eastAsia="黑体"/>
                <w:color w:val="000000"/>
                <w:sz w:val="24"/>
              </w:rPr>
              <w:t>按《消防法》有关规定对医院</w:t>
            </w:r>
            <w:r>
              <w:rPr>
                <w:rFonts w:ascii="黑体" w:hAnsi="黑体" w:cs="黑体" w:eastAsia="黑体"/>
                <w:color w:val="000000"/>
                <w:sz w:val="24"/>
              </w:rPr>
              <w:t>停</w:t>
            </w:r>
            <w:r>
              <w:rPr>
                <w:rFonts w:ascii="黑体" w:hAnsi="黑体" w:cs="黑体" w:eastAsia="黑体"/>
                <w:color w:val="000000"/>
                <w:sz w:val="24"/>
              </w:rPr>
              <w:t>车场的消防器材进行日常巡查和月检查，详细记录，检查结果向采购人及时汇报，及时整改停车场的消防隐患。</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10</w:t>
            </w:r>
            <w:r>
              <w:rPr>
                <w:rFonts w:ascii="黑体" w:hAnsi="黑体" w:cs="黑体" w:eastAsia="黑体"/>
                <w:color w:val="000000"/>
                <w:sz w:val="24"/>
              </w:rPr>
              <w:t>）</w:t>
            </w:r>
            <w:r>
              <w:rPr>
                <w:rFonts w:ascii="黑体" w:hAnsi="黑体" w:cs="黑体" w:eastAsia="黑体"/>
                <w:color w:val="000000"/>
                <w:sz w:val="24"/>
              </w:rPr>
              <w:t>负责停车场的消防安全巡查工作，熟悉停车场内的行道结构，安全系统、消防设备及通风系统等，以便一旦发生事故时能够从容应付。</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11</w:t>
            </w:r>
            <w:r>
              <w:rPr>
                <w:rFonts w:ascii="黑体" w:hAnsi="黑体" w:cs="黑体" w:eastAsia="黑体"/>
                <w:color w:val="000000"/>
                <w:sz w:val="24"/>
              </w:rPr>
              <w:t>）</w:t>
            </w:r>
            <w:r>
              <w:rPr>
                <w:rFonts w:ascii="黑体" w:hAnsi="黑体" w:cs="黑体" w:eastAsia="黑体"/>
                <w:color w:val="000000"/>
                <w:sz w:val="24"/>
              </w:rPr>
              <w:t>未经许可，禁止任何车辆在停车泊位或车道上维修或清洗车辆。</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12</w:t>
            </w:r>
            <w:r>
              <w:rPr>
                <w:rFonts w:ascii="黑体" w:hAnsi="黑体" w:cs="黑体" w:eastAsia="黑体"/>
                <w:color w:val="000000"/>
                <w:sz w:val="24"/>
              </w:rPr>
              <w:t>）</w:t>
            </w:r>
            <w:r>
              <w:rPr>
                <w:rFonts w:ascii="黑体" w:hAnsi="黑体" w:cs="黑体" w:eastAsia="黑体"/>
                <w:color w:val="000000"/>
                <w:sz w:val="24"/>
              </w:rPr>
              <w:t>遵守规章制度，按时上下班，认真做好交接班手续，不擅离职守。</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13</w:t>
            </w:r>
            <w:r>
              <w:rPr>
                <w:rFonts w:ascii="黑体" w:hAnsi="黑体" w:cs="黑体" w:eastAsia="黑体"/>
                <w:color w:val="000000"/>
                <w:sz w:val="24"/>
              </w:rPr>
              <w:t>）</w:t>
            </w:r>
            <w:r>
              <w:rPr>
                <w:rFonts w:ascii="黑体" w:hAnsi="黑体" w:cs="黑体" w:eastAsia="黑体"/>
                <w:color w:val="000000"/>
                <w:sz w:val="24"/>
              </w:rPr>
              <w:t>严格按照相关规定收取停车费，每日如实上报收费情况并规范交接。</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14</w:t>
            </w:r>
            <w:r>
              <w:rPr>
                <w:rFonts w:ascii="黑体" w:hAnsi="黑体" w:cs="黑体" w:eastAsia="黑体"/>
                <w:color w:val="000000"/>
                <w:sz w:val="24"/>
              </w:rPr>
              <w:t>）</w:t>
            </w:r>
            <w:r>
              <w:rPr>
                <w:rFonts w:ascii="黑体" w:hAnsi="黑体" w:cs="黑体" w:eastAsia="黑体"/>
                <w:color w:val="000000"/>
                <w:sz w:val="24"/>
              </w:rPr>
              <w:t>完成领导安排的其他指令性、临时指令工作。</w:t>
            </w:r>
          </w:p>
          <w:p>
            <w:pPr>
              <w:pStyle w:val="null3"/>
              <w:ind w:firstLine="482"/>
              <w:jc w:val="both"/>
            </w:pPr>
            <w:r>
              <w:rPr>
                <w:rFonts w:ascii="黑体" w:hAnsi="黑体" w:cs="黑体" w:eastAsia="黑体"/>
                <w:b/>
                <w:color w:val="000000"/>
                <w:sz w:val="24"/>
              </w:rPr>
              <w:t>3.</w:t>
            </w:r>
            <w:r>
              <w:rPr>
                <w:rFonts w:ascii="黑体" w:hAnsi="黑体" w:cs="黑体" w:eastAsia="黑体"/>
                <w:b/>
                <w:color w:val="000000"/>
                <w:sz w:val="24"/>
              </w:rPr>
              <w:t>消防设施操作员</w:t>
            </w:r>
          </w:p>
          <w:p>
            <w:pPr>
              <w:pStyle w:val="null3"/>
              <w:ind w:firstLine="480"/>
              <w:jc w:val="both"/>
            </w:pPr>
            <w:r>
              <w:rPr>
                <w:rFonts w:ascii="黑体" w:hAnsi="黑体" w:cs="黑体" w:eastAsia="黑体"/>
                <w:color w:val="000000"/>
                <w:sz w:val="24"/>
              </w:rPr>
              <w:t>3.1</w:t>
            </w:r>
            <w:r>
              <w:rPr>
                <w:rFonts w:ascii="黑体" w:hAnsi="黑体" w:cs="黑体" w:eastAsia="黑体"/>
                <w:color w:val="000000"/>
                <w:sz w:val="24"/>
              </w:rPr>
              <w:t>服务标准：</w:t>
            </w:r>
          </w:p>
          <w:p>
            <w:pPr>
              <w:pStyle w:val="null3"/>
              <w:ind w:firstLine="480"/>
              <w:jc w:val="both"/>
            </w:pPr>
            <w:r>
              <w:rPr>
                <w:rFonts w:ascii="黑体" w:hAnsi="黑体" w:cs="黑体" w:eastAsia="黑体"/>
                <w:color w:val="000000"/>
                <w:sz w:val="24"/>
              </w:rPr>
              <w:t>对各种消防控制设备进行严密的监视和运用，认真履行岗位操作责任制，不得擅离职守，做好检查、操作等工作。</w:t>
            </w:r>
            <w:r>
              <w:rPr>
                <w:rFonts w:ascii="黑体" w:hAnsi="黑体" w:cs="黑体" w:eastAsia="黑体"/>
                <w:color w:val="000000"/>
                <w:sz w:val="24"/>
              </w:rPr>
              <w:t>两个院区各安排</w:t>
            </w:r>
            <w:r>
              <w:rPr>
                <w:rFonts w:ascii="黑体" w:hAnsi="黑体" w:cs="黑体" w:eastAsia="黑体"/>
                <w:color w:val="000000"/>
                <w:sz w:val="24"/>
              </w:rPr>
              <w:t>4人，</w:t>
            </w:r>
            <w:r>
              <w:rPr>
                <w:rFonts w:ascii="黑体" w:hAnsi="黑体" w:cs="黑体" w:eastAsia="黑体"/>
                <w:color w:val="000000"/>
                <w:sz w:val="24"/>
              </w:rPr>
              <w:t>采取</w:t>
            </w:r>
            <w:r>
              <w:rPr>
                <w:rFonts w:ascii="黑体" w:hAnsi="黑体" w:cs="黑体" w:eastAsia="黑体"/>
                <w:color w:val="000000"/>
                <w:sz w:val="24"/>
              </w:rPr>
              <w:t>2班倒工作制的方式进行上班，24小时值班</w:t>
            </w:r>
            <w:r>
              <w:rPr>
                <w:rFonts w:ascii="黑体" w:hAnsi="黑体" w:cs="黑体" w:eastAsia="黑体"/>
                <w:color w:val="000000"/>
                <w:sz w:val="24"/>
              </w:rPr>
              <w:t>，服从医院管理</w:t>
            </w:r>
            <w:r>
              <w:rPr>
                <w:rFonts w:ascii="黑体" w:hAnsi="黑体" w:cs="黑体" w:eastAsia="黑体"/>
                <w:color w:val="000000"/>
                <w:sz w:val="24"/>
              </w:rPr>
              <w:t>。</w:t>
            </w:r>
            <w:r>
              <w:rPr>
                <w:rFonts w:ascii="黑体" w:hAnsi="黑体" w:cs="黑体" w:eastAsia="黑体"/>
                <w:color w:val="000000"/>
                <w:sz w:val="24"/>
              </w:rPr>
              <w:t>每日按《消防法》规定进行全院防火巡查（包含所有消防设施设备巡查），</w:t>
            </w:r>
            <w:r>
              <w:rPr>
                <w:rFonts w:ascii="黑体" w:hAnsi="黑体" w:cs="黑体" w:eastAsia="黑体"/>
                <w:color w:val="000000"/>
                <w:sz w:val="24"/>
              </w:rPr>
              <w:t>及时排除安全隐患，并做好相关记录。</w:t>
            </w:r>
            <w:r>
              <w:rPr>
                <w:rFonts w:ascii="黑体" w:hAnsi="黑体" w:cs="黑体" w:eastAsia="黑体"/>
                <w:color w:val="000000"/>
                <w:sz w:val="24"/>
              </w:rPr>
              <w:t>每月</w:t>
            </w:r>
            <w:r>
              <w:rPr>
                <w:rFonts w:ascii="黑体" w:hAnsi="黑体" w:cs="黑体" w:eastAsia="黑体"/>
                <w:color w:val="000000"/>
                <w:sz w:val="24"/>
              </w:rPr>
              <w:t>按照规范做好灭火器、消火栓等消防器材的检查，确保其处于正常状态。负责确保消防通道畅通。每年负责组织不少于两次的消防演练。实时监控显示场景，有紧急情况及时汇报处理。</w:t>
            </w:r>
          </w:p>
          <w:p>
            <w:pPr>
              <w:pStyle w:val="null3"/>
              <w:ind w:firstLine="480"/>
              <w:jc w:val="both"/>
            </w:pPr>
            <w:r>
              <w:rPr>
                <w:rFonts w:ascii="黑体" w:hAnsi="黑体" w:cs="黑体" w:eastAsia="黑体"/>
                <w:color w:val="000000"/>
                <w:sz w:val="24"/>
              </w:rPr>
              <w:t>3.2</w:t>
            </w:r>
            <w:r>
              <w:rPr>
                <w:rFonts w:ascii="黑体" w:hAnsi="黑体" w:cs="黑体" w:eastAsia="黑体"/>
                <w:color w:val="000000"/>
                <w:sz w:val="24"/>
              </w:rPr>
              <w:t>服务要求</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1）负责监控室内所有监控设备的动态变化，发现可疑、紧急情况及时通知附近保安或巡逻人员前往处理，及时回馈处理结果并做好监控室值班记录。</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2）负责督促各项消防安全措施的落实，每日进行防火巡查、消防控制值班，并做好记录。</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3）能熟练掌握消防报警系统、治安监控系统及一键报警系统操作，能准确判断、操作火警设备和解除系统故障，严格执行值班操作制度，认真填写值班记录，系统运行登记表和控制器日检登记表。</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4）消防监控室所有与消防系统的元件、路线、按钮、电脑、监控火警等设备，不得随意更改操作，如有损坏应查明原因，并立即上报采购人。</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5）对消防控制室设备及通讯器材等要进行经常性的检查，定期做好系统功能实验，协助技术人员做好修理、维护工作，不得擅自拆除、挪用或停用，保证设备正常运行。</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6）按照规定每日进行定时、定点，防火巡查，及时发现火灾隐患，能立即整改的，督促立即整改；不能当场整改的，及时报告秩序维护主管协调解决，直到消除火灾隐患。</w:t>
            </w:r>
          </w:p>
          <w:p>
            <w:pPr>
              <w:pStyle w:val="null3"/>
              <w:ind w:firstLine="480"/>
              <w:jc w:val="both"/>
            </w:pPr>
            <w:r>
              <w:rPr>
                <w:rFonts w:ascii="黑体" w:hAnsi="黑体" w:cs="黑体" w:eastAsia="黑体"/>
                <w:color w:val="000000"/>
                <w:sz w:val="24"/>
              </w:rPr>
              <w:t>(7）确认发生火灾后，要立即直拨119报警，不得迟报和不报，并及时、准确启动有关消防设备，正确有效地组织扑救及人员疏散、为后续组织扑救火灾决策当好参谋。</w:t>
            </w:r>
          </w:p>
          <w:p>
            <w:pPr>
              <w:pStyle w:val="null3"/>
              <w:ind w:firstLine="480"/>
              <w:jc w:val="both"/>
            </w:pPr>
            <w:r>
              <w:rPr>
                <w:rFonts w:ascii="黑体" w:hAnsi="黑体" w:cs="黑体" w:eastAsia="黑体"/>
                <w:color w:val="000000"/>
                <w:sz w:val="24"/>
              </w:rPr>
              <w:t>(8）要积极宣传贯彻消防法规、遵守防火安全管理制度，做到四懂、四会即：会宣传消防知识和报火警；会使用灭火器材；会发现、消除火灾隐患；会扑救初起火灾。以高度的责任感去完成各项技术工作和日常管理工作。</w:t>
            </w:r>
          </w:p>
          <w:p>
            <w:pPr>
              <w:pStyle w:val="null3"/>
              <w:ind w:firstLine="480"/>
              <w:jc w:val="both"/>
            </w:pPr>
            <w:r>
              <w:rPr>
                <w:rFonts w:ascii="黑体" w:hAnsi="黑体" w:cs="黑体" w:eastAsia="黑体"/>
                <w:color w:val="000000"/>
                <w:sz w:val="24"/>
              </w:rPr>
              <w:t>(9）定期</w:t>
            </w:r>
            <w:r>
              <w:rPr>
                <w:rFonts w:ascii="黑体" w:hAnsi="黑体" w:cs="黑体" w:eastAsia="黑体"/>
                <w:color w:val="000000"/>
                <w:sz w:val="24"/>
              </w:rPr>
              <w:t>向</w:t>
            </w:r>
            <w:r>
              <w:rPr>
                <w:rFonts w:ascii="黑体" w:hAnsi="黑体" w:cs="黑体" w:eastAsia="黑体"/>
                <w:color w:val="000000"/>
                <w:sz w:val="24"/>
              </w:rPr>
              <w:t>采购人报告建筑消防设施的运行情况，参与拟定消防工作计划、消防安全措施，及时提出合理化建议。</w:t>
            </w:r>
          </w:p>
          <w:p>
            <w:pPr>
              <w:pStyle w:val="null3"/>
              <w:ind w:firstLine="480"/>
              <w:jc w:val="both"/>
            </w:pPr>
            <w:r>
              <w:rPr>
                <w:rFonts w:ascii="黑体" w:hAnsi="黑体" w:cs="黑体" w:eastAsia="黑体"/>
                <w:color w:val="000000"/>
                <w:sz w:val="24"/>
              </w:rPr>
              <w:t>(10）完成消防部门和上级领导布置的工作任务，积极参加消防专业培训，自觉接受消防部门的检查。</w:t>
            </w:r>
          </w:p>
          <w:p>
            <w:pPr>
              <w:pStyle w:val="null3"/>
              <w:ind w:firstLine="480"/>
              <w:jc w:val="both"/>
            </w:pPr>
            <w:r>
              <w:rPr>
                <w:rFonts w:ascii="黑体" w:hAnsi="黑体" w:cs="黑体" w:eastAsia="黑体"/>
                <w:color w:val="000000"/>
                <w:sz w:val="24"/>
              </w:rPr>
              <w:t>(11）完成采购人交予的其他工作任务。</w:t>
            </w:r>
          </w:p>
          <w:p>
            <w:pPr>
              <w:pStyle w:val="null3"/>
              <w:ind w:firstLine="482"/>
              <w:jc w:val="both"/>
            </w:pPr>
            <w:r>
              <w:rPr>
                <w:rFonts w:ascii="黑体" w:hAnsi="黑体" w:cs="黑体" w:eastAsia="黑体"/>
                <w:b/>
                <w:color w:val="000000"/>
                <w:sz w:val="24"/>
              </w:rPr>
              <w:t>4.司机</w:t>
            </w:r>
          </w:p>
          <w:p>
            <w:pPr>
              <w:pStyle w:val="null3"/>
              <w:ind w:firstLine="480"/>
              <w:jc w:val="both"/>
            </w:pPr>
            <w:r>
              <w:rPr>
                <w:rFonts w:ascii="黑体" w:hAnsi="黑体" w:cs="黑体" w:eastAsia="黑体"/>
                <w:color w:val="000000"/>
                <w:sz w:val="24"/>
              </w:rPr>
              <w:t>4.1</w:t>
            </w:r>
            <w:r>
              <w:rPr>
                <w:rFonts w:ascii="黑体" w:hAnsi="黑体" w:cs="黑体" w:eastAsia="黑体"/>
                <w:color w:val="000000"/>
                <w:sz w:val="24"/>
              </w:rPr>
              <w:t>服务标准：</w:t>
            </w:r>
            <w:r>
              <w:rPr>
                <w:rFonts w:ascii="黑体" w:hAnsi="黑体" w:cs="黑体" w:eastAsia="黑体"/>
                <w:color w:val="000000"/>
                <w:sz w:val="24"/>
              </w:rPr>
              <w:t>认真学习行业知识，熟练掌握驾驶技能，服务命令，听从指挥。无指令不动车，有任务必出车。</w:t>
            </w:r>
            <w:r>
              <w:rPr>
                <w:rFonts w:ascii="黑体" w:hAnsi="黑体" w:cs="黑体" w:eastAsia="黑体"/>
                <w:color w:val="000000"/>
                <w:sz w:val="24"/>
              </w:rPr>
              <w:t>认真完成派车任务要求，服从派车调度人员指挥。认真履行岗位操作责任制，不得</w:t>
            </w:r>
            <w:r>
              <w:rPr>
                <w:rFonts w:ascii="黑体" w:hAnsi="黑体" w:cs="黑体" w:eastAsia="黑体"/>
                <w:color w:val="000000"/>
                <w:sz w:val="24"/>
              </w:rPr>
              <w:t>公车私用</w:t>
            </w:r>
            <w:r>
              <w:rPr>
                <w:rFonts w:ascii="黑体" w:hAnsi="黑体" w:cs="黑体" w:eastAsia="黑体"/>
                <w:color w:val="000000"/>
                <w:sz w:val="24"/>
              </w:rPr>
              <w:t>，做好</w:t>
            </w:r>
            <w:r>
              <w:rPr>
                <w:rFonts w:ascii="黑体" w:hAnsi="黑体" w:cs="黑体" w:eastAsia="黑体"/>
                <w:color w:val="000000"/>
                <w:sz w:val="24"/>
              </w:rPr>
              <w:t>车辆</w:t>
            </w:r>
            <w:r>
              <w:rPr>
                <w:rFonts w:ascii="黑体" w:hAnsi="黑体" w:cs="黑体" w:eastAsia="黑体"/>
                <w:color w:val="000000"/>
                <w:sz w:val="24"/>
              </w:rPr>
              <w:t>检查、</w:t>
            </w:r>
            <w:r>
              <w:rPr>
                <w:rFonts w:ascii="黑体" w:hAnsi="黑体" w:cs="黑体" w:eastAsia="黑体"/>
                <w:color w:val="000000"/>
                <w:sz w:val="24"/>
              </w:rPr>
              <w:t>维护</w:t>
            </w:r>
            <w:r>
              <w:rPr>
                <w:rFonts w:ascii="黑体" w:hAnsi="黑体" w:cs="黑体" w:eastAsia="黑体"/>
                <w:color w:val="000000"/>
                <w:sz w:val="24"/>
              </w:rPr>
              <w:t>等工作。</w:t>
            </w:r>
            <w:r>
              <w:rPr>
                <w:rFonts w:ascii="黑体" w:hAnsi="黑体" w:cs="黑体" w:eastAsia="黑体"/>
                <w:color w:val="000000"/>
                <w:sz w:val="24"/>
              </w:rPr>
              <w:t>严格遵守医院规章制度。</w:t>
            </w:r>
          </w:p>
          <w:p>
            <w:pPr>
              <w:pStyle w:val="null3"/>
              <w:ind w:firstLine="480"/>
              <w:jc w:val="both"/>
            </w:pPr>
            <w:r>
              <w:rPr>
                <w:rFonts w:ascii="黑体" w:hAnsi="黑体" w:cs="黑体" w:eastAsia="黑体"/>
                <w:color w:val="000000"/>
                <w:sz w:val="24"/>
              </w:rPr>
              <w:t>4.2</w:t>
            </w:r>
            <w:r>
              <w:rPr>
                <w:rFonts w:ascii="黑体" w:hAnsi="黑体" w:cs="黑体" w:eastAsia="黑体"/>
                <w:color w:val="000000"/>
                <w:sz w:val="24"/>
              </w:rPr>
              <w:t>服务要求</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w:t>
            </w:r>
            <w:r>
              <w:rPr>
                <w:rFonts w:ascii="黑体" w:hAnsi="黑体" w:cs="黑体" w:eastAsia="黑体"/>
                <w:color w:val="000000"/>
                <w:sz w:val="24"/>
              </w:rPr>
              <w:t>）严格遵守交通法规，严格执行各项规章制度，配合医务人员完成院前急救工作和任务。</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2</w:t>
            </w:r>
            <w:r>
              <w:rPr>
                <w:rFonts w:ascii="黑体" w:hAnsi="黑体" w:cs="黑体" w:eastAsia="黑体"/>
                <w:color w:val="000000"/>
                <w:sz w:val="24"/>
              </w:rPr>
              <w:t>）</w:t>
            </w:r>
            <w:r>
              <w:rPr>
                <w:rFonts w:ascii="黑体" w:hAnsi="黑体" w:cs="黑体" w:eastAsia="黑体"/>
                <w:color w:val="000000"/>
                <w:sz w:val="24"/>
              </w:rPr>
              <w:t>采取倒班制，保证</w:t>
            </w:r>
            <w:r>
              <w:rPr>
                <w:rFonts w:ascii="黑体" w:hAnsi="黑体" w:cs="黑体" w:eastAsia="黑体"/>
                <w:color w:val="000000"/>
                <w:sz w:val="24"/>
              </w:rPr>
              <w:t>24小时有人值班，服从医院管理。</w:t>
            </w:r>
            <w:r>
              <w:rPr>
                <w:rFonts w:ascii="黑体" w:hAnsi="黑体" w:cs="黑体" w:eastAsia="黑体"/>
                <w:color w:val="000000"/>
                <w:sz w:val="24"/>
              </w:rPr>
              <w:t>遵守劳动纪律、服</w:t>
            </w:r>
            <w:r>
              <w:rPr>
                <w:rFonts w:ascii="黑体" w:hAnsi="黑体" w:cs="黑体" w:eastAsia="黑体"/>
                <w:color w:val="000000"/>
                <w:sz w:val="24"/>
              </w:rPr>
              <w:t>从</w:t>
            </w:r>
            <w:r>
              <w:rPr>
                <w:rFonts w:ascii="黑体" w:hAnsi="黑体" w:cs="黑体" w:eastAsia="黑体"/>
                <w:color w:val="000000"/>
                <w:sz w:val="24"/>
              </w:rPr>
              <w:t>采购人</w:t>
            </w:r>
            <w:r>
              <w:rPr>
                <w:rFonts w:ascii="黑体" w:hAnsi="黑体" w:cs="黑体" w:eastAsia="黑体"/>
                <w:color w:val="000000"/>
                <w:sz w:val="24"/>
              </w:rPr>
              <w:t>调度</w:t>
            </w:r>
            <w:r>
              <w:rPr>
                <w:rFonts w:ascii="黑体" w:hAnsi="黑体" w:cs="黑体" w:eastAsia="黑体"/>
                <w:color w:val="000000"/>
                <w:sz w:val="24"/>
              </w:rPr>
              <w:t>指挥，出车及时，行车迅速。</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3</w:t>
            </w:r>
            <w:r>
              <w:rPr>
                <w:rFonts w:ascii="黑体" w:hAnsi="黑体" w:cs="黑体" w:eastAsia="黑体"/>
                <w:color w:val="000000"/>
                <w:sz w:val="24"/>
              </w:rPr>
              <w:t>）出诊后，及时与报警人取得联系，核实出车地点，如地点不符应及时向指挥中心报告。</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4</w:t>
            </w:r>
            <w:r>
              <w:rPr>
                <w:rFonts w:ascii="黑体" w:hAnsi="黑体" w:cs="黑体" w:eastAsia="黑体"/>
                <w:color w:val="000000"/>
                <w:sz w:val="24"/>
              </w:rPr>
              <w:t>）熟练掌握驾驶技术，熟悉辖区地图与交通情况，确保安全、迅速地完成急救任务。</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5</w:t>
            </w:r>
            <w:r>
              <w:rPr>
                <w:rFonts w:ascii="黑体" w:hAnsi="黑体" w:cs="黑体" w:eastAsia="黑体"/>
                <w:color w:val="000000"/>
                <w:sz w:val="24"/>
              </w:rPr>
              <w:t>）严格遵守交通规则和警灯、警报器的使用规定，认真执行操作规程，确保行车安全，任务完成后立即返回，不准私自出车或出诊途中偏离出诊路线办私事。</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6</w:t>
            </w:r>
            <w:r>
              <w:rPr>
                <w:rFonts w:ascii="黑体" w:hAnsi="黑体" w:cs="黑体" w:eastAsia="黑体"/>
                <w:color w:val="000000"/>
                <w:sz w:val="24"/>
              </w:rPr>
              <w:t>）正确使用、爱护车载指挥终端设备，在执行任务过程中及时向指挥中心反馈急救信息，不得虚假操作车载状态。如连续</w:t>
            </w:r>
            <w:r>
              <w:rPr>
                <w:rFonts w:ascii="黑体" w:hAnsi="黑体" w:cs="黑体" w:eastAsia="黑体"/>
                <w:color w:val="000000"/>
                <w:sz w:val="24"/>
              </w:rPr>
              <w:t>8小时内未执行出诊任务，应重启随车配置的车载指挥终端设备一次，确保良好功能状态。</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7</w:t>
            </w:r>
            <w:r>
              <w:rPr>
                <w:rFonts w:ascii="黑体" w:hAnsi="黑体" w:cs="黑体" w:eastAsia="黑体"/>
                <w:color w:val="000000"/>
                <w:sz w:val="24"/>
              </w:rPr>
              <w:t>）负责与随车人员及家属一起在医师的指导下搬运伤病员上下车；伤病员上车后，根据伤病员病情及医护人员意见，经伤病员或其家属同意后确定行驶路线和行驶速度，不得私自绕道和改变目的地。</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8</w:t>
            </w:r>
            <w:r>
              <w:rPr>
                <w:rFonts w:ascii="黑体" w:hAnsi="黑体" w:cs="黑体" w:eastAsia="黑体"/>
                <w:color w:val="000000"/>
                <w:sz w:val="24"/>
              </w:rPr>
              <w:t>）做好车辆内外观的清洁，定期进行车辆检修、保养和清洗，保持车况良好，节约油料；爱护车辆及车载设备，发现故障及时按规定报修。如因车辆故障不能执行急救任务，应及时上报，停止调度该车。故障排除后，应及时告知指挥中心对该车恢复调度。</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9</w:t>
            </w:r>
            <w:r>
              <w:rPr>
                <w:rFonts w:ascii="黑体" w:hAnsi="黑体" w:cs="黑体" w:eastAsia="黑体"/>
                <w:color w:val="000000"/>
                <w:sz w:val="24"/>
              </w:rPr>
              <w:t>）积极参加救护车驾驶技术、车辆与交通事故安全及急救知识等方面学习，熟悉特殊情况下的急救运输任务，掌握本区域内路线、居民小区标志特征；认真学习并执行交通管理部门的有关规定，及时排除不安全隐患，严防交通事故的发生，确保急救工作的顺利进行。</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10</w:t>
            </w:r>
            <w:r>
              <w:rPr>
                <w:rFonts w:ascii="黑体" w:hAnsi="黑体" w:cs="黑体" w:eastAsia="黑体"/>
                <w:color w:val="000000"/>
                <w:sz w:val="24"/>
              </w:rPr>
              <w:t>）突发公共事件时，协助医务人员积极参与抢救，服从现场领导的指挥。</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11</w:t>
            </w:r>
            <w:r>
              <w:rPr>
                <w:rFonts w:ascii="黑体" w:hAnsi="黑体" w:cs="黑体" w:eastAsia="黑体"/>
                <w:color w:val="000000"/>
                <w:sz w:val="24"/>
              </w:rPr>
              <w:t>）</w:t>
            </w:r>
            <w:r>
              <w:rPr>
                <w:rFonts w:ascii="黑体" w:hAnsi="黑体" w:cs="黑体" w:eastAsia="黑体"/>
                <w:color w:val="000000"/>
                <w:sz w:val="24"/>
              </w:rPr>
              <w:t>车辆用毕后，车辆停泊在指</w:t>
            </w:r>
            <w:r>
              <w:rPr>
                <w:rFonts w:ascii="黑体" w:hAnsi="黑体" w:cs="黑体" w:eastAsia="黑体"/>
                <w:color w:val="000000"/>
                <w:sz w:val="24"/>
              </w:rPr>
              <w:t>定位置，锁好方向盘、门窗等。</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12</w:t>
            </w:r>
            <w:r>
              <w:rPr>
                <w:rFonts w:ascii="黑体" w:hAnsi="黑体" w:cs="黑体" w:eastAsia="黑体"/>
                <w:color w:val="000000"/>
                <w:sz w:val="24"/>
              </w:rPr>
              <w:t>）</w:t>
            </w:r>
            <w:r>
              <w:rPr>
                <w:rFonts w:ascii="黑体" w:hAnsi="黑体" w:cs="黑体" w:eastAsia="黑体"/>
                <w:color w:val="000000"/>
                <w:sz w:val="24"/>
              </w:rPr>
              <w:t>驾驶员应有敬业精神，熟悉交通法规、路况和车辆性能，不断提高自己的技术和水平，积累行车经验。</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13</w:t>
            </w:r>
            <w:r>
              <w:rPr>
                <w:rFonts w:ascii="黑体" w:hAnsi="黑体" w:cs="黑体" w:eastAsia="黑体"/>
                <w:color w:val="000000"/>
                <w:sz w:val="24"/>
              </w:rPr>
              <w:t>）</w:t>
            </w:r>
            <w:r>
              <w:rPr>
                <w:rFonts w:ascii="黑体" w:hAnsi="黑体" w:cs="黑体" w:eastAsia="黑体"/>
                <w:color w:val="000000"/>
                <w:sz w:val="24"/>
              </w:rPr>
              <w:t>服务期内一旦出现重大交通事故，保险赔付之外的，属于驾驶员责任的，由供应商自行赔偿。</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14）由于驾驶人个人原因出现酒驾等违法行为，造成保险公司拒绝赔付情形的，由供应商自行赔偿。</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15</w:t>
            </w:r>
            <w:r>
              <w:rPr>
                <w:rFonts w:ascii="黑体" w:hAnsi="黑体" w:cs="黑体" w:eastAsia="黑体"/>
                <w:color w:val="000000"/>
                <w:sz w:val="24"/>
              </w:rPr>
              <w:t>）</w:t>
            </w:r>
            <w:r>
              <w:rPr>
                <w:rFonts w:ascii="黑体" w:hAnsi="黑体" w:cs="黑体" w:eastAsia="黑体"/>
                <w:color w:val="000000"/>
                <w:sz w:val="24"/>
              </w:rPr>
              <w:t>完成采购人交予的其他工作任务。</w:t>
            </w:r>
          </w:p>
          <w:p>
            <w:pPr>
              <w:pStyle w:val="null3"/>
              <w:ind w:firstLine="482"/>
              <w:jc w:val="both"/>
            </w:pPr>
            <w:r>
              <w:rPr>
                <w:rFonts w:ascii="黑体" w:hAnsi="黑体" w:cs="黑体" w:eastAsia="黑体"/>
                <w:b/>
                <w:color w:val="000000"/>
                <w:sz w:val="24"/>
              </w:rPr>
              <w:t>5.担架员</w:t>
            </w:r>
          </w:p>
          <w:p>
            <w:pPr>
              <w:pStyle w:val="null3"/>
              <w:ind w:firstLine="480"/>
              <w:jc w:val="both"/>
            </w:pPr>
            <w:r>
              <w:rPr>
                <w:rFonts w:ascii="黑体" w:hAnsi="黑体" w:cs="黑体" w:eastAsia="黑体"/>
                <w:color w:val="000000"/>
                <w:sz w:val="24"/>
              </w:rPr>
              <w:t>4.1</w:t>
            </w:r>
            <w:r>
              <w:rPr>
                <w:rFonts w:ascii="黑体" w:hAnsi="黑体" w:cs="黑体" w:eastAsia="黑体"/>
                <w:color w:val="000000"/>
                <w:sz w:val="24"/>
              </w:rPr>
              <w:t>服务标准：在医院主管的领导下，根据医院相关部门的通知要求，负责全院各临床科室病人的转运工作</w:t>
            </w:r>
            <w:r>
              <w:rPr>
                <w:rFonts w:ascii="黑体" w:hAnsi="黑体" w:cs="黑体" w:eastAsia="黑体"/>
                <w:color w:val="000000"/>
                <w:sz w:val="24"/>
              </w:rPr>
              <w:t>，</w:t>
            </w:r>
            <w:r>
              <w:rPr>
                <w:rFonts w:ascii="黑体" w:hAnsi="黑体" w:cs="黑体" w:eastAsia="黑体"/>
                <w:color w:val="000000"/>
                <w:sz w:val="24"/>
              </w:rPr>
              <w:t>遵循急、危重、缓的服务原则。认真履行岗位操作责任制，</w:t>
            </w:r>
            <w:r>
              <w:rPr>
                <w:rFonts w:ascii="黑体" w:hAnsi="黑体" w:cs="黑体" w:eastAsia="黑体"/>
                <w:color w:val="000000"/>
                <w:sz w:val="24"/>
              </w:rPr>
              <w:t>严格遵守医院规章制度。</w:t>
            </w:r>
          </w:p>
          <w:p>
            <w:pPr>
              <w:pStyle w:val="null3"/>
              <w:ind w:firstLine="480"/>
              <w:jc w:val="both"/>
            </w:pPr>
            <w:r>
              <w:rPr>
                <w:rFonts w:ascii="黑体" w:hAnsi="黑体" w:cs="黑体" w:eastAsia="黑体"/>
                <w:color w:val="000000"/>
                <w:sz w:val="24"/>
              </w:rPr>
              <w:t>4.2</w:t>
            </w:r>
            <w:r>
              <w:rPr>
                <w:rFonts w:ascii="黑体" w:hAnsi="黑体" w:cs="黑体" w:eastAsia="黑体"/>
                <w:color w:val="000000"/>
                <w:sz w:val="24"/>
              </w:rPr>
              <w:t>服务要求</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1）危、重病人转运时，需在各科医护人员的指导下工作，必要时请医护人员全程监护病人，防止意外发生。</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2</w:t>
            </w:r>
            <w:r>
              <w:rPr>
                <w:rFonts w:ascii="黑体" w:hAnsi="黑体" w:cs="黑体" w:eastAsia="黑体"/>
                <w:color w:val="000000"/>
                <w:sz w:val="24"/>
              </w:rPr>
              <w:t>）转运病人过程中，发现有异常，停止转运，及时向主管医务人员汇报，就近处理，病人情况允许转运时再转运。</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3</w:t>
            </w:r>
            <w:r>
              <w:rPr>
                <w:rFonts w:ascii="黑体" w:hAnsi="黑体" w:cs="黑体" w:eastAsia="黑体"/>
                <w:color w:val="000000"/>
                <w:sz w:val="24"/>
              </w:rPr>
              <w:t>）转运病人时，做到稳、轻、迅速。</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4</w:t>
            </w:r>
            <w:r>
              <w:rPr>
                <w:rFonts w:ascii="黑体" w:hAnsi="黑体" w:cs="黑体" w:eastAsia="黑体"/>
                <w:color w:val="000000"/>
                <w:sz w:val="24"/>
              </w:rPr>
              <w:t>）检查担架床及平车的活动护栏、上下升摇手，检查担架床、平车及轮椅的性能，保证安全。</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5</w:t>
            </w:r>
            <w:r>
              <w:rPr>
                <w:rFonts w:ascii="黑体" w:hAnsi="黑体" w:cs="黑体" w:eastAsia="黑体"/>
                <w:color w:val="000000"/>
                <w:sz w:val="24"/>
              </w:rPr>
              <w:t>）远送完病人后要整理床单位，保持车床整洁。</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6</w:t>
            </w:r>
            <w:r>
              <w:rPr>
                <w:rFonts w:ascii="黑体" w:hAnsi="黑体" w:cs="黑体" w:eastAsia="黑体"/>
                <w:color w:val="000000"/>
                <w:sz w:val="24"/>
              </w:rPr>
              <w:t>）接到检查单要先交给护士，由护士决定是否由护士或医护陪同送检查。</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7</w:t>
            </w:r>
            <w:r>
              <w:rPr>
                <w:rFonts w:ascii="黑体" w:hAnsi="黑体" w:cs="黑体" w:eastAsia="黑体"/>
                <w:color w:val="000000"/>
                <w:sz w:val="24"/>
              </w:rPr>
              <w:t>）送检查前要再一次检查平车车轮、刹车、护栏等性能。</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8</w:t>
            </w:r>
            <w:r>
              <w:rPr>
                <w:rFonts w:ascii="黑体" w:hAnsi="黑体" w:cs="黑体" w:eastAsia="黑体"/>
                <w:color w:val="000000"/>
                <w:sz w:val="24"/>
              </w:rPr>
              <w:t>）患者过床时，要在医护指导下正确搬运患者。</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9</w:t>
            </w:r>
            <w:r>
              <w:rPr>
                <w:rFonts w:ascii="黑体" w:hAnsi="黑体" w:cs="黑体" w:eastAsia="黑体"/>
                <w:color w:val="000000"/>
                <w:sz w:val="24"/>
              </w:rPr>
              <w:t>）搬运时注意患者的安全及舒适，工作要轻稳，不可触及患处。</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w:t>
            </w:r>
            <w:r>
              <w:rPr>
                <w:rFonts w:ascii="黑体" w:hAnsi="黑体" w:cs="黑体" w:eastAsia="黑体"/>
                <w:color w:val="000000"/>
                <w:sz w:val="24"/>
              </w:rPr>
              <w:t>0</w:t>
            </w:r>
            <w:r>
              <w:rPr>
                <w:rFonts w:ascii="黑体" w:hAnsi="黑体" w:cs="黑体" w:eastAsia="黑体"/>
                <w:color w:val="000000"/>
                <w:sz w:val="24"/>
              </w:rPr>
              <w:t>）平地推行时，患者的头部应近推行者一端，推行速度不能过快，上下坡时患者头部应在高处一端，以免引起不适。</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w:t>
            </w:r>
            <w:r>
              <w:rPr>
                <w:rFonts w:ascii="黑体" w:hAnsi="黑体" w:cs="黑体" w:eastAsia="黑体"/>
                <w:color w:val="000000"/>
                <w:sz w:val="24"/>
              </w:rPr>
              <w:t>1</w:t>
            </w:r>
            <w:r>
              <w:rPr>
                <w:rFonts w:ascii="黑体" w:hAnsi="黑体" w:cs="黑体" w:eastAsia="黑体"/>
                <w:color w:val="000000"/>
                <w:sz w:val="24"/>
              </w:rPr>
              <w:t>）推车近门时，先将门打开，不可用车撞门或墙，以免振动患者或损坏建筑物。</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w:t>
            </w:r>
            <w:r>
              <w:rPr>
                <w:rFonts w:ascii="黑体" w:hAnsi="黑体" w:cs="黑体" w:eastAsia="黑体"/>
                <w:color w:val="000000"/>
                <w:sz w:val="24"/>
              </w:rPr>
              <w:t>2</w:t>
            </w:r>
            <w:r>
              <w:rPr>
                <w:rFonts w:ascii="黑体" w:hAnsi="黑体" w:cs="黑体" w:eastAsia="黑体"/>
                <w:color w:val="000000"/>
                <w:sz w:val="24"/>
              </w:rPr>
              <w:t>）推轮椅下坡斜时，速度要慢，送检查以推行的方式，以保证患者在高处，患者的头及背应向后靠并抓紧扶手，以免发生意外。</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w:t>
            </w:r>
            <w:r>
              <w:rPr>
                <w:rFonts w:ascii="黑体" w:hAnsi="黑体" w:cs="黑体" w:eastAsia="黑体"/>
                <w:color w:val="000000"/>
                <w:sz w:val="24"/>
              </w:rPr>
              <w:t>3</w:t>
            </w:r>
            <w:r>
              <w:rPr>
                <w:rFonts w:ascii="黑体" w:hAnsi="黑体" w:cs="黑体" w:eastAsia="黑体"/>
                <w:color w:val="000000"/>
                <w:sz w:val="24"/>
              </w:rPr>
              <w:t>）认真填写服务工作卡。</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14</w:t>
            </w:r>
            <w:r>
              <w:rPr>
                <w:rFonts w:ascii="黑体" w:hAnsi="黑体" w:cs="黑体" w:eastAsia="黑体"/>
                <w:color w:val="000000"/>
                <w:sz w:val="24"/>
              </w:rPr>
              <w:t>）</w:t>
            </w:r>
            <w:r>
              <w:rPr>
                <w:rFonts w:ascii="黑体" w:hAnsi="黑体" w:cs="黑体" w:eastAsia="黑体"/>
                <w:color w:val="000000"/>
                <w:sz w:val="24"/>
              </w:rPr>
              <w:t>完成采购人交</w:t>
            </w:r>
            <w:r>
              <w:rPr>
                <w:rFonts w:ascii="黑体" w:hAnsi="黑体" w:cs="黑体" w:eastAsia="黑体"/>
                <w:color w:val="000000"/>
                <w:sz w:val="24"/>
              </w:rPr>
              <w:t>予的其他工作任务。</w:t>
            </w:r>
          </w:p>
          <w:p>
            <w:pPr>
              <w:pStyle w:val="null3"/>
              <w:ind w:firstLine="482"/>
              <w:jc w:val="both"/>
            </w:pPr>
            <w:r>
              <w:rPr>
                <w:rFonts w:ascii="黑体" w:hAnsi="黑体" w:cs="黑体" w:eastAsia="黑体"/>
                <w:b/>
                <w:color w:val="000000"/>
                <w:sz w:val="24"/>
              </w:rPr>
              <w:t>（三）其他服务要求：</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1）上岗人员仪表整洁，业务操作规范，保持岗位卫生整洁。</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2）安保人员（兼停车场管理员）、消防设施操作员的工作服装由成交供应商按采购人要求自行配备，工具用具在医院现有的基础上不足部分由供应商自行补充（费用包含在报价中）。</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3）司机及担架员的工作服装由采购人提供。</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4）成交供应商必须按照采购人有关安全规定进行上岗前安全培训，加强队伍安全管理。</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5）成交供应商必须严格遵守采购人有关规章制度，服从采购人管理。</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6）合同执行期间，采购人将定期对成交供应商服务质量进行检查、考核。</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7</w:t>
            </w:r>
            <w:r>
              <w:rPr>
                <w:rFonts w:ascii="黑体" w:hAnsi="黑体" w:cs="黑体" w:eastAsia="黑体"/>
                <w:color w:val="000000"/>
                <w:sz w:val="24"/>
              </w:rPr>
              <w:t>）供应商拟派本项目的服务人员</w:t>
            </w:r>
            <w:r>
              <w:rPr>
                <w:rFonts w:ascii="黑体" w:hAnsi="黑体" w:cs="黑体" w:eastAsia="黑体"/>
                <w:color w:val="000000"/>
                <w:sz w:val="24"/>
              </w:rPr>
              <w:t>，</w:t>
            </w:r>
            <w:r>
              <w:rPr>
                <w:rFonts w:ascii="黑体" w:hAnsi="黑体" w:cs="黑体" w:eastAsia="黑体"/>
                <w:color w:val="000000"/>
                <w:sz w:val="24"/>
              </w:rPr>
              <w:t>未经采购人同意在本项目服务期内不得更换。如因客观原因需要更换相关服务人员的，须取得采购人的同意且成交供应商须向采购人保证更换人员须与被更换人员具有相当的技术水平。</w:t>
            </w:r>
            <w:r>
              <w:rPr>
                <w:rFonts w:ascii="黑体" w:hAnsi="黑体" w:cs="黑体" w:eastAsia="黑体"/>
                <w:color w:val="000000"/>
                <w:sz w:val="24"/>
              </w:rPr>
              <w:t>（成交供应商未经采购人同意随意更换服务人员的，采购人将扣除本项目合同金额的</w:t>
            </w:r>
            <w:r>
              <w:rPr>
                <w:rFonts w:ascii="黑体" w:hAnsi="黑体" w:cs="黑体" w:eastAsia="黑体"/>
                <w:color w:val="000000"/>
                <w:sz w:val="24"/>
              </w:rPr>
              <w:t>10%作为违约</w:t>
            </w:r>
            <w:r>
              <w:rPr>
                <w:rFonts w:ascii="黑体" w:hAnsi="黑体" w:cs="黑体" w:eastAsia="黑体"/>
                <w:color w:val="000000"/>
                <w:sz w:val="24"/>
              </w:rPr>
              <w:t>金</w:t>
            </w:r>
            <w:r>
              <w:rPr>
                <w:rFonts w:ascii="黑体" w:hAnsi="黑体" w:cs="黑体" w:eastAsia="黑体"/>
                <w:color w:val="000000"/>
                <w:sz w:val="24"/>
              </w:rPr>
              <w:t>）</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8</w:t>
            </w:r>
            <w:r>
              <w:rPr>
                <w:rFonts w:ascii="黑体" w:hAnsi="黑体" w:cs="黑体" w:eastAsia="黑体"/>
                <w:color w:val="000000"/>
                <w:sz w:val="24"/>
              </w:rPr>
              <w:t>）采购人对专业素质差的服务人员提出更换的建议时，成交供应商应予积极配合并及时更换。</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9</w:t>
            </w:r>
            <w:r>
              <w:rPr>
                <w:rFonts w:ascii="黑体" w:hAnsi="黑体" w:cs="黑体" w:eastAsia="黑体"/>
                <w:color w:val="000000"/>
                <w:sz w:val="24"/>
              </w:rPr>
              <w:t>）本项目服务过程中</w:t>
            </w:r>
            <w:r>
              <w:rPr>
                <w:rFonts w:ascii="黑体" w:hAnsi="黑体" w:cs="黑体" w:eastAsia="黑体"/>
                <w:color w:val="000000"/>
                <w:sz w:val="24"/>
              </w:rPr>
              <w:t>的相关安全责任由成交供应商负全责，与采购人无关，采购人不承担任何责任。</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10</w:t>
            </w:r>
            <w:r>
              <w:rPr>
                <w:rFonts w:ascii="黑体" w:hAnsi="黑体" w:cs="黑体" w:eastAsia="黑体"/>
                <w:color w:val="000000"/>
                <w:sz w:val="24"/>
              </w:rPr>
              <w:t>）</w:t>
            </w:r>
            <w:r>
              <w:rPr>
                <w:rFonts w:ascii="黑体" w:hAnsi="黑体" w:cs="黑体" w:eastAsia="黑体"/>
                <w:color w:val="000000"/>
                <w:sz w:val="24"/>
              </w:rPr>
              <w:t>由于供应商或服务人员的原因对采购人造成恶劣影响的，直接扣除合同金额</w:t>
            </w:r>
            <w:r>
              <w:rPr>
                <w:rFonts w:ascii="黑体" w:hAnsi="黑体" w:cs="黑体" w:eastAsia="黑体"/>
                <w:color w:val="000000"/>
                <w:sz w:val="24"/>
              </w:rPr>
              <w:t>20%的违约金。并解除服务合同。</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11</w:t>
            </w:r>
            <w:r>
              <w:rPr>
                <w:rFonts w:ascii="黑体" w:hAnsi="黑体" w:cs="黑体" w:eastAsia="黑体"/>
                <w:color w:val="000000"/>
                <w:sz w:val="24"/>
              </w:rPr>
              <w:t>）</w:t>
            </w:r>
            <w:r>
              <w:rPr>
                <w:rFonts w:ascii="黑体" w:hAnsi="黑体" w:cs="黑体" w:eastAsia="黑体"/>
                <w:color w:val="000000"/>
                <w:sz w:val="24"/>
              </w:rPr>
              <w:t>成交供应商须向采购人提供本项目所有技术成果、项目建设文档、相关报告等，本项目知识产权及成果归采购人所有。</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12</w:t>
            </w:r>
            <w:r>
              <w:rPr>
                <w:rFonts w:ascii="黑体" w:hAnsi="黑体" w:cs="黑体" w:eastAsia="黑体"/>
                <w:color w:val="000000"/>
                <w:sz w:val="24"/>
              </w:rPr>
              <w:t>）</w:t>
            </w:r>
            <w:r>
              <w:rPr>
                <w:rFonts w:ascii="黑体" w:hAnsi="黑体" w:cs="黑体" w:eastAsia="黑体"/>
                <w:color w:val="000000"/>
                <w:sz w:val="24"/>
              </w:rPr>
              <w:t>严格执行医院各项管理制度和公司管理制度。</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13</w:t>
            </w:r>
            <w:r>
              <w:rPr>
                <w:rFonts w:ascii="黑体" w:hAnsi="黑体" w:cs="黑体" w:eastAsia="黑体"/>
                <w:color w:val="000000"/>
                <w:sz w:val="24"/>
              </w:rPr>
              <w:t>）</w:t>
            </w:r>
            <w:r>
              <w:rPr>
                <w:rFonts w:ascii="黑体" w:hAnsi="黑体" w:cs="黑体" w:eastAsia="黑体"/>
                <w:color w:val="000000"/>
                <w:sz w:val="24"/>
              </w:rPr>
              <w:t>司机除正常的工资以外，出车</w:t>
            </w:r>
            <w:r>
              <w:rPr>
                <w:rFonts w:ascii="黑体" w:hAnsi="黑体" w:cs="黑体" w:eastAsia="黑体"/>
                <w:color w:val="000000"/>
                <w:sz w:val="24"/>
              </w:rPr>
              <w:t>/加班/夜班每月绩效考核费用按1500元计，由保卫科考核。担架员除正常的工资以外每月绩效考核费用按1000元计，由急诊科考核。（费用含在报价中）</w:t>
            </w:r>
          </w:p>
          <w:p>
            <w:pPr>
              <w:pStyle w:val="null3"/>
              <w:ind w:firstLine="480"/>
              <w:jc w:val="both"/>
            </w:pPr>
            <w:r>
              <w:rPr>
                <w:rFonts w:ascii="黑体" w:hAnsi="黑体" w:cs="黑体" w:eastAsia="黑体"/>
                <w:color w:val="000000"/>
                <w:sz w:val="24"/>
              </w:rPr>
              <w:t>（</w:t>
            </w:r>
            <w:r>
              <w:rPr>
                <w:rFonts w:ascii="黑体" w:hAnsi="黑体" w:cs="黑体" w:eastAsia="黑体"/>
                <w:color w:val="000000"/>
                <w:sz w:val="24"/>
              </w:rPr>
              <w:t>14</w:t>
            </w:r>
            <w:r>
              <w:rPr>
                <w:rFonts w:ascii="黑体" w:hAnsi="黑体" w:cs="黑体" w:eastAsia="黑体"/>
                <w:color w:val="000000"/>
                <w:sz w:val="24"/>
              </w:rPr>
              <w:t>）应严格执行《中华人民共和国民法典》和地方有关劳动用工的相关法规，承担所录用</w:t>
            </w:r>
            <w:r>
              <w:rPr>
                <w:rFonts w:ascii="黑体" w:hAnsi="黑体" w:cs="黑体" w:eastAsia="黑体"/>
                <w:color w:val="000000"/>
                <w:sz w:val="24"/>
              </w:rPr>
              <w:t>服务人</w:t>
            </w:r>
            <w:r>
              <w:rPr>
                <w:rFonts w:ascii="黑体" w:hAnsi="黑体" w:cs="黑体" w:eastAsia="黑体"/>
                <w:color w:val="000000"/>
                <w:sz w:val="24"/>
              </w:rPr>
              <w:t>员的工资和社会保险等费用。</w:t>
            </w:r>
            <w:r>
              <w:rPr>
                <w:rFonts w:ascii="黑体" w:hAnsi="黑体" w:cs="黑体" w:eastAsia="黑体"/>
                <w:b/>
                <w:color w:val="000000"/>
                <w:sz w:val="24"/>
              </w:rPr>
              <w:t>供应商应在响应文件中承诺：</w:t>
            </w:r>
            <w:r>
              <w:rPr>
                <w:rFonts w:ascii="黑体" w:hAnsi="黑体" w:cs="黑体" w:eastAsia="黑体"/>
                <w:b/>
                <w:color w:val="000000"/>
                <w:sz w:val="24"/>
              </w:rPr>
              <w:t>服务人员</w:t>
            </w:r>
            <w:r>
              <w:rPr>
                <w:rFonts w:ascii="黑体" w:hAnsi="黑体" w:cs="黑体" w:eastAsia="黑体"/>
                <w:b/>
                <w:color w:val="000000"/>
                <w:sz w:val="24"/>
              </w:rPr>
              <w:t>工资不得低于服务期内德阳市人民政府当年最低工资标准，依法为</w:t>
            </w:r>
            <w:r>
              <w:rPr>
                <w:rFonts w:ascii="黑体" w:hAnsi="黑体" w:cs="黑体" w:eastAsia="黑体"/>
                <w:b/>
                <w:color w:val="000000"/>
                <w:sz w:val="24"/>
              </w:rPr>
              <w:t>服务人员</w:t>
            </w:r>
            <w:r>
              <w:rPr>
                <w:rFonts w:ascii="黑体" w:hAnsi="黑体" w:cs="黑体" w:eastAsia="黑体"/>
                <w:b/>
                <w:color w:val="000000"/>
                <w:sz w:val="24"/>
              </w:rPr>
              <w:t>及时、足额缴纳社会保险</w:t>
            </w:r>
            <w:r>
              <w:rPr>
                <w:rFonts w:ascii="黑体" w:hAnsi="黑体" w:cs="黑体" w:eastAsia="黑体"/>
                <w:b/>
                <w:color w:val="000000"/>
                <w:sz w:val="24"/>
              </w:rPr>
              <w:t>（</w:t>
            </w:r>
            <w:r>
              <w:rPr>
                <w:rFonts w:ascii="黑体" w:hAnsi="黑体" w:cs="黑体" w:eastAsia="黑体"/>
                <w:b/>
                <w:color w:val="000000"/>
                <w:sz w:val="24"/>
              </w:rPr>
              <w:t>保险不得低于服务期</w:t>
            </w:r>
            <w:r>
              <w:rPr>
                <w:rFonts w:ascii="黑体" w:hAnsi="黑体" w:cs="黑体" w:eastAsia="黑体"/>
                <w:b/>
                <w:color w:val="000000"/>
                <w:sz w:val="24"/>
              </w:rPr>
              <w:t>内</w:t>
            </w:r>
            <w:r>
              <w:rPr>
                <w:rFonts w:ascii="黑体" w:hAnsi="黑体" w:cs="黑体" w:eastAsia="黑体"/>
                <w:b/>
                <w:sz w:val="24"/>
              </w:rPr>
              <w:t>德阳市人民政府</w:t>
            </w:r>
            <w:r>
              <w:rPr>
                <w:rFonts w:ascii="黑体" w:hAnsi="黑体" w:cs="黑体" w:eastAsia="黑体"/>
                <w:b/>
                <w:sz w:val="24"/>
              </w:rPr>
              <w:t>当年</w:t>
            </w:r>
            <w:r>
              <w:rPr>
                <w:rFonts w:ascii="黑体" w:hAnsi="黑体" w:cs="黑体" w:eastAsia="黑体"/>
                <w:b/>
                <w:sz w:val="24"/>
              </w:rPr>
              <w:t>最低缴费标准</w:t>
            </w:r>
            <w:r>
              <w:rPr>
                <w:rFonts w:ascii="黑体" w:hAnsi="黑体" w:cs="黑体" w:eastAsia="黑体"/>
                <w:b/>
                <w:color w:val="000000"/>
                <w:sz w:val="24"/>
              </w:rPr>
              <w:t>）</w:t>
            </w:r>
            <w:r>
              <w:rPr>
                <w:rFonts w:ascii="黑体" w:hAnsi="黑体" w:cs="黑体" w:eastAsia="黑体"/>
                <w:b/>
                <w:color w:val="000000"/>
                <w:sz w:val="24"/>
              </w:rPr>
              <w:t>。</w:t>
            </w:r>
          </w:p>
          <w:p>
            <w:pPr>
              <w:pStyle w:val="null3"/>
              <w:jc w:val="both"/>
            </w:pPr>
          </w:p>
          <w:p>
            <w:pPr>
              <w:pStyle w:val="null3"/>
              <w:jc w:val="both"/>
            </w:pPr>
            <w:r>
              <w:rPr>
                <w:rFonts w:ascii="黑体" w:hAnsi="黑体" w:cs="黑体" w:eastAsia="黑体"/>
                <w:b/>
                <w:sz w:val="24"/>
                <w:shd w:fill="FFFF00" w:val="clear"/>
              </w:rPr>
              <w:t>注：</w:t>
            </w:r>
            <w:r>
              <w:rPr>
                <w:rFonts w:ascii="黑体" w:hAnsi="黑体" w:cs="黑体" w:eastAsia="黑体"/>
                <w:b/>
                <w:sz w:val="24"/>
                <w:shd w:fill="FFFF00" w:val="clear"/>
              </w:rPr>
              <w:t>以上项目服务要求为本次磋商采购活动体现满足采购需求、质量和服务相等的采购项目最低要求，供应商磋商完成后须完全满足，磋商后不满足将作无效磋商处理。</w:t>
            </w:r>
          </w:p>
        </w:tc>
      </w:tr>
      <w:tr>
        <w:tc>
          <w:tcPr>
            <w:tcW w:type="dxa" w:w="2769"/>
          </w:tcPr>
          <w:p/>
        </w:tc>
        <w:tc>
          <w:tcPr>
            <w:tcW w:type="dxa" w:w="2769"/>
          </w:tcPr>
          <w:p>
            <w:pPr>
              <w:pStyle w:val="null3"/>
            </w:pPr>
            <w:r>
              <w:rPr/>
              <w:t>3</w:t>
            </w:r>
          </w:p>
        </w:tc>
        <w:tc>
          <w:tcPr>
            <w:tcW w:type="dxa" w:w="2769"/>
          </w:tcPr>
          <w:p>
            <w:pPr>
              <w:pStyle w:val="null3"/>
              <w:jc w:val="both"/>
              <w:outlineLvl w:val="1"/>
            </w:pPr>
            <w:r>
              <w:rPr>
                <w:rFonts w:ascii="黑体" w:hAnsi="黑体" w:cs="黑体" w:eastAsia="黑体"/>
                <w:b/>
                <w:sz w:val="28"/>
              </w:rPr>
              <w:t>考核标准</w:t>
            </w:r>
          </w:p>
          <w:p>
            <w:pPr>
              <w:pStyle w:val="null3"/>
              <w:ind w:firstLine="480"/>
              <w:jc w:val="both"/>
            </w:pPr>
            <w:r>
              <w:rPr>
                <w:rFonts w:ascii="黑体" w:hAnsi="黑体" w:cs="黑体" w:eastAsia="黑体"/>
                <w:sz w:val="24"/>
              </w:rPr>
              <w:t>1.考核等级及拨款设定：</w:t>
            </w:r>
          </w:p>
          <w:p>
            <w:pPr>
              <w:pStyle w:val="null3"/>
              <w:ind w:firstLine="480"/>
              <w:jc w:val="both"/>
            </w:pPr>
            <w:r>
              <w:rPr>
                <w:rFonts w:ascii="黑体" w:hAnsi="黑体" w:cs="黑体" w:eastAsia="黑体"/>
                <w:sz w:val="24"/>
              </w:rPr>
              <w:t>采购人依据每月职工对项目服务质量的满意度调查、采购人对成交供应商服务质量考评结果作为拨付成交供应商服务费的依据。</w:t>
            </w:r>
          </w:p>
          <w:p>
            <w:pPr>
              <w:pStyle w:val="null3"/>
              <w:ind w:firstLine="480"/>
              <w:jc w:val="both"/>
            </w:pPr>
            <w:r>
              <w:rPr>
                <w:rFonts w:ascii="黑体" w:hAnsi="黑体" w:cs="黑体" w:eastAsia="黑体"/>
                <w:sz w:val="24"/>
              </w:rPr>
              <w:t>依据每月考核结果，作为拨付当月服务费的依据。</w:t>
            </w:r>
          </w:p>
          <w:p>
            <w:pPr>
              <w:pStyle w:val="null3"/>
              <w:ind w:firstLine="480"/>
              <w:jc w:val="both"/>
            </w:pPr>
            <w:r>
              <w:rPr>
                <w:rFonts w:ascii="黑体" w:hAnsi="黑体" w:cs="黑体" w:eastAsia="黑体"/>
                <w:sz w:val="24"/>
              </w:rPr>
              <w:t>①考核分数为90分（含）及以上则全额拨付当月服务费；</w:t>
            </w:r>
          </w:p>
          <w:p>
            <w:pPr>
              <w:pStyle w:val="null3"/>
              <w:ind w:firstLine="480"/>
              <w:jc w:val="both"/>
            </w:pPr>
            <w:r>
              <w:rPr>
                <w:rFonts w:ascii="黑体" w:hAnsi="黑体" w:cs="黑体" w:eastAsia="黑体"/>
                <w:sz w:val="24"/>
              </w:rPr>
              <w:t>②考核分数为85分（含）-90分(不含)扣减当月5%服务费；</w:t>
            </w:r>
          </w:p>
          <w:p>
            <w:pPr>
              <w:pStyle w:val="null3"/>
              <w:ind w:firstLine="480"/>
              <w:jc w:val="both"/>
            </w:pPr>
            <w:r>
              <w:rPr>
                <w:rFonts w:ascii="黑体" w:hAnsi="黑体" w:cs="黑体" w:eastAsia="黑体"/>
                <w:sz w:val="24"/>
              </w:rPr>
              <w:t>③考核分数为80分（含）-85分(不含)扣减当月8%服务费；</w:t>
            </w:r>
          </w:p>
          <w:p>
            <w:pPr>
              <w:pStyle w:val="null3"/>
              <w:ind w:firstLine="480"/>
              <w:jc w:val="both"/>
            </w:pPr>
            <w:r>
              <w:rPr>
                <w:rFonts w:ascii="黑体" w:hAnsi="黑体" w:cs="黑体" w:eastAsia="黑体"/>
                <w:sz w:val="24"/>
              </w:rPr>
              <w:t>④考核分数为70分（含）-80分(不含)扣减当月10%服务费；</w:t>
            </w:r>
          </w:p>
          <w:p>
            <w:pPr>
              <w:pStyle w:val="null3"/>
              <w:ind w:firstLine="480"/>
              <w:jc w:val="both"/>
            </w:pPr>
            <w:r>
              <w:rPr>
                <w:rFonts w:ascii="黑体" w:hAnsi="黑体" w:cs="黑体" w:eastAsia="黑体"/>
                <w:sz w:val="24"/>
              </w:rPr>
              <w:t>⑤考核分数为70分（不含）及以下，责令其限期整改。视其整改情况决定是否继续拨付服务费。限期整改合格的，扣减当月12%服务费。不合格的，直至整改合格后，扣减当月15%服务费。</w:t>
            </w:r>
          </w:p>
          <w:p>
            <w:pPr>
              <w:pStyle w:val="null3"/>
              <w:ind w:firstLine="480"/>
              <w:jc w:val="both"/>
            </w:pPr>
            <w:r>
              <w:rPr>
                <w:rFonts w:ascii="黑体" w:hAnsi="黑体" w:cs="黑体" w:eastAsia="黑体"/>
                <w:sz w:val="24"/>
              </w:rPr>
              <w:t>⑥以上所有扣减费用均不再返还。</w:t>
            </w:r>
          </w:p>
          <w:p>
            <w:pPr>
              <w:pStyle w:val="null3"/>
              <w:ind w:firstLine="480"/>
              <w:jc w:val="both"/>
            </w:pPr>
            <w:r>
              <w:rPr>
                <w:rFonts w:ascii="黑体" w:hAnsi="黑体" w:cs="黑体" w:eastAsia="黑体"/>
                <w:sz w:val="24"/>
              </w:rPr>
              <w:t>⑦每季度以转账的方式一次性支付上一季度考核后服务费用。</w:t>
            </w:r>
          </w:p>
          <w:p>
            <w:pPr>
              <w:pStyle w:val="null3"/>
              <w:ind w:firstLine="480"/>
              <w:jc w:val="both"/>
            </w:pPr>
            <w:r>
              <w:rPr>
                <w:rFonts w:ascii="黑体" w:hAnsi="黑体" w:cs="黑体" w:eastAsia="黑体"/>
                <w:sz w:val="24"/>
              </w:rPr>
              <w:t>考核评分细则：</w:t>
            </w:r>
          </w:p>
          <w:tbl>
            <w:tblPr>
              <w:tblBorders>
                <w:top w:val="none" w:color="000000" w:sz="4"/>
                <w:left w:val="none" w:color="000000" w:sz="4"/>
                <w:bottom w:val="none" w:color="000000" w:sz="4"/>
                <w:right w:val="none" w:color="000000" w:sz="4"/>
                <w:insideH w:val="none"/>
                <w:insideV w:val="none"/>
              </w:tblBorders>
            </w:tblPr>
            <w:tblGrid>
              <w:gridCol w:w="222"/>
              <w:gridCol w:w="370"/>
              <w:gridCol w:w="1509"/>
              <w:gridCol w:w="243"/>
              <w:gridCol w:w="201"/>
            </w:tblGrid>
            <w:tr>
              <w:tc>
                <w:tcPr>
                  <w:tcW w:type="dxa" w:w="222"/>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黑体" w:hAnsi="黑体" w:cs="黑体" w:eastAsia="黑体"/>
                      <w:sz w:val="24"/>
                    </w:rPr>
                    <w:t>一级指标</w:t>
                  </w:r>
                </w:p>
              </w:tc>
              <w:tc>
                <w:tcPr>
                  <w:tcW w:type="dxa" w:w="370"/>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黑体" w:hAnsi="黑体" w:cs="黑体" w:eastAsia="黑体"/>
                      <w:sz w:val="24"/>
                    </w:rPr>
                    <w:t>二级指标</w:t>
                  </w:r>
                </w:p>
              </w:tc>
              <w:tc>
                <w:tcPr>
                  <w:tcW w:type="dxa" w:w="1509"/>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黑体" w:hAnsi="黑体" w:cs="黑体" w:eastAsia="黑体"/>
                      <w:sz w:val="24"/>
                    </w:rPr>
                    <w:t>考核内容</w:t>
                  </w:r>
                  <w:r>
                    <w:rPr>
                      <w:rFonts w:ascii="黑体" w:hAnsi="黑体" w:cs="黑体" w:eastAsia="黑体"/>
                      <w:sz w:val="24"/>
                    </w:rPr>
                    <w:t>（满分</w:t>
                  </w:r>
                  <w:r>
                    <w:rPr>
                      <w:rFonts w:ascii="黑体" w:hAnsi="黑体" w:cs="黑体" w:eastAsia="黑体"/>
                      <w:sz w:val="24"/>
                    </w:rPr>
                    <w:t>100分</w:t>
                  </w:r>
                  <w:r>
                    <w:rPr>
                      <w:rFonts w:ascii="黑体" w:hAnsi="黑体" w:cs="黑体" w:eastAsia="黑体"/>
                      <w:sz w:val="24"/>
                    </w:rPr>
                    <w:t>）</w:t>
                  </w:r>
                </w:p>
              </w:tc>
              <w:tc>
                <w:tcPr>
                  <w:tcW w:type="dxa" w:w="243"/>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黑体" w:hAnsi="黑体" w:cs="黑体" w:eastAsia="黑体"/>
                      <w:sz w:val="24"/>
                    </w:rPr>
                    <w:t>分值</w:t>
                  </w:r>
                </w:p>
              </w:tc>
              <w:tc>
                <w:tcPr>
                  <w:tcW w:type="dxa" w:w="201"/>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黑体" w:hAnsi="黑体" w:cs="黑体" w:eastAsia="黑体"/>
                      <w:sz w:val="24"/>
                    </w:rPr>
                    <w:t>考核得分</w:t>
                  </w:r>
                </w:p>
              </w:tc>
            </w:tr>
            <w:tr>
              <w:tc>
                <w:tcPr>
                  <w:tcW w:type="dxa" w:w="222"/>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黑体" w:hAnsi="黑体" w:cs="黑体" w:eastAsia="黑体"/>
                      <w:sz w:val="24"/>
                    </w:rPr>
                    <w:t>考核</w:t>
                  </w:r>
                </w:p>
                <w:p>
                  <w:pPr>
                    <w:pStyle w:val="null3"/>
                    <w:jc w:val="center"/>
                  </w:pPr>
                  <w:r>
                    <w:rPr>
                      <w:rFonts w:ascii="黑体" w:hAnsi="黑体" w:cs="黑体" w:eastAsia="黑体"/>
                      <w:sz w:val="24"/>
                    </w:rPr>
                    <w:t>项目</w:t>
                  </w:r>
                </w:p>
              </w:tc>
              <w:tc>
                <w:tcPr>
                  <w:tcW w:type="dxa" w:w="370"/>
                  <w:vMerge w:val="restart"/>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黑体" w:hAnsi="黑体" w:cs="黑体" w:eastAsia="黑体"/>
                      <w:sz w:val="24"/>
                    </w:rPr>
                    <w:t>服务</w:t>
                  </w:r>
                  <w:r>
                    <w:rPr>
                      <w:rFonts w:ascii="黑体" w:hAnsi="黑体" w:cs="黑体" w:eastAsia="黑体"/>
                      <w:sz w:val="24"/>
                    </w:rPr>
                    <w:t>人员遵守纪律</w:t>
                  </w:r>
                </w:p>
                <w:p>
                  <w:pPr>
                    <w:pStyle w:val="null3"/>
                    <w:jc w:val="center"/>
                  </w:pPr>
                  <w:r>
                    <w:rPr>
                      <w:rFonts w:ascii="黑体" w:hAnsi="黑体" w:cs="黑体" w:eastAsia="黑体"/>
                      <w:sz w:val="24"/>
                    </w:rPr>
                    <w:t>（</w:t>
                  </w:r>
                  <w:r>
                    <w:rPr>
                      <w:rFonts w:ascii="黑体" w:hAnsi="黑体" w:cs="黑体" w:eastAsia="黑体"/>
                      <w:sz w:val="24"/>
                    </w:rPr>
                    <w:t>20</w:t>
                  </w:r>
                  <w:r>
                    <w:rPr>
                      <w:rFonts w:ascii="黑体" w:hAnsi="黑体" w:cs="黑体" w:eastAsia="黑体"/>
                      <w:sz w:val="24"/>
                    </w:rPr>
                    <w:t>分）</w:t>
                  </w:r>
                </w:p>
              </w:tc>
              <w:tc>
                <w:tcPr>
                  <w:tcW w:type="dxa" w:w="15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黑体" w:hAnsi="黑体" w:cs="黑体" w:eastAsia="黑体"/>
                      <w:sz w:val="24"/>
                    </w:rPr>
                    <w:t>服从</w:t>
                  </w:r>
                  <w:r>
                    <w:rPr>
                      <w:rFonts w:ascii="黑体" w:hAnsi="黑体" w:cs="黑体" w:eastAsia="黑体"/>
                      <w:sz w:val="24"/>
                    </w:rPr>
                    <w:t>采购人</w:t>
                  </w:r>
                  <w:r>
                    <w:rPr>
                      <w:rFonts w:ascii="黑体" w:hAnsi="黑体" w:cs="黑体" w:eastAsia="黑体"/>
                      <w:sz w:val="24"/>
                    </w:rPr>
                    <w:t>管理，按规定履行职责。</w:t>
                  </w:r>
                </w:p>
              </w:tc>
              <w:tc>
                <w:tcPr>
                  <w:tcW w:type="dxa" w:w="243"/>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黑体" w:hAnsi="黑体" w:cs="黑体" w:eastAsia="黑体"/>
                      <w:sz w:val="24"/>
                    </w:rPr>
                    <w:t>10</w:t>
                  </w:r>
                  <w:r>
                    <w:rPr>
                      <w:rFonts w:ascii="黑体" w:hAnsi="黑体" w:cs="黑体" w:eastAsia="黑体"/>
                      <w:sz w:val="24"/>
                    </w:rPr>
                    <w:t>分</w:t>
                  </w:r>
                </w:p>
              </w:tc>
              <w:tc>
                <w:tcPr>
                  <w:tcW w:type="dxa" w:w="20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p>
              </w:tc>
            </w:tr>
            <w:tr>
              <w:tc>
                <w:tcPr>
                  <w:tcW w:type="dxa" w:w="222"/>
                  <w:vMerge/>
                  <w:tcBorders>
                    <w:top w:val="none" w:color="000000" w:sz="4"/>
                    <w:left w:val="single" w:color="000000" w:sz="4"/>
                    <w:bottom w:val="single" w:color="000000" w:sz="4"/>
                    <w:right w:val="single" w:color="000000" w:sz="4"/>
                  </w:tcBorders>
                </w:tcPr>
                <w:p/>
              </w:tc>
              <w:tc>
                <w:tcPr>
                  <w:tcW w:type="dxa" w:w="370"/>
                  <w:vMerge/>
                  <w:tcBorders>
                    <w:top w:val="none" w:color="000000" w:sz="4"/>
                    <w:left w:val="none" w:color="000000" w:sz="4"/>
                    <w:bottom w:val="single" w:color="000000" w:sz="4"/>
                    <w:right w:val="single" w:color="000000" w:sz="4"/>
                  </w:tcBorders>
                </w:tcPr>
                <w:p/>
              </w:tc>
              <w:tc>
                <w:tcPr>
                  <w:tcW w:type="dxa" w:w="15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黑体" w:hAnsi="黑体" w:cs="黑体" w:eastAsia="黑体"/>
                      <w:sz w:val="24"/>
                    </w:rPr>
                    <w:t>遵守有关规章制度和规定，按时交接班，不迟到、早退、脱岗，不擅自调换班次、岗位。</w:t>
                  </w:r>
                </w:p>
              </w:tc>
              <w:tc>
                <w:tcPr>
                  <w:tcW w:type="dxa" w:w="243"/>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黑体" w:hAnsi="黑体" w:cs="黑体" w:eastAsia="黑体"/>
                      <w:sz w:val="24"/>
                    </w:rPr>
                    <w:t>10</w:t>
                  </w:r>
                  <w:r>
                    <w:rPr>
                      <w:rFonts w:ascii="黑体" w:hAnsi="黑体" w:cs="黑体" w:eastAsia="黑体"/>
                      <w:sz w:val="24"/>
                    </w:rPr>
                    <w:t>分</w:t>
                  </w:r>
                </w:p>
              </w:tc>
              <w:tc>
                <w:tcPr>
                  <w:tcW w:type="dxa" w:w="20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p>
              </w:tc>
            </w:tr>
            <w:tr>
              <w:tc>
                <w:tcPr>
                  <w:tcW w:type="dxa" w:w="222"/>
                  <w:vMerge/>
                  <w:tcBorders>
                    <w:top w:val="none" w:color="000000" w:sz="4"/>
                    <w:left w:val="single" w:color="000000" w:sz="4"/>
                    <w:bottom w:val="single" w:color="000000" w:sz="4"/>
                    <w:right w:val="single" w:color="000000" w:sz="4"/>
                  </w:tcBorders>
                </w:tcPr>
                <w:p/>
              </w:tc>
              <w:tc>
                <w:tcPr>
                  <w:tcW w:type="dxa" w:w="370"/>
                  <w:vMerge w:val="restart"/>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黑体" w:hAnsi="黑体" w:cs="黑体" w:eastAsia="黑体"/>
                      <w:sz w:val="24"/>
                    </w:rPr>
                    <w:t>服务</w:t>
                  </w:r>
                  <w:r>
                    <w:rPr>
                      <w:rFonts w:ascii="黑体" w:hAnsi="黑体" w:cs="黑体" w:eastAsia="黑体"/>
                      <w:sz w:val="24"/>
                    </w:rPr>
                    <w:t>人员保持形象</w:t>
                  </w:r>
                </w:p>
                <w:p>
                  <w:pPr>
                    <w:pStyle w:val="null3"/>
                    <w:jc w:val="center"/>
                  </w:pPr>
                  <w:r>
                    <w:rPr>
                      <w:rFonts w:ascii="黑体" w:hAnsi="黑体" w:cs="黑体" w:eastAsia="黑体"/>
                      <w:sz w:val="24"/>
                    </w:rPr>
                    <w:t>（</w:t>
                  </w:r>
                  <w:r>
                    <w:rPr>
                      <w:rFonts w:ascii="黑体" w:hAnsi="黑体" w:cs="黑体" w:eastAsia="黑体"/>
                      <w:sz w:val="24"/>
                    </w:rPr>
                    <w:t>10</w:t>
                  </w:r>
                  <w:r>
                    <w:rPr>
                      <w:rFonts w:ascii="黑体" w:hAnsi="黑体" w:cs="黑体" w:eastAsia="黑体"/>
                      <w:sz w:val="24"/>
                    </w:rPr>
                    <w:t>分）</w:t>
                  </w:r>
                </w:p>
              </w:tc>
              <w:tc>
                <w:tcPr>
                  <w:tcW w:type="dxa" w:w="15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黑体" w:hAnsi="黑体" w:cs="黑体" w:eastAsia="黑体"/>
                      <w:sz w:val="24"/>
                    </w:rPr>
                    <w:t>按规定着装、配戴徽章或标记、携带保安装备，值勤时衣着整齐、精神饱满</w:t>
                  </w:r>
                  <w:r>
                    <w:rPr>
                      <w:rFonts w:ascii="黑体" w:hAnsi="黑体" w:cs="黑体" w:eastAsia="黑体"/>
                      <w:sz w:val="24"/>
                    </w:rPr>
                    <w:t>，</w:t>
                  </w:r>
                  <w:r>
                    <w:rPr>
                      <w:rFonts w:ascii="黑体" w:hAnsi="黑体" w:cs="黑体" w:eastAsia="黑体"/>
                      <w:sz w:val="24"/>
                    </w:rPr>
                    <w:t>热情、规范接待来访人员。</w:t>
                  </w:r>
                </w:p>
              </w:tc>
              <w:tc>
                <w:tcPr>
                  <w:tcW w:type="dxa" w:w="243"/>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黑体" w:hAnsi="黑体" w:cs="黑体" w:eastAsia="黑体"/>
                      <w:sz w:val="24"/>
                    </w:rPr>
                    <w:t>5</w:t>
                  </w:r>
                  <w:r>
                    <w:rPr>
                      <w:rFonts w:ascii="黑体" w:hAnsi="黑体" w:cs="黑体" w:eastAsia="黑体"/>
                      <w:sz w:val="24"/>
                    </w:rPr>
                    <w:t>分</w:t>
                  </w:r>
                </w:p>
              </w:tc>
              <w:tc>
                <w:tcPr>
                  <w:tcW w:type="dxa" w:w="20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p>
              </w:tc>
            </w:tr>
            <w:tr>
              <w:tc>
                <w:tcPr>
                  <w:tcW w:type="dxa" w:w="222"/>
                  <w:vMerge/>
                  <w:tcBorders>
                    <w:top w:val="none" w:color="000000" w:sz="4"/>
                    <w:left w:val="single" w:color="000000" w:sz="4"/>
                    <w:bottom w:val="single" w:color="000000" w:sz="4"/>
                    <w:right w:val="single" w:color="000000" w:sz="4"/>
                  </w:tcBorders>
                </w:tcPr>
                <w:p/>
              </w:tc>
              <w:tc>
                <w:tcPr>
                  <w:tcW w:type="dxa" w:w="370"/>
                  <w:vMerge/>
                  <w:tcBorders>
                    <w:top w:val="none" w:color="000000" w:sz="4"/>
                    <w:left w:val="none" w:color="000000" w:sz="4"/>
                    <w:bottom w:val="single" w:color="000000" w:sz="4"/>
                    <w:right w:val="single" w:color="000000" w:sz="4"/>
                  </w:tcBorders>
                </w:tcPr>
                <w:p/>
              </w:tc>
              <w:tc>
                <w:tcPr>
                  <w:tcW w:type="dxa" w:w="15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黑体" w:hAnsi="黑体" w:cs="黑体" w:eastAsia="黑体"/>
                      <w:sz w:val="24"/>
                    </w:rPr>
                    <w:t>值班室物品有序摆放，不吸烟、不饮酒，不带无关的人进入并长时间滞留。</w:t>
                  </w:r>
                </w:p>
              </w:tc>
              <w:tc>
                <w:tcPr>
                  <w:tcW w:type="dxa" w:w="243"/>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黑体" w:hAnsi="黑体" w:cs="黑体" w:eastAsia="黑体"/>
                      <w:sz w:val="24"/>
                    </w:rPr>
                    <w:t>5</w:t>
                  </w:r>
                  <w:r>
                    <w:rPr>
                      <w:rFonts w:ascii="黑体" w:hAnsi="黑体" w:cs="黑体" w:eastAsia="黑体"/>
                      <w:sz w:val="24"/>
                    </w:rPr>
                    <w:t>分</w:t>
                  </w:r>
                </w:p>
              </w:tc>
              <w:tc>
                <w:tcPr>
                  <w:tcW w:type="dxa" w:w="20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p>
              </w:tc>
            </w:tr>
            <w:tr>
              <w:tc>
                <w:tcPr>
                  <w:tcW w:type="dxa" w:w="222"/>
                  <w:vMerge/>
                  <w:tcBorders>
                    <w:top w:val="none" w:color="000000" w:sz="4"/>
                    <w:left w:val="single" w:color="000000" w:sz="4"/>
                    <w:bottom w:val="single" w:color="000000" w:sz="4"/>
                    <w:right w:val="single" w:color="000000" w:sz="4"/>
                  </w:tcBorders>
                </w:tcPr>
                <w:p/>
              </w:tc>
              <w:tc>
                <w:tcPr>
                  <w:tcW w:type="dxa" w:w="370"/>
                  <w:vMerge w:val="restart"/>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黑体" w:hAnsi="黑体" w:cs="黑体" w:eastAsia="黑体"/>
                      <w:sz w:val="24"/>
                    </w:rPr>
                    <w:t>服务</w:t>
                  </w:r>
                  <w:r>
                    <w:rPr>
                      <w:rFonts w:ascii="黑体" w:hAnsi="黑体" w:cs="黑体" w:eastAsia="黑体"/>
                      <w:sz w:val="24"/>
                    </w:rPr>
                    <w:t>人员认真履责</w:t>
                  </w:r>
                </w:p>
                <w:p>
                  <w:pPr>
                    <w:pStyle w:val="null3"/>
                    <w:jc w:val="center"/>
                  </w:pPr>
                  <w:r>
                    <w:rPr>
                      <w:rFonts w:ascii="黑体" w:hAnsi="黑体" w:cs="黑体" w:eastAsia="黑体"/>
                      <w:sz w:val="24"/>
                    </w:rPr>
                    <w:t>（</w:t>
                  </w:r>
                  <w:r>
                    <w:rPr>
                      <w:rFonts w:ascii="黑体" w:hAnsi="黑体" w:cs="黑体" w:eastAsia="黑体"/>
                      <w:sz w:val="24"/>
                    </w:rPr>
                    <w:t>50</w:t>
                  </w:r>
                  <w:r>
                    <w:rPr>
                      <w:rFonts w:ascii="黑体" w:hAnsi="黑体" w:cs="黑体" w:eastAsia="黑体"/>
                      <w:sz w:val="24"/>
                    </w:rPr>
                    <w:t>分）</w:t>
                  </w:r>
                </w:p>
              </w:tc>
              <w:tc>
                <w:tcPr>
                  <w:tcW w:type="dxa" w:w="15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黑体" w:hAnsi="黑体" w:cs="黑体" w:eastAsia="黑体"/>
                      <w:sz w:val="24"/>
                    </w:rPr>
                    <w:t>按规定登记出入大门的人员和车辆，对外来人员进行询问，查验有效证件并办理登记手续，及时与有关人员联系并填写相关登记册，禁止无关人员和车辆进入</w:t>
                  </w:r>
                  <w:r>
                    <w:rPr>
                      <w:rFonts w:ascii="黑体" w:hAnsi="黑体" w:cs="黑体" w:eastAsia="黑体"/>
                      <w:sz w:val="24"/>
                    </w:rPr>
                    <w:t>院</w:t>
                  </w:r>
                  <w:r>
                    <w:rPr>
                      <w:rFonts w:ascii="黑体" w:hAnsi="黑体" w:cs="黑体" w:eastAsia="黑体"/>
                      <w:sz w:val="24"/>
                    </w:rPr>
                    <w:t>内</w:t>
                  </w:r>
                  <w:r>
                    <w:rPr>
                      <w:rFonts w:ascii="黑体" w:hAnsi="黑体" w:cs="黑体" w:eastAsia="黑体"/>
                      <w:sz w:val="24"/>
                    </w:rPr>
                    <w:t>。指挥、疏导车辆停放在指定位置，保证出入畅通。对外来人员及车辆不认真进行审查登记、随意放行的，每发现一次扣</w:t>
                  </w:r>
                  <w:r>
                    <w:rPr>
                      <w:rFonts w:ascii="黑体" w:hAnsi="黑体" w:cs="黑体" w:eastAsia="黑体"/>
                      <w:sz w:val="24"/>
                    </w:rPr>
                    <w:t>3</w:t>
                  </w:r>
                  <w:r>
                    <w:rPr>
                      <w:rFonts w:ascii="黑体" w:hAnsi="黑体" w:cs="黑体" w:eastAsia="黑体"/>
                      <w:sz w:val="24"/>
                    </w:rPr>
                    <w:t>分。</w:t>
                  </w:r>
                </w:p>
              </w:tc>
              <w:tc>
                <w:tcPr>
                  <w:tcW w:type="dxa" w:w="243"/>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黑体" w:hAnsi="黑体" w:cs="黑体" w:eastAsia="黑体"/>
                      <w:sz w:val="24"/>
                    </w:rPr>
                    <w:t>1</w:t>
                  </w:r>
                  <w:r>
                    <w:rPr>
                      <w:rFonts w:ascii="黑体" w:hAnsi="黑体" w:cs="黑体" w:eastAsia="黑体"/>
                      <w:sz w:val="24"/>
                    </w:rPr>
                    <w:t>0</w:t>
                  </w:r>
                  <w:r>
                    <w:rPr>
                      <w:rFonts w:ascii="黑体" w:hAnsi="黑体" w:cs="黑体" w:eastAsia="黑体"/>
                      <w:sz w:val="24"/>
                    </w:rPr>
                    <w:t>分</w:t>
                  </w:r>
                </w:p>
              </w:tc>
              <w:tc>
                <w:tcPr>
                  <w:tcW w:type="dxa" w:w="20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p>
              </w:tc>
            </w:tr>
            <w:tr>
              <w:tc>
                <w:tcPr>
                  <w:tcW w:type="dxa" w:w="222"/>
                  <w:vMerge/>
                  <w:tcBorders>
                    <w:top w:val="none" w:color="000000" w:sz="4"/>
                    <w:left w:val="single" w:color="000000" w:sz="4"/>
                    <w:bottom w:val="single" w:color="000000" w:sz="4"/>
                    <w:right w:val="single" w:color="000000" w:sz="4"/>
                  </w:tcBorders>
                </w:tcPr>
                <w:p/>
              </w:tc>
              <w:tc>
                <w:tcPr>
                  <w:tcW w:type="dxa" w:w="370"/>
                  <w:vMerge/>
                  <w:tcBorders>
                    <w:top w:val="none" w:color="000000" w:sz="4"/>
                    <w:left w:val="none" w:color="000000" w:sz="4"/>
                    <w:bottom w:val="single" w:color="000000" w:sz="4"/>
                    <w:right w:val="single" w:color="000000" w:sz="4"/>
                  </w:tcBorders>
                </w:tcPr>
                <w:p/>
              </w:tc>
              <w:tc>
                <w:tcPr>
                  <w:tcW w:type="dxa" w:w="15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黑体" w:hAnsi="黑体" w:cs="黑体" w:eastAsia="黑体"/>
                      <w:sz w:val="24"/>
                    </w:rPr>
                    <w:t>禁止外来人员将易燃易爆物品、有毒物品、管制器具等危险物品带入</w:t>
                  </w:r>
                  <w:r>
                    <w:rPr>
                      <w:rFonts w:ascii="黑体" w:hAnsi="黑体" w:cs="黑体" w:eastAsia="黑体"/>
                      <w:sz w:val="24"/>
                    </w:rPr>
                    <w:t>院内</w:t>
                  </w:r>
                  <w:r>
                    <w:rPr>
                      <w:rFonts w:ascii="黑体" w:hAnsi="黑体" w:cs="黑体" w:eastAsia="黑体"/>
                      <w:sz w:val="24"/>
                    </w:rPr>
                    <w:t>，发现情况要及时阻止，并向</w:t>
                  </w:r>
                  <w:r>
                    <w:rPr>
                      <w:rFonts w:ascii="黑体" w:hAnsi="黑体" w:cs="黑体" w:eastAsia="黑体"/>
                      <w:sz w:val="24"/>
                    </w:rPr>
                    <w:t>上级报告</w:t>
                  </w:r>
                  <w:r>
                    <w:rPr>
                      <w:rFonts w:ascii="黑体" w:hAnsi="黑体" w:cs="黑体" w:eastAsia="黑体"/>
                      <w:sz w:val="24"/>
                    </w:rPr>
                    <w:t>，并协助妥善处理。发现上述情况未及时制止或报告的，每次扣</w:t>
                  </w:r>
                  <w:r>
                    <w:rPr>
                      <w:rFonts w:ascii="黑体" w:hAnsi="黑体" w:cs="黑体" w:eastAsia="黑体"/>
                      <w:sz w:val="24"/>
                    </w:rPr>
                    <w:t>3</w:t>
                  </w:r>
                  <w:r>
                    <w:rPr>
                      <w:rFonts w:ascii="黑体" w:hAnsi="黑体" w:cs="黑体" w:eastAsia="黑体"/>
                      <w:sz w:val="24"/>
                    </w:rPr>
                    <w:t>分。</w:t>
                  </w:r>
                </w:p>
              </w:tc>
              <w:tc>
                <w:tcPr>
                  <w:tcW w:type="dxa" w:w="243"/>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黑体" w:hAnsi="黑体" w:cs="黑体" w:eastAsia="黑体"/>
                      <w:sz w:val="24"/>
                    </w:rPr>
                    <w:t>1</w:t>
                  </w:r>
                  <w:r>
                    <w:rPr>
                      <w:rFonts w:ascii="黑体" w:hAnsi="黑体" w:cs="黑体" w:eastAsia="黑体"/>
                      <w:sz w:val="24"/>
                    </w:rPr>
                    <w:t>0</w:t>
                  </w:r>
                  <w:r>
                    <w:rPr>
                      <w:rFonts w:ascii="黑体" w:hAnsi="黑体" w:cs="黑体" w:eastAsia="黑体"/>
                      <w:sz w:val="24"/>
                    </w:rPr>
                    <w:t>分</w:t>
                  </w:r>
                </w:p>
              </w:tc>
              <w:tc>
                <w:tcPr>
                  <w:tcW w:type="dxa" w:w="20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p>
              </w:tc>
            </w:tr>
            <w:tr>
              <w:tc>
                <w:tcPr>
                  <w:tcW w:type="dxa" w:w="222"/>
                  <w:vMerge/>
                  <w:tcBorders>
                    <w:top w:val="none" w:color="000000" w:sz="4"/>
                    <w:left w:val="single" w:color="000000" w:sz="4"/>
                    <w:bottom w:val="single" w:color="000000" w:sz="4"/>
                    <w:right w:val="single" w:color="000000" w:sz="4"/>
                  </w:tcBorders>
                </w:tcPr>
                <w:p/>
              </w:tc>
              <w:tc>
                <w:tcPr>
                  <w:tcW w:type="dxa" w:w="370"/>
                  <w:vMerge/>
                  <w:tcBorders>
                    <w:top w:val="none" w:color="000000" w:sz="4"/>
                    <w:left w:val="none" w:color="000000" w:sz="4"/>
                    <w:bottom w:val="single" w:color="000000" w:sz="4"/>
                    <w:right w:val="single" w:color="000000" w:sz="4"/>
                  </w:tcBorders>
                </w:tcPr>
                <w:p/>
              </w:tc>
              <w:tc>
                <w:tcPr>
                  <w:tcW w:type="dxa" w:w="15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黑体" w:hAnsi="黑体" w:cs="黑体" w:eastAsia="黑体"/>
                      <w:sz w:val="24"/>
                    </w:rPr>
                    <w:t>熟悉巡逻区域的基本情况，巡逻时不影响</w:t>
                  </w:r>
                  <w:r>
                    <w:rPr>
                      <w:rFonts w:ascii="黑体" w:hAnsi="黑体" w:cs="黑体" w:eastAsia="黑体"/>
                      <w:sz w:val="24"/>
                    </w:rPr>
                    <w:t>采购人</w:t>
                  </w:r>
                  <w:r>
                    <w:rPr>
                      <w:rFonts w:ascii="黑体" w:hAnsi="黑体" w:cs="黑体" w:eastAsia="黑体"/>
                      <w:sz w:val="24"/>
                    </w:rPr>
                    <w:t>的正常工作，认真盘查可疑人员，及时将闲杂人员劝离，发现问题及时向</w:t>
                  </w:r>
                  <w:r>
                    <w:rPr>
                      <w:rFonts w:ascii="黑体" w:hAnsi="黑体" w:cs="黑体" w:eastAsia="黑体"/>
                      <w:sz w:val="24"/>
                    </w:rPr>
                    <w:t>采购人</w:t>
                  </w:r>
                  <w:r>
                    <w:rPr>
                      <w:rFonts w:ascii="黑体" w:hAnsi="黑体" w:cs="黑体" w:eastAsia="黑体"/>
                      <w:sz w:val="24"/>
                    </w:rPr>
                    <w:t>反映，每次巡查后应做好巡查记录。</w:t>
                  </w:r>
                </w:p>
              </w:tc>
              <w:tc>
                <w:tcPr>
                  <w:tcW w:type="dxa" w:w="243"/>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黑体" w:hAnsi="黑体" w:cs="黑体" w:eastAsia="黑体"/>
                      <w:sz w:val="24"/>
                    </w:rPr>
                    <w:t>10分</w:t>
                  </w:r>
                </w:p>
              </w:tc>
              <w:tc>
                <w:tcPr>
                  <w:tcW w:type="dxa" w:w="20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p>
              </w:tc>
            </w:tr>
            <w:tr>
              <w:tc>
                <w:tcPr>
                  <w:tcW w:type="dxa" w:w="222"/>
                  <w:vMerge/>
                  <w:tcBorders>
                    <w:top w:val="none" w:color="000000" w:sz="4"/>
                    <w:left w:val="single" w:color="000000" w:sz="4"/>
                    <w:bottom w:val="single" w:color="000000" w:sz="4"/>
                    <w:right w:val="single" w:color="000000" w:sz="4"/>
                  </w:tcBorders>
                </w:tcPr>
                <w:p/>
              </w:tc>
              <w:tc>
                <w:tcPr>
                  <w:tcW w:type="dxa" w:w="370"/>
                  <w:vMerge/>
                  <w:tcBorders>
                    <w:top w:val="none" w:color="000000" w:sz="4"/>
                    <w:left w:val="none" w:color="000000" w:sz="4"/>
                    <w:bottom w:val="single" w:color="000000" w:sz="4"/>
                    <w:right w:val="single" w:color="000000" w:sz="4"/>
                  </w:tcBorders>
                </w:tcPr>
                <w:p/>
              </w:tc>
              <w:tc>
                <w:tcPr>
                  <w:tcW w:type="dxa" w:w="15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黑体" w:hAnsi="黑体" w:cs="黑体" w:eastAsia="黑体"/>
                      <w:sz w:val="24"/>
                    </w:rPr>
                    <w:t>通过监控系统监视</w:t>
                  </w:r>
                  <w:r>
                    <w:rPr>
                      <w:rFonts w:ascii="黑体" w:hAnsi="黑体" w:cs="黑体" w:eastAsia="黑体"/>
                      <w:sz w:val="24"/>
                    </w:rPr>
                    <w:t>管理区域</w:t>
                  </w:r>
                  <w:r>
                    <w:rPr>
                      <w:rFonts w:ascii="黑体" w:hAnsi="黑体" w:cs="黑体" w:eastAsia="黑体"/>
                      <w:sz w:val="24"/>
                    </w:rPr>
                    <w:t>情况，认真做好当班记录，发现特殊情况或突发事件，及时向</w:t>
                  </w:r>
                  <w:r>
                    <w:rPr>
                      <w:rFonts w:ascii="黑体" w:hAnsi="黑体" w:cs="黑体" w:eastAsia="黑体"/>
                      <w:sz w:val="24"/>
                    </w:rPr>
                    <w:t>采购人</w:t>
                  </w:r>
                  <w:r>
                    <w:rPr>
                      <w:rFonts w:ascii="黑体" w:hAnsi="黑体" w:cs="黑体" w:eastAsia="黑体"/>
                      <w:sz w:val="24"/>
                    </w:rPr>
                    <w:t>报告。</w:t>
                  </w:r>
                </w:p>
              </w:tc>
              <w:tc>
                <w:tcPr>
                  <w:tcW w:type="dxa" w:w="243"/>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黑体" w:hAnsi="黑体" w:cs="黑体" w:eastAsia="黑体"/>
                      <w:sz w:val="24"/>
                    </w:rPr>
                    <w:t>5分</w:t>
                  </w:r>
                </w:p>
              </w:tc>
              <w:tc>
                <w:tcPr>
                  <w:tcW w:type="dxa" w:w="20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p>
              </w:tc>
            </w:tr>
            <w:tr>
              <w:tc>
                <w:tcPr>
                  <w:tcW w:type="dxa" w:w="222"/>
                  <w:vMerge/>
                  <w:tcBorders>
                    <w:top w:val="none" w:color="000000" w:sz="4"/>
                    <w:left w:val="single" w:color="000000" w:sz="4"/>
                    <w:bottom w:val="single" w:color="000000" w:sz="4"/>
                    <w:right w:val="single" w:color="000000" w:sz="4"/>
                  </w:tcBorders>
                </w:tcPr>
                <w:p/>
              </w:tc>
              <w:tc>
                <w:tcPr>
                  <w:tcW w:type="dxa" w:w="370"/>
                  <w:vMerge/>
                  <w:tcBorders>
                    <w:top w:val="none" w:color="000000" w:sz="4"/>
                    <w:left w:val="none" w:color="000000" w:sz="4"/>
                    <w:bottom w:val="single" w:color="000000" w:sz="4"/>
                    <w:right w:val="single" w:color="000000" w:sz="4"/>
                  </w:tcBorders>
                </w:tcPr>
                <w:p/>
              </w:tc>
              <w:tc>
                <w:tcPr>
                  <w:tcW w:type="dxa" w:w="15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黑体" w:hAnsi="黑体" w:cs="黑体" w:eastAsia="黑体"/>
                      <w:sz w:val="24"/>
                    </w:rPr>
                    <w:t>熟悉业务，爱惜设备设施，熟练正确使用并及时保养、更换所掌握安全设备设施。</w:t>
                  </w:r>
                </w:p>
              </w:tc>
              <w:tc>
                <w:tcPr>
                  <w:tcW w:type="dxa" w:w="243"/>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黑体" w:hAnsi="黑体" w:cs="黑体" w:eastAsia="黑体"/>
                      <w:sz w:val="24"/>
                    </w:rPr>
                    <w:t>5分</w:t>
                  </w:r>
                </w:p>
              </w:tc>
              <w:tc>
                <w:tcPr>
                  <w:tcW w:type="dxa" w:w="20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p>
              </w:tc>
            </w:tr>
            <w:tr>
              <w:tc>
                <w:tcPr>
                  <w:tcW w:type="dxa" w:w="222"/>
                  <w:vMerge/>
                  <w:tcBorders>
                    <w:top w:val="none" w:color="000000" w:sz="4"/>
                    <w:left w:val="single" w:color="000000" w:sz="4"/>
                    <w:bottom w:val="single" w:color="000000" w:sz="4"/>
                    <w:right w:val="single" w:color="000000" w:sz="4"/>
                  </w:tcBorders>
                </w:tcPr>
                <w:p/>
              </w:tc>
              <w:tc>
                <w:tcPr>
                  <w:tcW w:type="dxa" w:w="370"/>
                  <w:vMerge/>
                  <w:tcBorders>
                    <w:top w:val="none" w:color="000000" w:sz="4"/>
                    <w:left w:val="none" w:color="000000" w:sz="4"/>
                    <w:bottom w:val="single" w:color="000000" w:sz="4"/>
                    <w:right w:val="single" w:color="000000" w:sz="4"/>
                  </w:tcBorders>
                </w:tcPr>
                <w:p/>
              </w:tc>
              <w:tc>
                <w:tcPr>
                  <w:tcW w:type="dxa" w:w="15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黑体" w:hAnsi="黑体" w:cs="黑体" w:eastAsia="黑体"/>
                      <w:sz w:val="24"/>
                    </w:rPr>
                    <w:t>驾驶员</w:t>
                  </w:r>
                  <w:r>
                    <w:rPr>
                      <w:rFonts w:ascii="黑体" w:hAnsi="黑体" w:cs="黑体" w:eastAsia="黑体"/>
                      <w:sz w:val="24"/>
                    </w:rPr>
                    <w:t>出车及时，行车迅速，</w:t>
                  </w:r>
                  <w:r>
                    <w:rPr>
                      <w:rFonts w:ascii="黑体" w:hAnsi="黑体" w:cs="黑体" w:eastAsia="黑体"/>
                      <w:sz w:val="24"/>
                    </w:rPr>
                    <w:t>完成每一次派车任务，爱护车辆及车载设备，协助医护人员完成工作，如发现</w:t>
                  </w:r>
                  <w:r>
                    <w:rPr>
                      <w:rFonts w:ascii="黑体" w:hAnsi="黑体" w:cs="黑体" w:eastAsia="黑体"/>
                      <w:sz w:val="24"/>
                    </w:rPr>
                    <w:t>发现问题及时向</w:t>
                  </w:r>
                  <w:r>
                    <w:rPr>
                      <w:rFonts w:ascii="黑体" w:hAnsi="黑体" w:cs="黑体" w:eastAsia="黑体"/>
                      <w:sz w:val="24"/>
                    </w:rPr>
                    <w:t>采购人</w:t>
                  </w:r>
                  <w:r>
                    <w:rPr>
                      <w:rFonts w:ascii="黑体" w:hAnsi="黑体" w:cs="黑体" w:eastAsia="黑体"/>
                      <w:sz w:val="24"/>
                    </w:rPr>
                    <w:t>反映</w:t>
                  </w:r>
                  <w:r>
                    <w:rPr>
                      <w:rFonts w:ascii="黑体" w:hAnsi="黑体" w:cs="黑体" w:eastAsia="黑体"/>
                      <w:sz w:val="24"/>
                    </w:rPr>
                    <w:t>。</w:t>
                  </w:r>
                </w:p>
              </w:tc>
              <w:tc>
                <w:tcPr>
                  <w:tcW w:type="dxa" w:w="243"/>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黑体" w:hAnsi="黑体" w:cs="黑体" w:eastAsia="黑体"/>
                      <w:sz w:val="24"/>
                    </w:rPr>
                    <w:t>5分</w:t>
                  </w:r>
                </w:p>
              </w:tc>
              <w:tc>
                <w:tcPr>
                  <w:tcW w:type="dxa" w:w="20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p>
              </w:tc>
            </w:tr>
            <w:tr>
              <w:tc>
                <w:tcPr>
                  <w:tcW w:type="dxa" w:w="222"/>
                  <w:vMerge/>
                  <w:tcBorders>
                    <w:top w:val="none" w:color="000000" w:sz="4"/>
                    <w:left w:val="single" w:color="000000" w:sz="4"/>
                    <w:bottom w:val="single" w:color="000000" w:sz="4"/>
                    <w:right w:val="single" w:color="000000" w:sz="4"/>
                  </w:tcBorders>
                </w:tcPr>
                <w:p/>
              </w:tc>
              <w:tc>
                <w:tcPr>
                  <w:tcW w:type="dxa" w:w="370"/>
                  <w:vMerge/>
                  <w:tcBorders>
                    <w:top w:val="none" w:color="000000" w:sz="4"/>
                    <w:left w:val="none" w:color="000000" w:sz="4"/>
                    <w:bottom w:val="single" w:color="000000" w:sz="4"/>
                    <w:right w:val="single" w:color="000000" w:sz="4"/>
                  </w:tcBorders>
                </w:tcPr>
                <w:p/>
              </w:tc>
              <w:tc>
                <w:tcPr>
                  <w:tcW w:type="dxa" w:w="15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黑体" w:hAnsi="黑体" w:cs="黑体" w:eastAsia="黑体"/>
                      <w:sz w:val="24"/>
                    </w:rPr>
                    <w:t>担架员负责</w:t>
                  </w:r>
                  <w:r>
                    <w:rPr>
                      <w:rFonts w:ascii="黑体" w:hAnsi="黑体" w:cs="黑体" w:eastAsia="黑体"/>
                      <w:sz w:val="24"/>
                    </w:rPr>
                    <w:t>检查</w:t>
                  </w:r>
                  <w:r>
                    <w:rPr>
                      <w:rFonts w:ascii="黑体" w:hAnsi="黑体" w:cs="黑体" w:eastAsia="黑体"/>
                      <w:sz w:val="24"/>
                    </w:rPr>
                    <w:t>转运工具</w:t>
                  </w:r>
                  <w:r>
                    <w:rPr>
                      <w:rFonts w:ascii="黑体" w:hAnsi="黑体" w:cs="黑体" w:eastAsia="黑体"/>
                      <w:sz w:val="24"/>
                    </w:rPr>
                    <w:t>的</w:t>
                  </w:r>
                  <w:r>
                    <w:rPr>
                      <w:rFonts w:ascii="黑体" w:hAnsi="黑体" w:cs="黑体" w:eastAsia="黑体"/>
                      <w:sz w:val="24"/>
                    </w:rPr>
                    <w:t>安全</w:t>
                  </w:r>
                  <w:r>
                    <w:rPr>
                      <w:rFonts w:ascii="黑体" w:hAnsi="黑体" w:cs="黑体" w:eastAsia="黑体"/>
                      <w:sz w:val="24"/>
                    </w:rPr>
                    <w:t>性能。转运病人时，做到稳、轻、迅速。搬运时注意患者的安全及舒适，工作要轻稳，不可触及患处。</w:t>
                  </w:r>
                  <w:r>
                    <w:rPr>
                      <w:rFonts w:ascii="黑体" w:hAnsi="黑体" w:cs="黑体" w:eastAsia="黑体"/>
                      <w:sz w:val="24"/>
                    </w:rPr>
                    <w:t>配合</w:t>
                  </w:r>
                  <w:r>
                    <w:rPr>
                      <w:rFonts w:ascii="黑体" w:hAnsi="黑体" w:cs="黑体" w:eastAsia="黑体"/>
                      <w:sz w:val="24"/>
                    </w:rPr>
                    <w:t>医护</w:t>
                  </w:r>
                  <w:r>
                    <w:rPr>
                      <w:rFonts w:ascii="黑体" w:hAnsi="黑体" w:cs="黑体" w:eastAsia="黑体"/>
                      <w:sz w:val="24"/>
                    </w:rPr>
                    <w:t>人员的</w:t>
                  </w:r>
                  <w:r>
                    <w:rPr>
                      <w:rFonts w:ascii="黑体" w:hAnsi="黑体" w:cs="黑体" w:eastAsia="黑体"/>
                      <w:sz w:val="24"/>
                    </w:rPr>
                    <w:t>送检</w:t>
                  </w:r>
                  <w:r>
                    <w:rPr>
                      <w:rFonts w:ascii="黑体" w:hAnsi="黑体" w:cs="黑体" w:eastAsia="黑体"/>
                      <w:sz w:val="24"/>
                    </w:rPr>
                    <w:t>工作</w:t>
                  </w:r>
                  <w:r>
                    <w:rPr>
                      <w:rFonts w:ascii="黑体" w:hAnsi="黑体" w:cs="黑体" w:eastAsia="黑体"/>
                      <w:sz w:val="24"/>
                    </w:rPr>
                    <w:t>。</w:t>
                  </w:r>
                </w:p>
              </w:tc>
              <w:tc>
                <w:tcPr>
                  <w:tcW w:type="dxa" w:w="243"/>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黑体" w:hAnsi="黑体" w:cs="黑体" w:eastAsia="黑体"/>
                      <w:sz w:val="24"/>
                    </w:rPr>
                    <w:t>5分</w:t>
                  </w:r>
                </w:p>
              </w:tc>
              <w:tc>
                <w:tcPr>
                  <w:tcW w:type="dxa" w:w="20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p>
              </w:tc>
            </w:tr>
            <w:tr>
              <w:tc>
                <w:tcPr>
                  <w:tcW w:type="dxa" w:w="222"/>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黑体" w:hAnsi="黑体" w:cs="黑体" w:eastAsia="黑体"/>
                      <w:sz w:val="24"/>
                    </w:rPr>
                    <w:t>考核</w:t>
                  </w:r>
                </w:p>
                <w:p>
                  <w:pPr>
                    <w:pStyle w:val="null3"/>
                    <w:jc w:val="center"/>
                  </w:pPr>
                  <w:r>
                    <w:rPr>
                      <w:rFonts w:ascii="黑体" w:hAnsi="黑体" w:cs="黑体" w:eastAsia="黑体"/>
                      <w:sz w:val="24"/>
                    </w:rPr>
                    <w:t>项目</w:t>
                  </w:r>
                </w:p>
              </w:tc>
              <w:tc>
                <w:tcPr>
                  <w:tcW w:type="dxa" w:w="370"/>
                  <w:vMerge w:val="restart"/>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黑体" w:hAnsi="黑体" w:cs="黑体" w:eastAsia="黑体"/>
                      <w:sz w:val="24"/>
                    </w:rPr>
                    <w:t>服务公司</w:t>
                  </w:r>
                </w:p>
                <w:p>
                  <w:pPr>
                    <w:pStyle w:val="null3"/>
                    <w:jc w:val="center"/>
                  </w:pPr>
                  <w:r>
                    <w:rPr>
                      <w:rFonts w:ascii="黑体" w:hAnsi="黑体" w:cs="黑体" w:eastAsia="黑体"/>
                      <w:sz w:val="24"/>
                    </w:rPr>
                    <w:t>（</w:t>
                  </w:r>
                  <w:r>
                    <w:rPr>
                      <w:rFonts w:ascii="黑体" w:hAnsi="黑体" w:cs="黑体" w:eastAsia="黑体"/>
                      <w:sz w:val="24"/>
                    </w:rPr>
                    <w:t>20分）</w:t>
                  </w:r>
                </w:p>
              </w:tc>
              <w:tc>
                <w:tcPr>
                  <w:tcW w:type="dxa" w:w="15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黑体" w:hAnsi="黑体" w:cs="黑体" w:eastAsia="黑体"/>
                      <w:sz w:val="24"/>
                    </w:rPr>
                    <w:t>机构配备的工作人员必须长期驻守工作岗位，全面负责</w:t>
                  </w:r>
                  <w:r>
                    <w:rPr>
                      <w:rFonts w:ascii="黑体" w:hAnsi="黑体" w:cs="黑体" w:eastAsia="黑体"/>
                      <w:sz w:val="24"/>
                    </w:rPr>
                    <w:t>采购人</w:t>
                  </w:r>
                  <w:r>
                    <w:rPr>
                      <w:rFonts w:ascii="黑体" w:hAnsi="黑体" w:cs="黑体" w:eastAsia="黑体"/>
                      <w:sz w:val="24"/>
                    </w:rPr>
                    <w:t>日常管理。如有特殊情况需离开必须向</w:t>
                  </w:r>
                  <w:r>
                    <w:rPr>
                      <w:rFonts w:ascii="黑体" w:hAnsi="黑体" w:cs="黑体" w:eastAsia="黑体"/>
                      <w:sz w:val="24"/>
                    </w:rPr>
                    <w:t>采购人</w:t>
                  </w:r>
                  <w:r>
                    <w:rPr>
                      <w:rFonts w:ascii="黑体" w:hAnsi="黑体" w:cs="黑体" w:eastAsia="黑体"/>
                      <w:sz w:val="24"/>
                    </w:rPr>
                    <w:t>报告。如未报告而被发现不在岗位的发现一次扣</w:t>
                  </w:r>
                  <w:r>
                    <w:rPr>
                      <w:rFonts w:ascii="黑体" w:hAnsi="黑体" w:cs="黑体" w:eastAsia="黑体"/>
                      <w:sz w:val="24"/>
                    </w:rPr>
                    <w:t>2</w:t>
                  </w:r>
                  <w:r>
                    <w:rPr>
                      <w:rFonts w:ascii="黑体" w:hAnsi="黑体" w:cs="黑体" w:eastAsia="黑体"/>
                      <w:sz w:val="24"/>
                    </w:rPr>
                    <w:t>分。</w:t>
                  </w:r>
                </w:p>
              </w:tc>
              <w:tc>
                <w:tcPr>
                  <w:tcW w:type="dxa" w:w="243"/>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黑体" w:hAnsi="黑体" w:cs="黑体" w:eastAsia="黑体"/>
                      <w:sz w:val="24"/>
                    </w:rPr>
                    <w:t>10分</w:t>
                  </w:r>
                </w:p>
              </w:tc>
              <w:tc>
                <w:tcPr>
                  <w:tcW w:type="dxa" w:w="20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p>
              </w:tc>
            </w:tr>
            <w:tr>
              <w:tc>
                <w:tcPr>
                  <w:tcW w:type="dxa" w:w="222"/>
                  <w:vMerge/>
                  <w:tcBorders>
                    <w:top w:val="none" w:color="000000" w:sz="4"/>
                    <w:left w:val="single" w:color="000000" w:sz="4"/>
                    <w:bottom w:val="single" w:color="000000" w:sz="4"/>
                    <w:right w:val="single" w:color="000000" w:sz="4"/>
                  </w:tcBorders>
                </w:tcPr>
                <w:p/>
              </w:tc>
              <w:tc>
                <w:tcPr>
                  <w:tcW w:type="dxa" w:w="370"/>
                  <w:vMerge/>
                  <w:tcBorders>
                    <w:top w:val="none" w:color="000000" w:sz="4"/>
                    <w:left w:val="none" w:color="000000" w:sz="4"/>
                    <w:bottom w:val="single" w:color="000000" w:sz="4"/>
                    <w:right w:val="single" w:color="000000" w:sz="4"/>
                  </w:tcBorders>
                </w:tcPr>
                <w:p/>
              </w:tc>
              <w:tc>
                <w:tcPr>
                  <w:tcW w:type="dxa" w:w="15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黑体" w:hAnsi="黑体" w:cs="黑体" w:eastAsia="黑体"/>
                      <w:sz w:val="24"/>
                    </w:rPr>
                    <w:t>成交供应商</w:t>
                  </w:r>
                  <w:r>
                    <w:rPr>
                      <w:rFonts w:ascii="黑体" w:hAnsi="黑体" w:cs="黑体" w:eastAsia="黑体"/>
                      <w:sz w:val="24"/>
                    </w:rPr>
                    <w:t>必须与所聘</w:t>
                  </w:r>
                  <w:r>
                    <w:rPr>
                      <w:rFonts w:ascii="黑体" w:hAnsi="黑体" w:cs="黑体" w:eastAsia="黑体"/>
                      <w:sz w:val="24"/>
                    </w:rPr>
                    <w:t>服务</w:t>
                  </w:r>
                  <w:r>
                    <w:rPr>
                      <w:rFonts w:ascii="黑体" w:hAnsi="黑体" w:cs="黑体" w:eastAsia="黑体"/>
                      <w:sz w:val="24"/>
                    </w:rPr>
                    <w:t>人员签订劳务用工合同，并按《劳动法》规定按期支付</w:t>
                  </w:r>
                  <w:r>
                    <w:rPr>
                      <w:rFonts w:ascii="黑体" w:hAnsi="黑体" w:cs="黑体" w:eastAsia="黑体"/>
                      <w:sz w:val="24"/>
                    </w:rPr>
                    <w:t>服务</w:t>
                  </w:r>
                  <w:r>
                    <w:rPr>
                      <w:rFonts w:ascii="黑体" w:hAnsi="黑体" w:cs="黑体" w:eastAsia="黑体"/>
                      <w:sz w:val="24"/>
                    </w:rPr>
                    <w:t>人员工资、奖金、福利、保险等一切费用。不按以上规定执行发现一起扣</w:t>
                  </w:r>
                  <w:r>
                    <w:rPr>
                      <w:rFonts w:ascii="黑体" w:hAnsi="黑体" w:cs="黑体" w:eastAsia="黑体"/>
                      <w:sz w:val="24"/>
                    </w:rPr>
                    <w:t>1</w:t>
                  </w:r>
                  <w:r>
                    <w:rPr>
                      <w:rFonts w:ascii="黑体" w:hAnsi="黑体" w:cs="黑体" w:eastAsia="黑体"/>
                      <w:sz w:val="24"/>
                    </w:rPr>
                    <w:t>分。</w:t>
                  </w:r>
                </w:p>
              </w:tc>
              <w:tc>
                <w:tcPr>
                  <w:tcW w:type="dxa" w:w="243"/>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黑体" w:hAnsi="黑体" w:cs="黑体" w:eastAsia="黑体"/>
                      <w:sz w:val="24"/>
                    </w:rPr>
                    <w:t>5分</w:t>
                  </w:r>
                </w:p>
              </w:tc>
              <w:tc>
                <w:tcPr>
                  <w:tcW w:type="dxa" w:w="20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p>
              </w:tc>
            </w:tr>
            <w:tr>
              <w:tc>
                <w:tcPr>
                  <w:tcW w:type="dxa" w:w="222"/>
                  <w:vMerge/>
                  <w:tcBorders>
                    <w:top w:val="none" w:color="000000" w:sz="4"/>
                    <w:left w:val="single" w:color="000000" w:sz="4"/>
                    <w:bottom w:val="single" w:color="000000" w:sz="4"/>
                    <w:right w:val="single" w:color="000000" w:sz="4"/>
                  </w:tcBorders>
                </w:tcPr>
                <w:p/>
              </w:tc>
              <w:tc>
                <w:tcPr>
                  <w:tcW w:type="dxa" w:w="370"/>
                  <w:vMerge/>
                  <w:tcBorders>
                    <w:top w:val="none" w:color="000000" w:sz="4"/>
                    <w:left w:val="none" w:color="000000" w:sz="4"/>
                    <w:bottom w:val="single" w:color="000000" w:sz="4"/>
                    <w:right w:val="single" w:color="000000" w:sz="4"/>
                  </w:tcBorders>
                </w:tcPr>
                <w:p/>
              </w:tc>
              <w:tc>
                <w:tcPr>
                  <w:tcW w:type="dxa" w:w="15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黑体" w:hAnsi="黑体" w:cs="黑体" w:eastAsia="黑体"/>
                      <w:sz w:val="24"/>
                    </w:rPr>
                    <w:t>成交供应商</w:t>
                  </w:r>
                  <w:r>
                    <w:rPr>
                      <w:rFonts w:ascii="黑体" w:hAnsi="黑体" w:cs="黑体" w:eastAsia="黑体"/>
                      <w:sz w:val="24"/>
                    </w:rPr>
                    <w:t>必须按</w:t>
                  </w:r>
                  <w:r>
                    <w:rPr>
                      <w:rFonts w:ascii="黑体" w:hAnsi="黑体" w:cs="黑体" w:eastAsia="黑体"/>
                      <w:sz w:val="24"/>
                    </w:rPr>
                    <w:t>磋商文件</w:t>
                  </w:r>
                  <w:r>
                    <w:rPr>
                      <w:rFonts w:ascii="黑体" w:hAnsi="黑体" w:cs="黑体" w:eastAsia="黑体"/>
                      <w:sz w:val="24"/>
                    </w:rPr>
                    <w:t>要求提供符合人员素质要求的</w:t>
                  </w:r>
                  <w:r>
                    <w:rPr>
                      <w:rFonts w:ascii="黑体" w:hAnsi="黑体" w:cs="黑体" w:eastAsia="黑体"/>
                      <w:sz w:val="24"/>
                    </w:rPr>
                    <w:t>服务</w:t>
                  </w:r>
                  <w:r>
                    <w:rPr>
                      <w:rFonts w:ascii="黑体" w:hAnsi="黑体" w:cs="黑体" w:eastAsia="黑体"/>
                      <w:sz w:val="24"/>
                    </w:rPr>
                    <w:t>人员</w:t>
                  </w:r>
                  <w:r>
                    <w:rPr>
                      <w:rFonts w:ascii="黑体" w:hAnsi="黑体" w:cs="黑体" w:eastAsia="黑体"/>
                      <w:sz w:val="24"/>
                    </w:rPr>
                    <w:t>、</w:t>
                  </w:r>
                  <w:r>
                    <w:rPr>
                      <w:rFonts w:ascii="黑体" w:hAnsi="黑体" w:cs="黑体" w:eastAsia="黑体"/>
                      <w:sz w:val="24"/>
                    </w:rPr>
                    <w:t>取得相关证件</w:t>
                  </w:r>
                  <w:r>
                    <w:rPr>
                      <w:rFonts w:ascii="黑体" w:hAnsi="黑体" w:cs="黑体" w:eastAsia="黑体"/>
                      <w:sz w:val="24"/>
                    </w:rPr>
                    <w:t>、</w:t>
                  </w:r>
                  <w:r>
                    <w:rPr>
                      <w:rFonts w:ascii="黑体" w:hAnsi="黑体" w:cs="黑体" w:eastAsia="黑体"/>
                      <w:sz w:val="24"/>
                    </w:rPr>
                    <w:t>并确保</w:t>
                  </w:r>
                  <w:r>
                    <w:rPr>
                      <w:rFonts w:ascii="黑体" w:hAnsi="黑体" w:cs="黑体" w:eastAsia="黑体"/>
                      <w:sz w:val="24"/>
                    </w:rPr>
                    <w:t>服务</w:t>
                  </w:r>
                  <w:r>
                    <w:rPr>
                      <w:rFonts w:ascii="黑体" w:hAnsi="黑体" w:cs="黑体" w:eastAsia="黑体"/>
                      <w:sz w:val="24"/>
                    </w:rPr>
                    <w:t>队伍的人员稳定，每月调换人员比例不得超过</w:t>
                  </w:r>
                  <w:r>
                    <w:rPr>
                      <w:rFonts w:ascii="黑体" w:hAnsi="黑体" w:cs="黑体" w:eastAsia="黑体"/>
                      <w:sz w:val="24"/>
                    </w:rPr>
                    <w:t>20%，以上每违反项/人扣</w:t>
                  </w:r>
                  <w:r>
                    <w:rPr>
                      <w:rFonts w:ascii="黑体" w:hAnsi="黑体" w:cs="黑体" w:eastAsia="黑体"/>
                      <w:sz w:val="24"/>
                    </w:rPr>
                    <w:t>1</w:t>
                  </w:r>
                  <w:r>
                    <w:rPr>
                      <w:rFonts w:ascii="黑体" w:hAnsi="黑体" w:cs="黑体" w:eastAsia="黑体"/>
                      <w:sz w:val="24"/>
                    </w:rPr>
                    <w:t>分。</w:t>
                  </w:r>
                </w:p>
              </w:tc>
              <w:tc>
                <w:tcPr>
                  <w:tcW w:type="dxa" w:w="243"/>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黑体" w:hAnsi="黑体" w:cs="黑体" w:eastAsia="黑体"/>
                      <w:sz w:val="24"/>
                    </w:rPr>
                    <w:t>5分</w:t>
                  </w:r>
                </w:p>
              </w:tc>
              <w:tc>
                <w:tcPr>
                  <w:tcW w:type="dxa" w:w="20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p>
              </w:tc>
            </w:tr>
            <w:tr>
              <w:tc>
                <w:tcPr>
                  <w:tcW w:type="dxa" w:w="222"/>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p>
              </w:tc>
              <w:tc>
                <w:tcPr>
                  <w:tcW w:type="dxa" w:w="370"/>
                  <w:vMerge w:val="restart"/>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黑体" w:hAnsi="黑体" w:cs="黑体" w:eastAsia="黑体"/>
                      <w:sz w:val="24"/>
                    </w:rPr>
                    <w:t>扣分项</w:t>
                  </w:r>
                </w:p>
              </w:tc>
              <w:tc>
                <w:tcPr>
                  <w:tcW w:type="dxa" w:w="15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黑体" w:hAnsi="黑体" w:cs="黑体" w:eastAsia="黑体"/>
                      <w:sz w:val="24"/>
                    </w:rPr>
                    <w:t>服务期间，因</w:t>
                  </w:r>
                  <w:r>
                    <w:rPr>
                      <w:rFonts w:ascii="黑体" w:hAnsi="黑体" w:cs="黑体" w:eastAsia="黑体"/>
                      <w:sz w:val="24"/>
                    </w:rPr>
                    <w:t>服务</w:t>
                  </w:r>
                  <w:r>
                    <w:rPr>
                      <w:rFonts w:ascii="黑体" w:hAnsi="黑体" w:cs="黑体" w:eastAsia="黑体"/>
                      <w:sz w:val="24"/>
                    </w:rPr>
                    <w:t>人员履职不到位造成安全责任事故的，视其情节轻重扣</w:t>
                  </w:r>
                  <w:r>
                    <w:rPr>
                      <w:rFonts w:ascii="黑体" w:hAnsi="黑体" w:cs="黑体" w:eastAsia="黑体"/>
                      <w:sz w:val="24"/>
                    </w:rPr>
                    <w:t>5-30分</w:t>
                  </w:r>
                </w:p>
              </w:tc>
              <w:tc>
                <w:tcPr>
                  <w:tcW w:type="dxa" w:w="243"/>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p>
              </w:tc>
              <w:tc>
                <w:tcPr>
                  <w:tcW w:type="dxa" w:w="20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p>
              </w:tc>
            </w:tr>
            <w:tr>
              <w:tc>
                <w:tcPr>
                  <w:tcW w:type="dxa" w:w="222"/>
                  <w:vMerge/>
                  <w:tcBorders>
                    <w:top w:val="none" w:color="000000" w:sz="4"/>
                    <w:left w:val="single" w:color="000000" w:sz="4"/>
                    <w:bottom w:val="single" w:color="000000" w:sz="4"/>
                    <w:right w:val="single" w:color="000000" w:sz="4"/>
                  </w:tcBorders>
                </w:tcPr>
                <w:p/>
              </w:tc>
              <w:tc>
                <w:tcPr>
                  <w:tcW w:type="dxa" w:w="370"/>
                  <w:vMerge/>
                  <w:tcBorders>
                    <w:top w:val="none" w:color="000000" w:sz="4"/>
                    <w:left w:val="none" w:color="000000" w:sz="4"/>
                    <w:bottom w:val="single" w:color="000000" w:sz="4"/>
                    <w:right w:val="single" w:color="000000" w:sz="4"/>
                  </w:tcBorders>
                </w:tcPr>
                <w:p/>
              </w:tc>
              <w:tc>
                <w:tcPr>
                  <w:tcW w:type="dxa" w:w="15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黑体" w:hAnsi="黑体" w:cs="黑体" w:eastAsia="黑体"/>
                      <w:sz w:val="24"/>
                    </w:rPr>
                    <w:t>司机及所有安保人员、消防设施操作员上班期间及待命期间禁止饮酒，一经发现违反规定扣</w:t>
                  </w:r>
                  <w:r>
                    <w:rPr>
                      <w:rFonts w:ascii="黑体" w:hAnsi="黑体" w:cs="黑体" w:eastAsia="黑体"/>
                      <w:sz w:val="24"/>
                    </w:rPr>
                    <w:t>20分。</w:t>
                  </w:r>
                </w:p>
              </w:tc>
              <w:tc>
                <w:tcPr>
                  <w:tcW w:type="dxa" w:w="243"/>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p>
              </w:tc>
              <w:tc>
                <w:tcPr>
                  <w:tcW w:type="dxa" w:w="20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p>
              </w:tc>
            </w:tr>
          </w:tbl>
          <w:p>
            <w:pPr>
              <w:pStyle w:val="null3"/>
              <w:jc w:val="both"/>
            </w:pPr>
          </w:p>
        </w:tc>
      </w:tr>
    </w:tbl>
    <w:p>
      <w:pPr>
        <w:pStyle w:val="null3"/>
        <w:outlineLvl w:val="3"/>
      </w:pPr>
      <w:r>
        <w:rPr>
          <w:b/>
          <w:sz w:val="24"/>
        </w:rPr>
        <w:t>3.2.3人员配置要求</w:t>
      </w:r>
    </w:p>
    <w:p>
      <w:pPr>
        <w:pStyle w:val="null3"/>
      </w:pPr>
    </w:p>
    <w:p>
      <w:pPr>
        <w:pStyle w:val="null3"/>
      </w:pPr>
    </w:p>
    <w:p>
      <w:pPr>
        <w:pStyle w:val="null3"/>
      </w:pPr>
    </w:p>
    <w:p>
      <w:pPr>
        <w:pStyle w:val="null3"/>
      </w:pPr>
      <w:r>
        <w:rPr/>
        <w:t>采购包1：</w:t>
      </w:r>
    </w:p>
    <w:p>
      <w:pPr>
        <w:pStyle w:val="null3"/>
      </w:pPr>
      <w:r>
        <w:rPr/>
        <w:t>★（一）人员配置要求： 1.岗位要求： 序号 岗位 合计人数 要求 1 项目经理 1人 45岁以下；必须具有大专及以上学历(提供学历证)，身体健康，责任心强，能吃苦耐劳，仪表端庄，无犯罪记录。 2 安保人员（兼停车场管理员） 23人 1.男性身高1.65米及以上，女性身高1.60米及以上；年龄男性＜60周岁，女性＜50周岁。身体健康，责任心强，能吃苦耐劳，仪表端庄，无犯罪记录。采取2班倒工作制的方式进行上班，24小时值班，服从医院管理。 2.须持有《保安员证》。（提供相关证明材料） 3 消防设施操作员 8人 1.年龄55岁以下，身体健康，责任心强，能吃苦耐劳，仪表端庄，无犯罪记录。 2.其中4人须持有《消防设施操作员》中级及以上证书，另外4人须持有《消防设施操作员》培训结业证书。（提供相关证明材料） 3.两个院区各安排4人，采取2班倒工作制的方式进行上班，24小时值班，服从医院管理。 4 司机 5人 1.年龄55岁以下，身体健康，责任心强，能吃苦耐劳，仪表端庄，无犯罪记录。 2.须持有驾驶证B证。（提供相关证明材料） 3.采取倒班制，保证24小时有人值班，服从医院管理。 5 担架员 2人 年龄50岁以下，身体健康，责任心强，能吃苦耐劳，仪表端庄，无犯罪记录。 注：以上人员均须提供身份证明材料，且供应商承诺成交后签订合同前提供人员健康证、无犯罪记录证明。 2.如因服务人员离职、享受探亲假或请事假，而出现缺编的现象，成交人应在当日内补齐。按需求全年365天不间断提供服务，包括处理各种突发事件及紧急任务。</w:t>
      </w:r>
    </w:p>
    <w:p>
      <w:pPr>
        <w:pStyle w:val="null3"/>
        <w:outlineLvl w:val="3"/>
      </w:pPr>
      <w:r>
        <w:rPr>
          <w:b/>
          <w:sz w:val="24"/>
        </w:rPr>
        <w:t>3.2.4设施设备要求</w:t>
      </w:r>
    </w:p>
    <w:p>
      <w:pPr>
        <w:pStyle w:val="null3"/>
      </w:pPr>
    </w:p>
    <w:p>
      <w:pPr>
        <w:pStyle w:val="null3"/>
      </w:pPr>
    </w:p>
    <w:p>
      <w:pPr>
        <w:pStyle w:val="null3"/>
      </w:pPr>
    </w:p>
    <w:p>
      <w:pPr>
        <w:pStyle w:val="null3"/>
      </w:pPr>
      <w:r>
        <w:rPr/>
        <w:t>采购包1：</w:t>
      </w:r>
    </w:p>
    <w:p>
      <w:pPr>
        <w:pStyle w:val="null3"/>
      </w:pPr>
      <w:r>
        <w:rPr/>
        <w:t>无</w:t>
      </w:r>
    </w:p>
    <w:p>
      <w:pPr>
        <w:pStyle w:val="null3"/>
        <w:outlineLvl w:val="3"/>
      </w:pPr>
      <w:r>
        <w:rPr>
          <w:b/>
          <w:sz w:val="24"/>
        </w:rPr>
        <w:t>3.2.5其他要求</w:t>
      </w:r>
    </w:p>
    <w:p>
      <w:pPr>
        <w:pStyle w:val="null3"/>
      </w:pPr>
    </w:p>
    <w:p>
      <w:pPr>
        <w:pStyle w:val="null3"/>
      </w:pPr>
    </w:p>
    <w:p>
      <w:pPr>
        <w:pStyle w:val="null3"/>
      </w:pPr>
    </w:p>
    <w:p>
      <w:pPr>
        <w:pStyle w:val="null3"/>
      </w:pPr>
      <w:r>
        <w:rPr/>
        <w:t>采购包1：</w:t>
      </w:r>
    </w:p>
    <w:p>
      <w:pPr>
        <w:pStyle w:val="null3"/>
      </w:pPr>
      <w:r>
        <w:rPr/>
        <w:t>注：项目预算金额：173.1万元/年（服务期限三年，合同一年一签）</w:t>
      </w:r>
    </w:p>
    <w:p>
      <w:pPr>
        <w:pStyle w:val="null3"/>
        <w:outlineLvl w:val="2"/>
      </w:pPr>
      <w:r>
        <w:rPr>
          <w:b/>
          <w:sz w:val="28"/>
        </w:rPr>
        <w:t>3.3、商务要求</w:t>
      </w:r>
    </w:p>
    <w:p>
      <w:pPr>
        <w:pStyle w:val="null3"/>
        <w:outlineLvl w:val="3"/>
      </w:pPr>
      <w:r>
        <w:rPr>
          <w:b/>
          <w:sz w:val="24"/>
        </w:rPr>
        <w:t>3.3.1服务期限</w:t>
      </w:r>
    </w:p>
    <w:p>
      <w:pPr>
        <w:pStyle w:val="null3"/>
      </w:pPr>
    </w:p>
    <w:p>
      <w:pPr>
        <w:pStyle w:val="null3"/>
      </w:pPr>
    </w:p>
    <w:p>
      <w:pPr>
        <w:pStyle w:val="null3"/>
      </w:pPr>
    </w:p>
    <w:p>
      <w:pPr>
        <w:pStyle w:val="null3"/>
      </w:pPr>
      <w:r>
        <w:rPr/>
        <w:t>采购包1：</w:t>
      </w:r>
    </w:p>
    <w:p>
      <w:pPr>
        <w:pStyle w:val="null3"/>
      </w:pPr>
      <w:r>
        <w:rPr/>
        <w:t xml:space="preserve"> 自合同签订之日起1095日</w:t>
      </w:r>
    </w:p>
    <w:p>
      <w:pPr>
        <w:pStyle w:val="null3"/>
        <w:outlineLvl w:val="3"/>
      </w:pPr>
      <w:r>
        <w:rPr>
          <w:b/>
          <w:sz w:val="24"/>
        </w:rPr>
        <w:t>3.3.2服务地点</w:t>
      </w:r>
    </w:p>
    <w:p>
      <w:pPr>
        <w:pStyle w:val="null3"/>
      </w:pPr>
    </w:p>
    <w:p>
      <w:pPr>
        <w:pStyle w:val="null3"/>
      </w:pPr>
    </w:p>
    <w:p>
      <w:pPr>
        <w:pStyle w:val="null3"/>
      </w:pP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p>
    <w:p>
      <w:pPr>
        <w:pStyle w:val="null3"/>
      </w:pPr>
    </w:p>
    <w:p>
      <w:pPr>
        <w:pStyle w:val="null3"/>
      </w:pPr>
    </w:p>
    <w:p>
      <w:pPr>
        <w:pStyle w:val="null3"/>
      </w:pPr>
      <w:r>
        <w:rPr/>
        <w:t>采购包1：</w:t>
      </w:r>
    </w:p>
    <w:p>
      <w:pPr>
        <w:pStyle w:val="null3"/>
      </w:pPr>
      <w:r>
        <w:rPr/>
        <w:t>本项目参照《财政部关于进一步加强政府采购需求和履约验收管理的指导意见》(财库〔2016〕205号)及国家和地方相关的法律、规范、行业标准及采购文件的质量要求和技术（服务）指标、供应商的响应文件及承诺与本合同约定标准的要求进行验收，以满足采购人的实际需求为准。</w:t>
      </w:r>
    </w:p>
    <w:p>
      <w:pPr>
        <w:pStyle w:val="null3"/>
        <w:jc w:val="left"/>
        <w:outlineLvl w:val="3"/>
      </w:pPr>
      <w:r>
        <w:rPr>
          <w:b/>
          <w:sz w:val="24"/>
        </w:rPr>
        <w:t>3.3.4支付方式</w:t>
      </w:r>
    </w:p>
    <w:p>
      <w:pPr>
        <w:pStyle w:val="null3"/>
      </w:pPr>
    </w:p>
    <w:p>
      <w:pPr>
        <w:pStyle w:val="null3"/>
      </w:pPr>
    </w:p>
    <w:p>
      <w:pPr>
        <w:pStyle w:val="null3"/>
      </w:pPr>
    </w:p>
    <w:p>
      <w:pPr>
        <w:pStyle w:val="null3"/>
      </w:pPr>
      <w:r>
        <w:rPr/>
        <w:t>采购包1：</w:t>
      </w:r>
    </w:p>
    <w:p>
      <w:pPr>
        <w:pStyle w:val="null3"/>
      </w:pPr>
      <w:r>
        <w:rPr/>
        <w:t>分期付款</w:t>
      </w:r>
    </w:p>
    <w:p>
      <w:pPr>
        <w:pStyle w:val="null3"/>
        <w:outlineLvl w:val="3"/>
      </w:pPr>
      <w:r>
        <w:rPr>
          <w:b/>
          <w:sz w:val="24"/>
        </w:rPr>
        <w:t>3.3.5支付约定</w:t>
      </w:r>
    </w:p>
    <w:p>
      <w:pPr>
        <w:pStyle w:val="null3"/>
      </w:pPr>
    </w:p>
    <w:p>
      <w:pPr>
        <w:pStyle w:val="null3"/>
      </w:pPr>
    </w:p>
    <w:p>
      <w:pPr>
        <w:pStyle w:val="null3"/>
      </w:pPr>
    </w:p>
    <w:p>
      <w:pPr>
        <w:pStyle w:val="null3"/>
      </w:pPr>
      <w:r>
        <w:rPr/>
        <w:t>采购包1：</w:t>
      </w:r>
      <w:r>
        <w:rPr/>
        <w:t xml:space="preserve"> 付款条件说明： </w:t>
      </w:r>
      <w:r>
        <w:rPr/>
        <w:t>服务费用由采购人按季度支付。每季度结算金额=合同金额/4-考核扣除金额，成交供应商按每季度结算金额开据合法票据，采购人在收到成交供应商票据后的</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服务费用由采购人按季度支付。每季度结算金额=合同金额/4-考核扣除金额，成交供应商按每季度结算金额开据合法票据，采购人在收到成交供应商票据后的</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服务费用由采购人按季度支付。每季度结算金额=合同金额/4-考核扣除金额，成交供应商按每季度结算金额开据合法票据，采购人在收到成交供应商票据后的</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服务费用由采购人按季度支付。每季度结算金额=合同金额/4-考核扣除金额，成交供应商按每季度结算金额开据合法票据，采购人在收到成交供应商票据后的</w:t>
      </w:r>
      <w:r>
        <w:rPr/>
        <w:t xml:space="preserve"> ，达到付款条件起 </w:t>
      </w:r>
      <w:r>
        <w:rPr/>
        <w:t>30</w:t>
      </w:r>
      <w:r>
        <w:rPr/>
        <w:t xml:space="preserve"> 日内，支付合同总金额的 </w:t>
      </w:r>
      <w:r>
        <w:rPr/>
        <w:t>25.00</w:t>
      </w:r>
      <w:r>
        <w:rPr/>
        <w:t>%。</w:t>
      </w:r>
    </w:p>
    <w:p>
      <w:pPr>
        <w:pStyle w:val="null3"/>
        <w:outlineLvl w:val="3"/>
      </w:pPr>
      <w:r>
        <w:rPr>
          <w:b/>
          <w:sz w:val="24"/>
        </w:rPr>
        <w:t>3.3.6违约责任及解决争议的方法</w:t>
      </w:r>
    </w:p>
    <w:p>
      <w:pPr>
        <w:pStyle w:val="null3"/>
      </w:pPr>
    </w:p>
    <w:p>
      <w:pPr>
        <w:pStyle w:val="null3"/>
      </w:pPr>
    </w:p>
    <w:p>
      <w:pPr>
        <w:pStyle w:val="null3"/>
      </w:pPr>
    </w:p>
    <w:p>
      <w:pPr>
        <w:pStyle w:val="null3"/>
      </w:pPr>
      <w:r>
        <w:rPr/>
        <w:t>采购包1：</w:t>
      </w:r>
    </w:p>
    <w:p>
      <w:pPr>
        <w:pStyle w:val="null3"/>
      </w:pPr>
      <w:r>
        <w:rPr/>
        <w:t>在签订合同地点的当地人民法院诉讼解决。</w:t>
      </w:r>
    </w:p>
    <w:p>
      <w:pPr>
        <w:pStyle w:val="null3"/>
        <w:jc w:val="left"/>
        <w:outlineLvl w:val="2"/>
      </w:pPr>
      <w:r>
        <w:rPr>
          <w:b/>
          <w:sz w:val="28"/>
        </w:rPr>
        <w:t>3.4其他要求</w:t>
      </w:r>
    </w:p>
    <w:p>
      <w:pPr>
        <w:pStyle w:val="null3"/>
      </w:pPr>
    </w:p>
    <w:p>
      <w:pPr>
        <w:pStyle w:val="null3"/>
      </w:pPr>
    </w:p>
    <w:p>
      <w:pPr>
        <w:pStyle w:val="null3"/>
      </w:pPr>
      <w:r>
        <w:rPr/>
        <w:t>一、其他商务要求（实质性要求） 1.服务期限及方式： （1）服务期限：合同签订生效之日起三年，合同一年一签。当年验收考核合格后，方可续签下一年合同。若当年验收考核不合格，则采购人不再续签下一年合同，并依法终止与成交供应商的三年服务期约定。 （2）服务地点：采购人指定地点。 2.采购项目的价格构成：供应商报价包含服务人员经费（工资、社会保险、福利、补助、培训等）、人员装备经费、防护装备经费、管理经费，包括利润和税金等费用，采购人不再额外支付其他任何费用（报价中服务人员的工资不得低于服务期内德阳市人民政府当年最低工资标准；保险不得低于服务期内德阳市人民政府当年最低缴费标准）。成交供应商的报价即为成交合同价，在服务费内，合同价不因任何因素（包括但不限于国家政策、市场情况等）的变化而作任何调整。 3.付款方式（本项目付款方式以此为准）：服务费用由采购人按季度支付。每季度结算金额=合同金额/4-考核扣除金额，成交供应商按每季度结算金额开据合法票据，采购人在收到成交供应商票据后的30个日历天内将上季度考核后的服务费用支付给成交供应商。如遇节假日，付款时间顺延。 4.实施服务要求： （1）实施过程应严格执行相关的规范，并保证安全。 （2）实施过程中应科学、合理地掌握与其他工作的协调、交叉。 （3）供应商须保证所提供服务具有合法的版权或使用权，本项目采购的服务，如在本项目范围内使用过程中出现版权或使用权纠纷，应由成交供应商负责，采购人不承担责任。 5.保险：按国家相关规定执行。 二、其他要求 1.提供项目实施方案，内容包括：①项目现状了解；②服务重难点以及针对重难点的措施；③安全管理体系与措施；④拟投入本项目的安保执勤装备、防护装备；⑤监督巡查机制； 2.提供项目管理机构、职责分工及管理制度，内容包括：①项目管理机构设置；②健全的管理制度；③项目管理目标；④各岗位管理职能职责分工；⑤详细合理的员工考核制度、工作奖惩办法； 3.提供服务质量保障方案，内容包括：①管理服务目标；②人员保障方案；③员工培训方案；④服务质量保障措施； 4.提供应急预案，内容包括：①参观、采访、迎接上级检查的应急处理；②特殊天气、重大节假日应急措施；③群体闹事预案；④防火防盗预案；⑤重大疫病、疫情应急预案。 5.类似案例：供应商提供2021年01月01日（含）至递交响应文件截止时间类似项目业绩。</w:t>
      </w:r>
    </w:p>
    <w:p>
      <w:pPr>
        <w:pStyle w:val="null3"/>
      </w:pPr>
    </w:p>
    <w:p>
      <w:pPr>
        <w:pStyle w:val="null3"/>
      </w:pPr>
      <w:r>
        <w:rPr/>
        <w:t xml:space="preserve"> </w:t>
      </w:r>
    </w:p>
    <w:p>
      <w:pPr>
        <w:pStyle w:val="null3"/>
        <w:jc w:val="center"/>
        <w:outlineLvl w:val="1"/>
      </w:pPr>
      <w:r>
        <w:rPr>
          <w:b/>
          <w:sz w:val="36"/>
        </w:rPr>
        <w:t>第四章 磋商过程中可实质性变动的内容</w:t>
      </w:r>
    </w:p>
    <w:p>
      <w:pPr>
        <w:pStyle w:val="null3"/>
        <w:ind w:firstLine="480"/>
      </w:pPr>
      <w:r>
        <w:rPr/>
        <w:t xml:space="preserve"> 磋商小组可以根据磋商文件和磋商情况实质性变动第三章“磋商项目技术、服务、商务及其他要求”、第七章“拟签订采购合同文本”，但不得变动磋商文件中的其他内容。实质性变动的内容，须经采购人代表确认。</w:t>
      </w:r>
    </w:p>
    <w:p>
      <w:pPr>
        <w:pStyle w:val="null3"/>
      </w:pPr>
    </w:p>
    <w:p>
      <w:pPr>
        <w:pStyle w:val="null3"/>
      </w:pPr>
      <w:r>
        <w:rPr/>
        <w:t xml:space="preserve"> </w:t>
      </w:r>
    </w:p>
    <w:p>
      <w:pPr>
        <w:pStyle w:val="null3"/>
        <w:jc w:val="center"/>
        <w:outlineLvl w:val="1"/>
      </w:pPr>
      <w:r>
        <w:rPr>
          <w:b/>
          <w:sz w:val="36"/>
        </w:rPr>
        <w:t>第五章 磋商办法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竞争性磋商采购方式管理暂行办法》《四川省政府采购评审工作规程（修订）》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5.2 磋商小组</w:t>
      </w:r>
    </w:p>
    <w:p>
      <w:pPr>
        <w:pStyle w:val="null3"/>
        <w:ind w:firstLine="480"/>
      </w:pPr>
      <w:r>
        <w:rPr/>
        <w:t xml:space="preserve"> 一、本项目磋商小组成员人数应为三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pPr>
      <w:r>
        <w:rPr/>
        <w:t xml:space="preserve"> 二、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三、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四、磋商小组按照磋商文件规定的磋商程序、评分方法和标准进行评审，并独立履行下列职责：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5.3评审程序</w:t>
      </w:r>
    </w:p>
    <w:p>
      <w:pPr>
        <w:pStyle w:val="null3"/>
        <w:outlineLvl w:val="3"/>
      </w:pPr>
      <w:r>
        <w:rPr>
          <w:b/>
          <w:sz w:val="24"/>
        </w:rPr>
        <w:t xml:space="preserve"> 5.3.1.熟悉和理解磋商文件和停止评审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四川政府采购网公告。采购组织单位认为磋商小组不应当停止评审的，可以书面报告采购项目同级财政部门依法处理，并提供相关证明材料。</w:t>
      </w:r>
    </w:p>
    <w:p>
      <w:pPr>
        <w:pStyle w:val="null3"/>
        <w:outlineLvl w:val="3"/>
      </w:pPr>
      <w:r>
        <w:rPr>
          <w:b/>
          <w:sz w:val="24"/>
        </w:rPr>
        <w:t>5.3.2资格审查</w:t>
      </w:r>
    </w:p>
    <w:p>
      <w:pPr>
        <w:pStyle w:val="null3"/>
      </w:pPr>
    </w:p>
    <w:p>
      <w:pPr>
        <w:pStyle w:val="null3"/>
      </w:pPr>
    </w:p>
    <w:p>
      <w:pPr>
        <w:pStyle w:val="null3"/>
        <w:ind w:firstLine="480"/>
      </w:pPr>
      <w:r>
        <w:rPr/>
        <w:t xml:space="preserve"> 响应文件提交截止时间结束后，由磋商小组依据法律法规和磋商文件的规定，对响应文件中的资格证明等进行审查，以确定供应商是否具备响应资格，并出具资格审查报告。资格审查标准及要求如下：</w:t>
      </w:r>
    </w:p>
    <w:p>
      <w:pPr>
        <w:pStyle w:val="null3"/>
        <w:ind w:firstLine="480"/>
      </w:pPr>
      <w:r>
        <w:rPr/>
        <w:t xml:space="preserve"> 响应文件提交截止时间结束后，由磋商小组依据法律法规和磋商文件的规定，对响应文件中的资格证明等进行审查，以确定供应商是否具备响应资格，并出具资格审查报告。资格审查标准及要求如下：</w:t>
      </w:r>
    </w:p>
    <w:p>
      <w:pPr>
        <w:pStyle w:val="null3"/>
        <w:outlineLvl w:val="3"/>
      </w:pPr>
      <w:r>
        <w:rPr>
          <w:b/>
          <w:sz w:val="24"/>
        </w:rPr>
        <w:t>5.3.2.1一般资格审查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1.供应商需在项目电子化交易系统中按要求填写《投标（响应）函》完成承诺并进行电子签章。2.供应商需在项目电子化交易系统中上传营业执照副本复印件并进行电子签章。</w:t>
            </w:r>
          </w:p>
        </w:tc>
        <w:tc>
          <w:tcPr>
            <w:tcW w:type="dxa" w:w="1661"/>
          </w:tcPr>
          <w:p>
            <w:pPr>
              <w:pStyle w:val="null3"/>
            </w:pPr>
            <w:r>
              <w:rPr/>
              <w:t>供应商应提交的相关资格证明材料 投标（响应）函</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3</w:t>
            </w:r>
          </w:p>
        </w:tc>
        <w:tc>
          <w:tcPr>
            <w:tcW w:type="dxa" w:w="2492"/>
          </w:tcPr>
          <w:p>
            <w:pPr>
              <w:pStyle w:val="null3"/>
            </w:pPr>
            <w:r>
              <w:rPr/>
              <w:t>具有健全的财务会计制度。</w:t>
            </w:r>
          </w:p>
        </w:tc>
        <w:tc>
          <w:tcPr>
            <w:tcW w:type="dxa" w:w="3322"/>
          </w:tcPr>
          <w:p>
            <w:pPr>
              <w:pStyle w:val="null3"/>
            </w:pPr>
            <w:r>
              <w:rPr/>
              <w:t>（1）提供2021年至今任意一年经审计的年度财务报告复印件（包含审计报告和审计报告中所涉及的财务报表和报表附注）；（2）提供2021年至今任意一年年度财务报表复印件；（3）提供截至响应文件递交截止日一年内银行出具的资信证明复印件；（4）供应商注册时间截至响应文件递交截止日不足一年的，也可提供公司章程复印件；（5）供应商为事业单位或其他组织（不具备法人条件的组织，如合伙组织、个体工商户、农村承包经营户等）或自然人时，可提供承诺函。 注：以上（1）（2）（3）（4）（5）项具有同等的磋商效力，提供任一项均可。</w:t>
            </w:r>
          </w:p>
        </w:tc>
        <w:tc>
          <w:tcPr>
            <w:tcW w:type="dxa" w:w="1661"/>
          </w:tcPr>
          <w:p>
            <w:pPr>
              <w:pStyle w:val="null3"/>
            </w:pPr>
            <w:r>
              <w:rPr/>
              <w:t>供应商应提交的相关资格证明材料 投标（响应）函</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bl>
    <w:p>
      <w:pPr>
        <w:pStyle w:val="null3"/>
        <w:outlineLvl w:val="3"/>
      </w:pPr>
      <w:r>
        <w:rPr>
          <w:b/>
          <w:sz w:val="24"/>
        </w:rPr>
        <w:t>5.3.2.2特殊资格审查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供应商须具备有效的公安部门颁发的《保安服务许可证》，提供证书复印件。</w:t>
            </w:r>
          </w:p>
        </w:tc>
        <w:tc>
          <w:tcPr>
            <w:tcW w:type="dxa" w:w="3322"/>
          </w:tcPr>
          <w:p>
            <w:pPr>
              <w:pStyle w:val="null3"/>
            </w:pPr>
            <w:r>
              <w:rPr/>
              <w:t>供应商须具备有效的公安部门颁发的《保安服务许可证》，提供证书复印件。</w:t>
            </w:r>
          </w:p>
        </w:tc>
        <w:tc>
          <w:tcPr>
            <w:tcW w:type="dxa" w:w="1661"/>
          </w:tcPr>
          <w:p>
            <w:pPr>
              <w:pStyle w:val="null3"/>
            </w:pPr>
            <w:r>
              <w:rPr/>
              <w:t>供应商应提交的相关资格证明材料 投标（响应）函</w:t>
            </w:r>
          </w:p>
        </w:tc>
      </w:tr>
      <w:tr>
        <w:tc>
          <w:tcPr>
            <w:tcW w:type="dxa" w:w="831"/>
          </w:tcPr>
          <w:p>
            <w:pPr>
              <w:pStyle w:val="null3"/>
            </w:pPr>
            <w:r>
              <w:rPr/>
              <w:t>2</w:t>
            </w:r>
          </w:p>
        </w:tc>
        <w:tc>
          <w:tcPr>
            <w:tcW w:type="dxa" w:w="2492"/>
          </w:tcPr>
          <w:p>
            <w:pPr>
              <w:pStyle w:val="null3"/>
            </w:pPr>
            <w:r>
              <w:rPr/>
              <w:t>本项目安全责任承诺书</w:t>
            </w:r>
          </w:p>
        </w:tc>
        <w:tc>
          <w:tcPr>
            <w:tcW w:type="dxa" w:w="3322"/>
          </w:tcPr>
          <w:p>
            <w:pPr>
              <w:pStyle w:val="null3"/>
            </w:pPr>
            <w:r>
              <w:rPr/>
              <w:t>提供承诺函</w:t>
            </w:r>
          </w:p>
        </w:tc>
        <w:tc>
          <w:tcPr>
            <w:tcW w:type="dxa" w:w="1661"/>
          </w:tcPr>
          <w:p>
            <w:pPr>
              <w:pStyle w:val="null3"/>
            </w:pPr>
            <w:r>
              <w:rPr/>
              <w:t>供应商应提交的相关资格证明材料 投标（响应）函</w:t>
            </w:r>
          </w:p>
        </w:tc>
      </w:tr>
    </w:tbl>
    <w:p>
      <w:pPr>
        <w:pStyle w:val="null3"/>
        <w:outlineLvl w:val="3"/>
      </w:pPr>
      <w:r>
        <w:rPr>
          <w:b/>
          <w:sz w:val="24"/>
        </w:rPr>
        <w:t>5.3.2.3落实政府采购政策资格审查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本采购包属于专门面向中小企业采购。</w:t>
            </w:r>
          </w:p>
        </w:tc>
        <w:tc>
          <w:tcPr>
            <w:tcW w:type="dxa" w:w="3322"/>
          </w:tcPr>
          <w:p>
            <w:pPr>
              <w:pStyle w:val="null3"/>
            </w:pPr>
            <w:r>
              <w:rPr/>
              <w:t>供应商结合自身实际，按照采购文件要求和关联格式要求，提供《中小企业声明函》或者《残疾人福利性单位声明函》、《监狱企业证明文件》进行响应。</w:t>
            </w:r>
          </w:p>
        </w:tc>
        <w:tc>
          <w:tcPr>
            <w:tcW w:type="dxa" w:w="1661"/>
          </w:tcPr>
          <w:p>
            <w:pPr>
              <w:pStyle w:val="null3"/>
            </w:pPr>
            <w:r>
              <w:rPr/>
              <w:t>中小企业声明函 残疾人福利性单位声明函 监狱企业的证明文件</w:t>
            </w:r>
          </w:p>
        </w:tc>
      </w:tr>
    </w:tbl>
    <w:p>
      <w:pPr>
        <w:pStyle w:val="null3"/>
        <w:outlineLvl w:val="3"/>
      </w:pPr>
      <w:r>
        <w:rPr>
          <w:b/>
          <w:sz w:val="24"/>
        </w:rPr>
        <w:t>5.3.3磋商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六章“拟签订的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对磋商文件作出的实质性变动是磋商文件的有效组成部分，磋商小组应通过项目电子化交易系统，将变动情况通知本轮次所有参加磋商的供应商。磋商过程中，磋商小组可以根据磋商情况调整磋商轮次。</w:t>
      </w:r>
    </w:p>
    <w:p>
      <w:pPr>
        <w:pStyle w:val="null3"/>
        <w:ind w:firstLine="480"/>
      </w:pPr>
      <w:r>
        <w:rPr/>
        <w:t>五、 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七、 磋商过程中，磋商的任何一方不得透露与磋商有关的其他供应商的技术资料、价格和其他信息。</w:t>
      </w:r>
    </w:p>
    <w:p>
      <w:pPr>
        <w:pStyle w:val="null3"/>
        <w:ind w:firstLine="480"/>
      </w:pPr>
      <w:r>
        <w:rPr/>
        <w:t>八、 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 xml:space="preserve"> 5.3.4符合性审查</w:t>
      </w:r>
    </w:p>
    <w:p>
      <w:pPr>
        <w:pStyle w:val="null3"/>
        <w:ind w:firstLine="480"/>
      </w:pPr>
      <w:r>
        <w:rPr/>
        <w:t xml:space="preserve"> 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在符合性审查过程中，如果出现磋商小组成员意见不一致的情况，按照少数服从多数的原则确定，但不得违背政府采购基本原则和磋商文件规定。</w:t>
      </w:r>
    </w:p>
    <w:p>
      <w:pPr>
        <w:pStyle w:val="null3"/>
        <w:ind w:firstLine="480"/>
      </w:pPr>
      <w:r>
        <w:rPr/>
        <w:t>符合性审查标准见下表：</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最高限价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报价表</w:t>
            </w:r>
          </w:p>
        </w:tc>
      </w:tr>
      <w:tr>
        <w:tc>
          <w:tcPr>
            <w:tcW w:type="dxa" w:w="831"/>
          </w:tcPr>
          <w:p>
            <w:pPr>
              <w:pStyle w:val="null3"/>
            </w:pPr>
            <w:r>
              <w:rPr/>
              <w:t>2</w:t>
            </w:r>
          </w:p>
        </w:tc>
        <w:tc>
          <w:tcPr>
            <w:tcW w:type="dxa" w:w="2492"/>
          </w:tcPr>
          <w:p>
            <w:pPr>
              <w:pStyle w:val="null3"/>
            </w:pPr>
            <w:r>
              <w:rPr/>
              <w:t>其他实质性要求</w:t>
            </w:r>
          </w:p>
        </w:tc>
        <w:tc>
          <w:tcPr>
            <w:tcW w:type="dxa" w:w="3322"/>
          </w:tcPr>
          <w:p>
            <w:pPr>
              <w:pStyle w:val="null3"/>
            </w:pPr>
            <w:r>
              <w:rPr/>
              <w:t>磋商文件中标注为实质性要求的内容。（除磋商文件明确要求须声明或承诺或提供相关资料的事项外，供应商可不对未要求声明或承诺的实质性 要求进行承诺，只要供应商未明确表示不响应磋商⽂件的要求，即视为供应商完全响应。）</w:t>
            </w:r>
          </w:p>
        </w:tc>
        <w:tc>
          <w:tcPr>
            <w:tcW w:type="dxa" w:w="1661"/>
          </w:tcPr>
          <w:p>
            <w:pPr>
              <w:pStyle w:val="null3"/>
            </w:pPr>
            <w:r>
              <w:rPr/>
              <w:t>响应文件封面 商务应答表 采购文件要求以及供应商认为应当提供的其他证明材料</w:t>
            </w:r>
          </w:p>
        </w:tc>
      </w:tr>
    </w:tbl>
    <w:p>
      <w:pPr>
        <w:pStyle w:val="null3"/>
        <w:outlineLvl w:val="3"/>
      </w:pPr>
      <w:r>
        <w:rPr>
          <w:b/>
          <w:sz w:val="24"/>
        </w:rPr>
        <w:t>5.3.5最后报价</w:t>
      </w:r>
    </w:p>
    <w:p>
      <w:pPr>
        <w:pStyle w:val="null3"/>
        <w:ind w:firstLine="480"/>
      </w:pPr>
      <w:r>
        <w:rPr/>
        <w:t>一、方案评审</w:t>
      </w:r>
    </w:p>
    <w:p>
      <w:pPr>
        <w:pStyle w:val="null3"/>
      </w:pPr>
    </w:p>
    <w:p>
      <w:pPr>
        <w:pStyle w:val="null3"/>
      </w:pPr>
    </w:p>
    <w:p>
      <w:pPr>
        <w:pStyle w:val="null3"/>
      </w:pPr>
      <w:r>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或者需要扶持的科技成果转化项目，提交最后报价的供应商可以为2家。有效最后报价的供应商不足的，本次采购活动终止，并发布终止公告。</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jc w:val="left"/>
      </w:pPr>
      <w:r>
        <w:rPr/>
        <w:t xml:space="preserve"> 四.供应商未在响应文件提交截止时间内提交报价或未按要求进行报价的，视为无效响应，由供应商自行承担不利后果。</w:t>
      </w:r>
    </w:p>
    <w:p>
      <w:pPr>
        <w:pStyle w:val="null3"/>
        <w:ind w:firstLine="480"/>
      </w:pPr>
      <w:r>
        <w:rPr/>
        <w:t>五、供应商未按磋商小组要求在规定时间内提交最后报价的，视为其退出磋商。</w:t>
      </w:r>
    </w:p>
    <w:p>
      <w:pPr>
        <w:pStyle w:val="null3"/>
        <w:ind w:firstLine="480"/>
      </w:pPr>
      <w:r>
        <w:rPr/>
        <w:t>六、最后报价一旦提交后，供应商不得以任何理由撤回。</w:t>
      </w:r>
    </w:p>
    <w:p>
      <w:pPr>
        <w:pStyle w:val="null3"/>
        <w:ind w:firstLine="480"/>
      </w:pPr>
      <w:r>
        <w:rPr/>
        <w:t>七、最后报价为有效报价应符合下列条件：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八、最后报价出现下列情况的，不需要供应商澄清，按以下原则处理：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5.3.6解释、澄清有关问题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5.3.7比较与评价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5.3.8复核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5.3.9推荐成交候选供应商</w:t>
      </w:r>
    </w:p>
    <w:p>
      <w:pPr>
        <w:pStyle w:val="null3"/>
      </w:pPr>
    </w:p>
    <w:p>
      <w:pPr>
        <w:pStyle w:val="null3"/>
      </w:pPr>
    </w:p>
    <w:p>
      <w:pPr>
        <w:pStyle w:val="null3"/>
      </w:pPr>
      <w:r>
        <w:rPr/>
        <w:t>采购包1：</w:t>
      </w:r>
      <w:r>
        <w:rPr/>
        <w:t>确定3家供应商为成交候选人。</w:t>
      </w:r>
    </w:p>
    <w:p>
      <w:pPr>
        <w:pStyle w:val="null3"/>
        <w:ind w:firstLine="480"/>
      </w:pPr>
      <w:r>
        <w:rPr/>
        <w:t>“本项目”磋商小组应当根据综合评分情况，按照评审得分由高到低顺序推荐成交候选供应商，并编写磋商报告（若本项目属于政府购买服务项目（含政府和社会资本合作项目）/市场竞争不充分的科研项目/需要扶持的科技成果转化项目，当提交最后报价的供应商为2家时，可以推荐2家成交候选供应商）。</w:t>
      </w:r>
    </w:p>
    <w:p>
      <w:pPr>
        <w:pStyle w:val="null3"/>
        <w:ind w:firstLine="480"/>
      </w:pPr>
      <w:r>
        <w:rPr/>
        <w:t>评审得分相同的，按照最后报价由低到高的顺序推荐。评审得分且最后报价相同的，按照技术指标优劣（本项目的技术指标为：</w:t>
      </w:r>
      <w:r>
        <w:rPr/>
        <w:t>详见服务要求</w:t>
      </w:r>
      <w:r>
        <w:rPr/>
        <w:t xml:space="preserve"> ，按照技术指标得分确定优劣）顺序推荐。评审得分且最后报价且技术指标得分均相同的，按供应商根据第六章强制、优先采购产品承诺函格式要求承诺提供的经认证的优先采购节能、环境标志产品数量由多到少顺序推荐。评审得分、最后报价、技术指标得分和承诺提供的经认证优先采购节能、环境标志产品数量均相同的，成交候选供应商并列。</w:t>
      </w:r>
    </w:p>
    <w:p>
      <w:pPr>
        <w:pStyle w:val="null3"/>
        <w:outlineLvl w:val="3"/>
      </w:pPr>
      <w:r>
        <w:rPr>
          <w:b/>
          <w:sz w:val="24"/>
        </w:rPr>
        <w:t>5.3.10编写磋商报告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5.3.11评审争议处理规则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5.4评审办法及标准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5.4.1评分办法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5.4.2评分标准</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详细评审85.00分</w:t>
            </w:r>
          </w:p>
          <w:p>
            <w:pPr>
              <w:pStyle w:val="null3"/>
            </w:pPr>
            <w:r>
              <w:rPr/>
              <w:t>报价得分15.00分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项目实施方案</w:t>
            </w:r>
          </w:p>
        </w:tc>
        <w:tc>
          <w:tcPr>
            <w:tcW w:type="dxa" w:w="2492"/>
          </w:tcPr>
          <w:p>
            <w:pPr>
              <w:pStyle w:val="null3"/>
            </w:pPr>
            <w:r>
              <w:rPr/>
              <w:t>根据供应商提供的针对本项目的项目实施方案进行综合评审，包括：①项目现状了解；②服务重难点以及针对重难点的措施；③安全管理体系与措施；④拟投入本项目的安保执勤装备、防护装备；⑤监督巡查机制。以上5条需要单独列明，5项内容完整，内容满足项目实际需求的得20分；每缺少1项内容的扣4分，每存在一处内容脱离实际或缺陷或错误的扣2分，扣完为止。 注：内容脱离实际或缺陷或错误是指：内容与采购人实际情况不符、采用的技术方法不符合规范要求、内容逻辑错误（内容自相矛盾）、虽有内容但描述内容不全面或含义不准确、内容脱离项目实际情况或与本项目无关或与项目不匹配、套用其他项目内容、内容违背法律法规要求、凭空编造以及不可能实现的夸大情形等情况。</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采购文件要求以及供应商认为应当提供的其他证明材料</w:t>
            </w:r>
          </w:p>
        </w:tc>
      </w:tr>
      <w:tr>
        <w:tc>
          <w:tcPr>
            <w:tcW w:type="dxa" w:w="831"/>
            <w:vMerge/>
          </w:tcPr>
          <w:p/>
        </w:tc>
        <w:tc>
          <w:tcPr>
            <w:tcW w:type="dxa" w:w="1661"/>
          </w:tcPr>
          <w:p>
            <w:pPr>
              <w:pStyle w:val="null3"/>
            </w:pPr>
            <w:r>
              <w:rPr/>
              <w:t>项目管理机构、职责分工及管理制度</w:t>
            </w:r>
          </w:p>
        </w:tc>
        <w:tc>
          <w:tcPr>
            <w:tcW w:type="dxa" w:w="2492"/>
          </w:tcPr>
          <w:p>
            <w:pPr>
              <w:pStyle w:val="null3"/>
            </w:pPr>
            <w:r>
              <w:rPr/>
              <w:t>根据供应商提供的针对本项目的项目管理机构、职责分工及管理制度进行综合评审，包括：①项目管理机构设置；②健全的管理制度；③项目管理目标；④各岗位管理职能职责分工；⑤详细合理的员工考核制度、工作奖惩办法。以上5条需要单独列明，5项内容完整，内容满足项目实际需求的得20分；每缺少1项内容的扣4分，每存在一处内容脱离实际或缺陷或错误的扣2分，扣完为止。 注：内容脱离实际或缺陷或错误是指：内容与采购人实际情况不符、采用的技术方法不符合规范要求、内容逻辑错误（内容自相矛盾）、虽有内容但描述内容不全面或含义不准确、内容脱离项目实际情况或与本项目无关或与项目不匹配、套用其他项目内容、内容违背法律法规要求、凭空编造以及不可能实现的夸大情形等情况。</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采购文件要求以及供应商认为应当提供的其他证明材料</w:t>
            </w:r>
          </w:p>
        </w:tc>
      </w:tr>
      <w:tr>
        <w:tc>
          <w:tcPr>
            <w:tcW w:type="dxa" w:w="831"/>
            <w:vMerge/>
          </w:tcPr>
          <w:p/>
        </w:tc>
        <w:tc>
          <w:tcPr>
            <w:tcW w:type="dxa" w:w="1661"/>
          </w:tcPr>
          <w:p>
            <w:pPr>
              <w:pStyle w:val="null3"/>
            </w:pPr>
            <w:r>
              <w:rPr/>
              <w:t>服务质量保障方案</w:t>
            </w:r>
          </w:p>
        </w:tc>
        <w:tc>
          <w:tcPr>
            <w:tcW w:type="dxa" w:w="2492"/>
          </w:tcPr>
          <w:p>
            <w:pPr>
              <w:pStyle w:val="null3"/>
            </w:pPr>
            <w:r>
              <w:rPr/>
              <w:t>根据供应商提供的针对本项目的项目管理机构、职责分工及管理制度进行综合评审，包括：①管理服务目标；②人员保障方案；③员工培训方案；④服务质量保障措施。以上4条需要单独列明，4项内容完整，内容满足项目实际需求的得16分；每缺少1项内容的扣4分，每存在一处内容脱离实际或缺陷或错误的扣2分，扣完为止。 注：内容脱离实际或缺陷或错误是指：内容与采购人实际情况不符、采用的技术方法不符合规范要求、内容逻辑错误（内容自相矛盾）、虽有内容但描述内容不全面或含义不准确、内容脱离项目实际情况或与本项目无关或与项目不匹配、套用其他项目内容、内容违背法律法规要求、凭空编造以及不可能实现的夸大情形等情况。</w:t>
            </w:r>
          </w:p>
        </w:tc>
        <w:tc>
          <w:tcPr>
            <w:tcW w:type="dxa" w:w="831"/>
          </w:tcPr>
          <w:p>
            <w:pPr>
              <w:pStyle w:val="null3"/>
              <w:jc w:val="right"/>
            </w:pPr>
            <w:r>
              <w:rPr/>
              <w:t>16.00</w:t>
            </w:r>
          </w:p>
        </w:tc>
        <w:tc>
          <w:tcPr>
            <w:tcW w:type="dxa" w:w="831"/>
          </w:tcPr>
          <w:p>
            <w:pPr>
              <w:pStyle w:val="null3"/>
            </w:pPr>
            <w:r>
              <w:rPr/>
              <w:t>主观</w:t>
            </w:r>
          </w:p>
        </w:tc>
        <w:tc>
          <w:tcPr>
            <w:tcW w:type="dxa" w:w="1661"/>
          </w:tcPr>
          <w:p>
            <w:pPr>
              <w:pStyle w:val="null3"/>
            </w:pPr>
            <w:r>
              <w:rPr/>
              <w:t>采购文件要求以及供应商认为应当提供的其他证明材料</w:t>
            </w:r>
          </w:p>
        </w:tc>
      </w:tr>
      <w:tr>
        <w:tc>
          <w:tcPr>
            <w:tcW w:type="dxa" w:w="831"/>
            <w:vMerge/>
          </w:tcPr>
          <w:p/>
        </w:tc>
        <w:tc>
          <w:tcPr>
            <w:tcW w:type="dxa" w:w="1661"/>
          </w:tcPr>
          <w:p>
            <w:pPr>
              <w:pStyle w:val="null3"/>
            </w:pPr>
            <w:r>
              <w:rPr/>
              <w:t>应急预案</w:t>
            </w:r>
          </w:p>
        </w:tc>
        <w:tc>
          <w:tcPr>
            <w:tcW w:type="dxa" w:w="2492"/>
          </w:tcPr>
          <w:p>
            <w:pPr>
              <w:pStyle w:val="null3"/>
            </w:pPr>
            <w:r>
              <w:rPr/>
              <w:t>1.根据供应商提供的针对本项目的应急预案进行综合评审，包括：①参观、采访、迎接上级检查的应急处理；②特殊天气、重大节假日应急措施；③群体闹事预案；④防火防盗预案；⑤重大疫病、疫情应急预案。以上5条需要单独列明，5项内容完整，内容满足项目实际需求的得15分；每缺少1项内容的扣3分，每存在一处内容脱离实际或缺陷或错误的扣1.5分，扣完为止。 注：内容脱离实际或缺陷或错误是指：内容与采购人实际情况不符、采用的技术方法不符合规范要求、内容逻辑错误（内容自相矛盾）、虽有内容但描述内容不全面或含义不准确、内容脱离项目实际情况或与本项目无关或与项目不匹配、套用其他项目内容、内容违背法律法规要求、凭空编造以及不可能实现的夸大情形等情况。 2.承诺出现上述应急情况1小时内增派安保人员不少于10人加2分，1小时内增派安保人员不少于20人加5分。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采购文件要求以及供应商认为应当提供的其他证明材料</w:t>
            </w:r>
          </w:p>
        </w:tc>
      </w:tr>
      <w:tr>
        <w:tc>
          <w:tcPr>
            <w:tcW w:type="dxa" w:w="831"/>
            <w:vMerge/>
          </w:tcPr>
          <w:p/>
        </w:tc>
        <w:tc>
          <w:tcPr>
            <w:tcW w:type="dxa" w:w="1661"/>
          </w:tcPr>
          <w:p>
            <w:pPr>
              <w:pStyle w:val="null3"/>
            </w:pPr>
            <w:r>
              <w:rPr/>
              <w:t>类似案例</w:t>
            </w:r>
          </w:p>
        </w:tc>
        <w:tc>
          <w:tcPr>
            <w:tcW w:type="dxa" w:w="2492"/>
          </w:tcPr>
          <w:p>
            <w:pPr>
              <w:pStyle w:val="null3"/>
            </w:pPr>
            <w:r>
              <w:rPr/>
              <w:t>根据供应商2021年01月01日（含）至递交响应文件截止时间类似项目业绩进行评审（以合同签订时间为准），每提供一个业绩得3分，最多得9分。 注：以提供的合同复印件为准（加盖公章）</w:t>
            </w:r>
          </w:p>
        </w:tc>
        <w:tc>
          <w:tcPr>
            <w:tcW w:type="dxa" w:w="831"/>
          </w:tcPr>
          <w:p>
            <w:pPr>
              <w:pStyle w:val="null3"/>
              <w:jc w:val="right"/>
            </w:pPr>
            <w:r>
              <w:rPr/>
              <w:t>9.00</w:t>
            </w:r>
          </w:p>
        </w:tc>
        <w:tc>
          <w:tcPr>
            <w:tcW w:type="dxa" w:w="831"/>
          </w:tcPr>
          <w:p>
            <w:pPr>
              <w:pStyle w:val="null3"/>
            </w:pPr>
            <w:r>
              <w:rPr/>
              <w:t>客观</w:t>
            </w:r>
          </w:p>
        </w:tc>
        <w:tc>
          <w:tcPr>
            <w:tcW w:type="dxa" w:w="1661"/>
          </w:tcPr>
          <w:p>
            <w:pPr>
              <w:pStyle w:val="null3"/>
            </w:pPr>
            <w:r>
              <w:rPr/>
              <w:t>采购文件要求以及供应商认为应当提供的其他证明材料</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满足磋商文件要求且最后报价最低的供应商的价格为磋商基准价，其价格分为满分。其他供应商的价格分统一按照下列公式计算：磋商报价得分=（磋商基准价/最后报价）×15×100%。</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报价表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1、所有的评分、价格等涉及小数计算，先四舍五入再计算；</w:t>
      </w:r>
    </w:p>
    <w:p>
      <w:pPr>
        <w:pStyle w:val="null3"/>
        <w:ind w:firstLine="480"/>
      </w:pPr>
      <w:r>
        <w:rPr/>
        <w:t>2、评分标准中要求提供的证明材料须清晰可辨。</w:t>
      </w:r>
    </w:p>
    <w:p>
      <w:pPr>
        <w:pStyle w:val="null3"/>
        <w:outlineLvl w:val="2"/>
      </w:pPr>
      <w:r>
        <w:rPr>
          <w:b/>
          <w:sz w:val="28"/>
        </w:rPr>
        <w:t>5.5终止采购活动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5.6确定成交供应商</w:t>
      </w:r>
    </w:p>
    <w:p>
      <w:pPr>
        <w:pStyle w:val="null3"/>
      </w:pPr>
    </w:p>
    <w:p>
      <w:pPr>
        <w:pStyle w:val="null3"/>
      </w:pPr>
    </w:p>
    <w:p>
      <w:pPr>
        <w:pStyle w:val="null3"/>
      </w:pPr>
      <w:r>
        <w:rPr/>
        <w:t>一、评审结束后，代理机构在评审结束后2个工作日内将磋商报告送采购人。</w:t>
      </w:r>
    </w:p>
    <w:p>
      <w:pPr>
        <w:pStyle w:val="null3"/>
      </w:pPr>
      <w:r>
        <w:rPr/>
        <w:t>二、采购人在收到磋商报告后5个工作日内，在磋商报告确定的成交候选供应商名单中按顺序确定1名成交供应商。采购人逾期未确定成交供应商且不提出异议的，视为确定磋商报告提出的排序第一的供应商为成交供应商。</w:t>
      </w:r>
    </w:p>
    <w:p>
      <w:pPr>
        <w:pStyle w:val="null3"/>
      </w:pPr>
      <w:r>
        <w:rPr/>
        <w:t>三、采购人或者代理机构应当自成交供应商确定之日起 2 个工作日内，在四川政府采购网上公告成交结果，磋商文件应当随成交结果同时公告。</w:t>
      </w:r>
    </w:p>
    <w:p>
      <w:pPr>
        <w:pStyle w:val="null3"/>
        <w:outlineLvl w:val="2"/>
      </w:pPr>
      <w:r>
        <w:rPr>
          <w:b/>
          <w:sz w:val="28"/>
        </w:rPr>
        <w:t>5.7评审专家在政府采购活动中承担以下义务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 应当在监督人员监督之下办理。</w:t>
      </w:r>
    </w:p>
    <w:p>
      <w:pPr>
        <w:pStyle w:val="null3"/>
        <w:ind w:firstLine="480"/>
      </w:pPr>
      <w:r>
        <w:rPr/>
        <w:t>（四）评审过程中，不得干预或者影响正常评审工作，不得发表倾向性、引导性意见，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履行《四川省政府采购评审工作规程（修订）》（川财采〔2016〕53号）第十三条第（六）项规定的义务外，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p>
    <w:p>
      <w:pPr>
        <w:pStyle w:val="null3"/>
      </w:pPr>
      <w:r>
        <w:rPr/>
        <w:t xml:space="preserve"> </w:t>
      </w:r>
    </w:p>
    <w:p>
      <w:pPr>
        <w:pStyle w:val="null3"/>
        <w:jc w:val="center"/>
        <w:outlineLvl w:val="1"/>
      </w:pPr>
      <w:r>
        <w:rPr>
          <w:b/>
          <w:sz w:val="36"/>
        </w:rPr>
        <w:t>第六章 响应文件格式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详见附件：分项报价表</w:t>
      </w:r>
    </w:p>
    <w:p>
      <w:pPr>
        <w:pStyle w:val="null3"/>
        <w:ind w:firstLine="960"/>
      </w:pPr>
      <w:r>
        <w:rPr/>
        <w:t>详见附件：采购文件要求以及供应商认为应当提供的其他证明材料</w:t>
      </w:r>
    </w:p>
    <w:p>
      <w:pPr>
        <w:pStyle w:val="null3"/>
      </w:pPr>
    </w:p>
    <w:p>
      <w:pPr>
        <w:pStyle w:val="null3"/>
      </w:pPr>
      <w:r>
        <w:rPr/>
        <w:t xml:space="preserve"> </w:t>
      </w:r>
    </w:p>
    <w:p>
      <w:pPr>
        <w:pStyle w:val="null3"/>
        <w:jc w:val="center"/>
        <w:outlineLvl w:val="1"/>
      </w:pPr>
      <w:r>
        <w:rPr>
          <w:b/>
          <w:sz w:val="36"/>
        </w:rPr>
        <w:t>第七章 拟签订采购合同文本</w:t>
      </w:r>
    </w:p>
    <w:p>
      <w:pPr>
        <w:pStyle w:val="null3"/>
      </w:pPr>
    </w:p>
    <w:p>
      <w:pPr>
        <w:pStyle w:val="null3"/>
      </w:pPr>
    </w:p>
    <w:p>
      <w:pPr>
        <w:pStyle w:val="null3"/>
      </w:pPr>
    </w:p>
    <w:p>
      <w:pPr>
        <w:pStyle w:val="null3"/>
      </w:pPr>
    </w:p>
    <w:p>
      <w:pPr>
        <w:pStyle w:val="null3"/>
      </w:pPr>
    </w:p>
    <w:p>
      <w:pPr>
        <w:pStyle w:val="null3"/>
        <w:jc w:val="center"/>
        <w:outlineLvl w:val="0"/>
      </w:pPr>
      <w:r>
        <w:rPr>
          <w:b/>
          <w:sz w:val="48"/>
        </w:rPr>
        <w:t xml:space="preserve"> 政府采购合同（服务类）</w:t>
      </w:r>
      <w:r>
        <w:br/>
      </w:r>
    </w:p>
    <w:p>
      <w:pPr>
        <w:pStyle w:val="null3"/>
      </w:pPr>
      <w:r>
        <w:rPr/>
        <w:t xml:space="preserve"> 政府采购合同编号： __________________</w:t>
      </w:r>
    </w:p>
    <w:p>
      <w:pPr>
        <w:pStyle w:val="null3"/>
      </w:pPr>
      <w:r>
        <w:rPr/>
        <w:t xml:space="preserve"> 履约地点：__________________</w:t>
      </w:r>
    </w:p>
    <w:p>
      <w:pPr>
        <w:pStyle w:val="null3"/>
      </w:pPr>
      <w:r>
        <w:rPr/>
        <w:t xml:space="preserve"> 签订日期：20___年___月___日</w:t>
      </w:r>
    </w:p>
    <w:p>
      <w:pPr>
        <w:pStyle w:val="null3"/>
      </w:pPr>
      <w:r>
        <w:rPr/>
        <w:t xml:space="preserve"> 签订地点：__________________</w:t>
      </w:r>
    </w:p>
    <w:p>
      <w:pPr>
        <w:pStyle w:val="null3"/>
      </w:pPr>
      <w:r>
        <w:rPr/>
        <w:t xml:space="preserve"> 采购人（甲方）：__________________</w:t>
      </w:r>
    </w:p>
    <w:p>
      <w:pPr>
        <w:pStyle w:val="null3"/>
      </w:pPr>
      <w:r>
        <w:rPr/>
        <w:t xml:space="preserve"> 地址：__________________</w:t>
      </w:r>
    </w:p>
    <w:p>
      <w:pPr>
        <w:pStyle w:val="null3"/>
      </w:pPr>
      <w:r>
        <w:rPr/>
        <w:t xml:space="preserve"> 供应商(乙方)：__________________</w:t>
      </w:r>
    </w:p>
    <w:p>
      <w:pPr>
        <w:pStyle w:val="null3"/>
      </w:pPr>
      <w:r>
        <w:rPr/>
        <w:t xml:space="preserve"> 地址：__________________</w:t>
      </w:r>
    </w:p>
    <w:p>
      <w:pPr>
        <w:pStyle w:val="null3"/>
      </w:pPr>
      <w:r>
        <w:rPr/>
        <w:t xml:space="preserve"> 依据《中华人民共和国民法典》《中华人民共和国政府采购法》与项目行业有关的法律法规，以及XXX采购项目的 </w:t>
      </w:r>
      <w:r>
        <w:rPr/>
        <w:t>《磋商文件》</w:t>
      </w:r>
      <w:r>
        <w:rPr/>
        <w:t>，乙方的《投标（响应）文件》及《中标（成交）通知书》，甲乙双方同意签订本合同。具体情况及要求如下</w:t>
      </w:r>
    </w:p>
    <w:p>
      <w:pPr>
        <w:pStyle w:val="null3"/>
        <w:outlineLvl w:val="3"/>
      </w:pPr>
      <w:r>
        <w:rPr>
          <w:b/>
          <w:sz w:val="24"/>
        </w:rPr>
        <w:t xml:space="preserve"> 一、标的信息</w:t>
      </w:r>
      <w:r>
        <w:br/>
      </w:r>
    </w:p>
    <w:p>
      <w:pPr>
        <w:pStyle w:val="null3"/>
        <w:outlineLvl w:val="3"/>
      </w:pPr>
      <w:r>
        <w:rPr>
          <w:b/>
          <w:sz w:val="24"/>
        </w:rPr>
        <w:t xml:space="preserve"> 二、服务要求</w:t>
      </w:r>
      <w:r>
        <w:br/>
      </w:r>
    </w:p>
    <w:p>
      <w:pPr>
        <w:pStyle w:val="null3"/>
        <w:outlineLvl w:val="3"/>
      </w:pPr>
      <w:r>
        <w:rPr>
          <w:b/>
          <w:sz w:val="24"/>
        </w:rPr>
        <w:t xml:space="preserve"> 三、合同定价方式、付款进度和支付方式</w:t>
      </w:r>
      <w:r>
        <w:br/>
      </w:r>
    </w:p>
    <w:p>
      <w:pPr>
        <w:pStyle w:val="null3"/>
        <w:outlineLvl w:val="3"/>
      </w:pPr>
      <w:r>
        <w:rPr>
          <w:b/>
          <w:sz w:val="24"/>
        </w:rPr>
        <w:t xml:space="preserve"> 四、履约保证金</w:t>
      </w:r>
      <w:r>
        <w:br/>
      </w:r>
    </w:p>
    <w:p>
      <w:pPr>
        <w:pStyle w:val="null3"/>
        <w:outlineLvl w:val="3"/>
      </w:pPr>
      <w:r>
        <w:rPr>
          <w:b/>
          <w:sz w:val="24"/>
        </w:rPr>
        <w:t xml:space="preserve"> 五、验收标准和方法</w:t>
      </w:r>
      <w:r>
        <w:br/>
      </w:r>
    </w:p>
    <w:p>
      <w:pPr>
        <w:pStyle w:val="null3"/>
        <w:outlineLvl w:val="3"/>
      </w:pPr>
      <w:r>
        <w:rPr>
          <w:b/>
          <w:sz w:val="24"/>
        </w:rPr>
        <w:t xml:space="preserve"> 六、甲方的权利和义务</w:t>
      </w:r>
    </w:p>
    <w:p>
      <w:pPr>
        <w:pStyle w:val="null3"/>
      </w:pPr>
      <w:r>
        <w:rPr/>
        <w:t>1.甲方有权对合同规定范围内乙方的服务行为进行监督和检查，拥有监管权。有权定期核对乙方提供服务所配备的人员数量。对甲方认为不合理的部分XXX。</w:t>
      </w:r>
    </w:p>
    <w:p>
      <w:pPr>
        <w:pStyle w:val="null3"/>
      </w:pPr>
      <w:r>
        <w:rPr/>
        <w:t>2.根据本合同规定，按时向乙方支付应付服务费用。</w:t>
      </w:r>
    </w:p>
    <w:p>
      <w:pPr>
        <w:pStyle w:val="null3"/>
      </w:pPr>
      <w:r>
        <w:rPr/>
        <w:t>3.国家法律、法规所规定由甲方承担的其它责任。</w:t>
      </w:r>
    </w:p>
    <w:p>
      <w:pPr>
        <w:pStyle w:val="null3"/>
      </w:pPr>
      <w:r>
        <w:rPr/>
        <w:t>......</w:t>
      </w:r>
    </w:p>
    <w:p>
      <w:pPr>
        <w:pStyle w:val="null3"/>
        <w:outlineLvl w:val="3"/>
      </w:pPr>
      <w:r>
        <w:rPr>
          <w:b/>
          <w:sz w:val="24"/>
        </w:rPr>
        <w:t xml:space="preserve"> 七、乙方的权利和义务</w:t>
      </w:r>
    </w:p>
    <w:p>
      <w:pPr>
        <w:pStyle w:val="null3"/>
      </w:pPr>
      <w:r>
        <w:rPr/>
        <w:t>1.根据本合同的约定向甲方收取相关服务费用。</w:t>
      </w:r>
    </w:p>
    <w:p>
      <w:pPr>
        <w:pStyle w:val="null3"/>
      </w:pPr>
      <w:r>
        <w:rPr/>
        <w:t>2.接受项目行业管理部门及政府有关部门的指导，接受甲方的监督。</w:t>
      </w:r>
    </w:p>
    <w:p>
      <w:pPr>
        <w:pStyle w:val="null3"/>
      </w:pPr>
      <w:r>
        <w:rPr/>
        <w:t>3.国家法律、法规所规定由乙方承担的其它责任。</w:t>
      </w:r>
    </w:p>
    <w:p>
      <w:pPr>
        <w:pStyle w:val="null3"/>
      </w:pPr>
      <w:r>
        <w:rPr/>
        <w:t>......</w:t>
      </w:r>
    </w:p>
    <w:p>
      <w:pPr>
        <w:pStyle w:val="null3"/>
        <w:outlineLvl w:val="3"/>
      </w:pPr>
      <w:r>
        <w:rPr>
          <w:b/>
          <w:sz w:val="24"/>
        </w:rPr>
        <w:t xml:space="preserve"> 八、违约责任</w:t>
      </w:r>
    </w:p>
    <w:p>
      <w:pPr>
        <w:pStyle w:val="null3"/>
      </w:pPr>
      <w:r>
        <w:rPr/>
        <w:t>1.若甲方未按照合同约定逾期向乙方支付货物费用，每逾期一天，按应支付金额的X‰作为违约金支付给乙方，直至实际支付之日</w:t>
      </w:r>
    </w:p>
    <w:p>
      <w:pPr>
        <w:pStyle w:val="null3"/>
      </w:pPr>
      <w:r>
        <w:rPr/>
        <w:t>2.因甲方原因导致变更、中止或者终止政府采购合同的，应对乙方受到的损失予以赔偿或者补偿。</w:t>
      </w:r>
    </w:p>
    <w:p>
      <w:pPr>
        <w:pStyle w:val="null3"/>
      </w:pPr>
      <w:r>
        <w:rPr/>
        <w:t>......</w:t>
      </w:r>
    </w:p>
    <w:p>
      <w:pPr>
        <w:pStyle w:val="null3"/>
        <w:outlineLvl w:val="3"/>
      </w:pPr>
      <w:r>
        <w:rPr>
          <w:b/>
          <w:sz w:val="24"/>
        </w:rPr>
        <w:t xml:space="preserve"> 九、不可抗事件处理</w:t>
      </w:r>
    </w:p>
    <w:p>
      <w:pPr>
        <w:pStyle w:val="null3"/>
      </w:pPr>
      <w:r>
        <w:rPr/>
        <w:t>1.在合同有效期内，任何一方因战争、洪灾、台风、地震等不可抗力事件导致不能履行合同，则合同履行期可延长，其延长期与不可抗力事件影响期相同。</w:t>
      </w:r>
    </w:p>
    <w:p>
      <w:pPr>
        <w:pStyle w:val="null3"/>
      </w:pPr>
      <w:r>
        <w:rPr/>
        <w:t>2.受阻一方应在不可抗力事件发生后尽快用电话通知对方并于事故发生后XX天内将有关部门出具的证明文件等用特快专递或挂号信寄给对方审阅确认。</w:t>
      </w:r>
    </w:p>
    <w:p>
      <w:pPr>
        <w:pStyle w:val="null3"/>
      </w:pPr>
      <w:r>
        <w:rPr/>
        <w:t>3.不可抗力事件延续XX天以上，双方应通过友好协商，确定是否继续履行合同</w:t>
      </w:r>
    </w:p>
    <w:p>
      <w:pPr>
        <w:pStyle w:val="null3"/>
      </w:pPr>
      <w:r>
        <w:rPr/>
        <w:t>......</w:t>
      </w:r>
    </w:p>
    <w:p>
      <w:pPr>
        <w:pStyle w:val="null3"/>
        <w:outlineLvl w:val="3"/>
      </w:pPr>
      <w:r>
        <w:rPr>
          <w:b/>
          <w:sz w:val="24"/>
        </w:rPr>
        <w:t xml:space="preserve"> 十、解决合同纠纷的方式</w:t>
      </w:r>
      <w:r>
        <w:br/>
      </w:r>
    </w:p>
    <w:p>
      <w:pPr>
        <w:pStyle w:val="null3"/>
        <w:outlineLvl w:val="3"/>
      </w:pPr>
      <w:r>
        <w:rPr>
          <w:b/>
          <w:sz w:val="24"/>
        </w:rPr>
        <w:t xml:space="preserve"> 十一、合同生效及其他</w:t>
      </w:r>
    </w:p>
    <w:p>
      <w:pPr>
        <w:pStyle w:val="null3"/>
      </w:pPr>
    </w:p>
    <w:p>
      <w:pPr>
        <w:pStyle w:val="null3"/>
      </w:pPr>
      <w:r>
        <w:rPr/>
        <w:t>1.合同经双方法定代表人（或主要负责人）或授权委托代理人签字并加盖公章后生效。</w:t>
      </w:r>
    </w:p>
    <w:p>
      <w:pPr>
        <w:pStyle w:val="null3"/>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pPr>
      <w:r>
        <w:rPr/>
        <w:t>3.本合同一式3份，自双方签章之日起生效。甲方持有1份，乙方持有1份，同级财政部门备案1份，具有同等法律效力。</w:t>
      </w:r>
    </w:p>
    <w:p>
      <w:pPr>
        <w:pStyle w:val="null3"/>
      </w:pPr>
      <w:r>
        <w:br/>
      </w:r>
      <w:r>
        <w:br/>
      </w:r>
      <w:r>
        <w:br/>
      </w:r>
      <w:r>
        <w:br/>
      </w:r>
      <w:r>
        <w:br/>
      </w:r>
    </w:p>
    <w:p>
      <w:pPr>
        <w:pStyle w:val="null3"/>
      </w:pPr>
    </w:p>
    <w:p>
      <w:pPr>
        <w:pStyle w:val="null3"/>
      </w:pPr>
    </w:p>
    <w:p>
      <w:pPr>
        <w:pStyle w:val="null3"/>
      </w:pPr>
    </w:p>
    <w:p>
      <w:pPr>
        <w:pStyle w:val="null3"/>
      </w:pPr>
      <w:r>
        <w:rPr/>
        <w:t xml:space="preserve"> 甲方： （盖章）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spacing w:after="375"/>
      </w:pPr>
    </w:p>
    <w:p>
      <w:pPr>
        <w:pStyle w:val="null3"/>
      </w:pPr>
      <w:r>
        <w:rPr/>
        <w:t xml:space="preserve"> 乙方：(盖章）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pP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