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招标项目技术、服务、商务及其他要求</w:t>
      </w:r>
    </w:p>
    <w:p>
      <w:pPr>
        <w:pStyle w:val="4"/>
        <w:ind w:firstLine="480"/>
      </w:pPr>
      <w: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ind w:firstLine="480"/>
      </w:pPr>
      <w:r>
        <w:t xml:space="preserve"> （注：当采购包的评标方法为最低评标价法时带“★”的参数需求为实质性要求，供应商必须响应并满足的参数需求，采购人、采购代理机构应当根据项目实际需求合理设定，并明确具体要求。）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ind w:firstLine="480"/>
      </w:pPr>
    </w:p>
    <w:p>
      <w:pPr>
        <w:pStyle w:val="4"/>
      </w:pPr>
    </w:p>
    <w:p>
      <w:pPr>
        <w:pStyle w:val="4"/>
      </w:pPr>
      <w:r>
        <w:t>项目名称：德阳市旌阳区油菜专用复合肥采购项目。 采购内容：油菜专用复合肥 主要功能或目标：油菜提质增效 需满足的要求：复合肥符合行业标准</w:t>
      </w:r>
    </w:p>
    <w:p>
      <w:pPr>
        <w:pStyle w:val="4"/>
        <w:outlineLvl w:val="2"/>
      </w:pPr>
      <w:r>
        <w:rPr>
          <w:b/>
          <w:sz w:val="28"/>
        </w:rPr>
        <w:t>3.2采购内容</w:t>
      </w:r>
    </w:p>
    <w:p>
      <w:pPr>
        <w:pStyle w:val="4"/>
        <w:outlineLvl w:val="3"/>
      </w:pPr>
      <w:r>
        <w:rPr>
          <w:b/>
          <w:sz w:val="24"/>
        </w:rPr>
        <w:t>3.2.1标的清单</w:t>
      </w:r>
    </w:p>
    <w:p>
      <w:pPr>
        <w:pStyle w:val="4"/>
      </w:pPr>
    </w:p>
    <w:p>
      <w:pPr>
        <w:pStyle w:val="4"/>
      </w:pPr>
    </w:p>
    <w:p>
      <w:pPr>
        <w:pStyle w:val="4"/>
      </w:pPr>
      <w:r>
        <w:t>采购包1：</w:t>
      </w:r>
    </w:p>
    <w:p>
      <w:pPr>
        <w:pStyle w:val="4"/>
      </w:pPr>
      <w:r>
        <w:t>采购包预算金额（元）: 3,166,000.00</w:t>
      </w:r>
    </w:p>
    <w:p>
      <w:pPr>
        <w:pStyle w:val="4"/>
      </w:pPr>
      <w:r>
        <w:t>采购包最高限价（元）: 3,166,000.00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油菜专用复合肥</w:t>
            </w:r>
          </w:p>
        </w:tc>
        <w:tc>
          <w:tcPr>
            <w:tcW w:w="848" w:type="dxa"/>
          </w:tcPr>
          <w:p>
            <w:pPr>
              <w:pStyle w:val="4"/>
              <w:jc w:val="right"/>
            </w:pPr>
            <w:r>
              <w:t>880.00</w:t>
            </w:r>
          </w:p>
        </w:tc>
        <w:tc>
          <w:tcPr>
            <w:tcW w:w="1356" w:type="dxa"/>
          </w:tcPr>
          <w:p>
            <w:pPr>
              <w:pStyle w:val="4"/>
              <w:jc w:val="right"/>
            </w:pPr>
            <w:r>
              <w:t>3,166,000.00</w:t>
            </w:r>
          </w:p>
        </w:tc>
        <w:tc>
          <w:tcPr>
            <w:tcW w:w="678" w:type="dxa"/>
          </w:tcPr>
          <w:p>
            <w:pPr>
              <w:pStyle w:val="4"/>
            </w:pPr>
            <w:r>
              <w:t>吨</w:t>
            </w:r>
          </w:p>
        </w:tc>
        <w:tc>
          <w:tcPr>
            <w:tcW w:w="678" w:type="dxa"/>
          </w:tcPr>
          <w:p>
            <w:pPr>
              <w:pStyle w:val="4"/>
            </w:pPr>
            <w:r>
              <w:t>农、林、牧、渔业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2"/>
      </w:pPr>
      <w:r>
        <w:rPr>
          <w:b/>
          <w:sz w:val="28"/>
        </w:rPr>
        <w:t>3.3技术要求</w:t>
      </w:r>
    </w:p>
    <w:p>
      <w:pPr>
        <w:pStyle w:val="4"/>
      </w:pPr>
    </w:p>
    <w:p>
      <w:pPr>
        <w:pStyle w:val="4"/>
      </w:pPr>
    </w:p>
    <w:p>
      <w:pPr>
        <w:pStyle w:val="4"/>
      </w:pPr>
    </w:p>
    <w:p>
      <w:pPr>
        <w:pStyle w:val="4"/>
      </w:pPr>
      <w:r>
        <w:t>采购包1：</w:t>
      </w:r>
    </w:p>
    <w:p>
      <w:pPr>
        <w:pStyle w:val="4"/>
      </w:pPr>
    </w:p>
    <w:p>
      <w:pPr>
        <w:pStyle w:val="4"/>
      </w:pPr>
      <w:r>
        <w:t>标的名称：油菜专用复合肥</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sz w:val="24"/>
              </w:rPr>
              <w:t>1、产品符合中华人民共和国国家推荐标准GB/T15063—2020复合肥料，如国家标准变更，以新标准为准。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jc w:val="both"/>
            </w:pPr>
            <w:r>
              <w:rPr>
                <w:rFonts w:ascii="宋体" w:hAnsi="宋体" w:eastAsia="宋体" w:cs="宋体"/>
                <w:sz w:val="24"/>
              </w:rPr>
              <w:t>硫酸钾型油菜专用配方肥；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p>
            <w:pPr>
              <w:pStyle w:val="4"/>
              <w:jc w:val="both"/>
            </w:pPr>
            <w:r>
              <w:rPr>
                <w:rFonts w:ascii="宋体" w:hAnsi="宋体" w:eastAsia="宋体" w:cs="宋体"/>
                <w:sz w:val="24"/>
              </w:rPr>
              <w:t>氮、磷、钾（N、P</w:t>
            </w:r>
            <w:r>
              <w:rPr>
                <w:rFonts w:ascii="宋体" w:hAnsi="宋体" w:eastAsia="宋体" w:cs="宋体"/>
                <w:sz w:val="24"/>
                <w:vertAlign w:val="subscript"/>
              </w:rPr>
              <w:t>2</w:t>
            </w:r>
            <w:r>
              <w:rPr>
                <w:rFonts w:ascii="宋体" w:hAnsi="宋体" w:eastAsia="宋体" w:cs="宋体"/>
                <w:sz w:val="24"/>
              </w:rPr>
              <w:t>O</w:t>
            </w:r>
            <w:r>
              <w:rPr>
                <w:rFonts w:ascii="宋体" w:hAnsi="宋体" w:eastAsia="宋体" w:cs="宋体"/>
                <w:sz w:val="24"/>
                <w:vertAlign w:val="subscript"/>
              </w:rPr>
              <w:t>5</w:t>
            </w:r>
            <w:r>
              <w:rPr>
                <w:rFonts w:ascii="宋体" w:hAnsi="宋体" w:eastAsia="宋体" w:cs="宋体"/>
                <w:sz w:val="24"/>
              </w:rPr>
              <w:t>、K</w:t>
            </w:r>
            <w:r>
              <w:rPr>
                <w:rFonts w:ascii="宋体" w:hAnsi="宋体" w:eastAsia="宋体" w:cs="宋体"/>
                <w:sz w:val="24"/>
                <w:vertAlign w:val="subscript"/>
              </w:rPr>
              <w:t>2</w:t>
            </w:r>
            <w:r>
              <w:rPr>
                <w:rFonts w:ascii="宋体" w:hAnsi="宋体" w:eastAsia="宋体" w:cs="宋体"/>
                <w:sz w:val="24"/>
              </w:rPr>
              <w:t>O）总养分质量分数≥40%；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4</w:t>
            </w:r>
          </w:p>
        </w:tc>
        <w:tc>
          <w:tcPr>
            <w:tcW w:w="2769" w:type="dxa"/>
          </w:tcPr>
          <w:p>
            <w:pPr>
              <w:pStyle w:val="4"/>
              <w:jc w:val="both"/>
            </w:pPr>
            <w:r>
              <w:rPr>
                <w:rFonts w:ascii="宋体" w:hAnsi="宋体" w:eastAsia="宋体" w:cs="宋体"/>
                <w:sz w:val="24"/>
              </w:rPr>
              <w:t>配方为N≥22、P</w:t>
            </w:r>
            <w:r>
              <w:rPr>
                <w:rFonts w:ascii="宋体" w:hAnsi="宋体" w:eastAsia="宋体" w:cs="宋体"/>
                <w:sz w:val="24"/>
                <w:vertAlign w:val="subscript"/>
              </w:rPr>
              <w:t>2</w:t>
            </w:r>
            <w:r>
              <w:rPr>
                <w:rFonts w:ascii="宋体" w:hAnsi="宋体" w:eastAsia="宋体" w:cs="宋体"/>
                <w:sz w:val="24"/>
              </w:rPr>
              <w:t>O</w:t>
            </w:r>
            <w:r>
              <w:rPr>
                <w:rFonts w:ascii="宋体" w:hAnsi="宋体" w:eastAsia="宋体" w:cs="宋体"/>
                <w:sz w:val="24"/>
                <w:vertAlign w:val="subscript"/>
              </w:rPr>
              <w:t>5</w:t>
            </w:r>
            <w:r>
              <w:rPr>
                <w:rFonts w:ascii="宋体" w:hAnsi="宋体" w:eastAsia="宋体" w:cs="宋体"/>
                <w:sz w:val="24"/>
              </w:rPr>
              <w:t>≥8、K</w:t>
            </w:r>
            <w:r>
              <w:rPr>
                <w:rFonts w:ascii="宋体" w:hAnsi="宋体" w:eastAsia="宋体" w:cs="宋体"/>
                <w:sz w:val="24"/>
                <w:vertAlign w:val="subscript"/>
              </w:rPr>
              <w:t>2</w:t>
            </w:r>
            <w:r>
              <w:rPr>
                <w:rFonts w:ascii="宋体" w:hAnsi="宋体" w:eastAsia="宋体" w:cs="宋体"/>
                <w:sz w:val="24"/>
              </w:rPr>
              <w:t>O≥10；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5</w:t>
            </w:r>
          </w:p>
        </w:tc>
        <w:tc>
          <w:tcPr>
            <w:tcW w:w="2769" w:type="dxa"/>
          </w:tcPr>
          <w:p>
            <w:pPr>
              <w:pStyle w:val="4"/>
              <w:jc w:val="both"/>
            </w:pPr>
            <w:r>
              <w:rPr>
                <w:rFonts w:ascii="宋体" w:hAnsi="宋体" w:eastAsia="宋体" w:cs="宋体"/>
                <w:sz w:val="24"/>
              </w:rPr>
              <w:t>锌、硼：0.2-2.0%；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6</w:t>
            </w:r>
          </w:p>
        </w:tc>
        <w:tc>
          <w:tcPr>
            <w:tcW w:w="2769" w:type="dxa"/>
          </w:tcPr>
          <w:p>
            <w:pPr>
              <w:pStyle w:val="4"/>
              <w:jc w:val="both"/>
            </w:pPr>
            <w:r>
              <w:rPr>
                <w:rFonts w:ascii="宋体" w:hAnsi="宋体" w:eastAsia="宋体" w:cs="宋体"/>
                <w:sz w:val="24"/>
              </w:rPr>
              <w:t>无害化指标：砷（As）（以烘干基计）≤50mg/kg，镉（Cd）（以烘干基计）≤10mg/kg，铅（Pb）（以烘干基计）≤200mg/kg，铬（Cr)(以烘干基计）≤500mg/kg，汞（Hg）（以烘干基计）≤5mg/kg。总铊≤2.5mg/kg，缩二脲≤1.5%且符合GB 38400-2019《肥料中有毒有害物质的限量要求》；以国家法定的检测机构出具的2023年1月1日至今的产品检测报告为准。（提供检测报告并加盖供应商公章）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7</w:t>
            </w:r>
          </w:p>
        </w:tc>
        <w:tc>
          <w:tcPr>
            <w:tcW w:w="2769" w:type="dxa"/>
          </w:tcPr>
          <w:p>
            <w:pPr>
              <w:pStyle w:val="4"/>
              <w:jc w:val="both"/>
            </w:pPr>
            <w:r>
              <w:rPr>
                <w:rFonts w:ascii="宋体" w:hAnsi="宋体" w:eastAsia="宋体" w:cs="宋体"/>
                <w:sz w:val="24"/>
              </w:rPr>
              <w:t>产品为颗粒状：粒度（1mm-4.75mm）≥90%；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8</w:t>
            </w:r>
          </w:p>
        </w:tc>
        <w:tc>
          <w:tcPr>
            <w:tcW w:w="2769" w:type="dxa"/>
          </w:tcPr>
          <w:p>
            <w:pPr>
              <w:pStyle w:val="4"/>
              <w:jc w:val="both"/>
            </w:pPr>
            <w:r>
              <w:rPr>
                <w:rFonts w:ascii="宋体" w:hAnsi="宋体" w:eastAsia="宋体" w:cs="宋体"/>
                <w:sz w:val="24"/>
              </w:rPr>
              <w:t>水分（H</w:t>
            </w:r>
            <w:r>
              <w:rPr>
                <w:rFonts w:ascii="宋体" w:hAnsi="宋体" w:eastAsia="宋体" w:cs="宋体"/>
                <w:sz w:val="24"/>
                <w:vertAlign w:val="subscript"/>
              </w:rPr>
              <w:t>2</w:t>
            </w:r>
            <w:r>
              <w:rPr>
                <w:rFonts w:ascii="宋体" w:hAnsi="宋体" w:eastAsia="宋体" w:cs="宋体"/>
                <w:sz w:val="24"/>
              </w:rPr>
              <w:t>O）≤2%。</w:t>
            </w:r>
          </w:p>
        </w:tc>
      </w:tr>
    </w:tbl>
    <w:p>
      <w:pPr>
        <w:pStyle w:val="4"/>
        <w:outlineLvl w:val="2"/>
      </w:pPr>
      <w:r>
        <w:rPr>
          <w:b/>
          <w:sz w:val="28"/>
        </w:rPr>
        <w:t>3.4商务要求</w:t>
      </w:r>
    </w:p>
    <w:p>
      <w:pPr>
        <w:pStyle w:val="4"/>
        <w:outlineLvl w:val="3"/>
      </w:pPr>
      <w:r>
        <w:rPr>
          <w:b/>
          <w:sz w:val="24"/>
        </w:rPr>
        <w:t>3.4.1交货时间</w:t>
      </w:r>
    </w:p>
    <w:p>
      <w:pPr>
        <w:pStyle w:val="4"/>
      </w:pPr>
    </w:p>
    <w:p>
      <w:pPr>
        <w:pStyle w:val="4"/>
      </w:pPr>
    </w:p>
    <w:p>
      <w:pPr>
        <w:pStyle w:val="4"/>
      </w:pPr>
    </w:p>
    <w:p>
      <w:pPr>
        <w:pStyle w:val="4"/>
      </w:pPr>
      <w:r>
        <w:t>采购包1：</w:t>
      </w:r>
    </w:p>
    <w:p>
      <w:pPr>
        <w:pStyle w:val="4"/>
      </w:pPr>
      <w:r>
        <w:t xml:space="preserve"> 自合同签订之日起15日</w:t>
      </w:r>
    </w:p>
    <w:p>
      <w:pPr>
        <w:pStyle w:val="4"/>
        <w:outlineLvl w:val="3"/>
      </w:pPr>
      <w:r>
        <w:rPr>
          <w:b/>
          <w:sz w:val="24"/>
        </w:rPr>
        <w:t>3.4.2交货地点</w:t>
      </w:r>
    </w:p>
    <w:p>
      <w:pPr>
        <w:pStyle w:val="4"/>
      </w:pPr>
    </w:p>
    <w:p>
      <w:pPr>
        <w:pStyle w:val="4"/>
      </w:pPr>
    </w:p>
    <w:p>
      <w:pPr>
        <w:pStyle w:val="4"/>
      </w:pPr>
    </w:p>
    <w:p>
      <w:pPr>
        <w:pStyle w:val="4"/>
      </w:pPr>
      <w:r>
        <w:t>采购包1：</w:t>
      </w:r>
    </w:p>
    <w:p>
      <w:pPr>
        <w:pStyle w:val="4"/>
      </w:pPr>
      <w:r>
        <w:t>德阳市旌阳区内采购人指定地点</w:t>
      </w:r>
    </w:p>
    <w:p>
      <w:pPr>
        <w:pStyle w:val="4"/>
        <w:outlineLvl w:val="3"/>
      </w:pPr>
      <w:r>
        <w:rPr>
          <w:b/>
          <w:sz w:val="24"/>
        </w:rPr>
        <w:t>3.4.3支付方式</w:t>
      </w:r>
    </w:p>
    <w:p>
      <w:pPr>
        <w:pStyle w:val="4"/>
      </w:pPr>
    </w:p>
    <w:p>
      <w:pPr>
        <w:pStyle w:val="4"/>
      </w:pPr>
    </w:p>
    <w:p>
      <w:pPr>
        <w:pStyle w:val="4"/>
      </w:pPr>
    </w:p>
    <w:p>
      <w:pPr>
        <w:pStyle w:val="4"/>
      </w:pPr>
      <w:r>
        <w:t>采购包1：</w:t>
      </w:r>
    </w:p>
    <w:p>
      <w:pPr>
        <w:pStyle w:val="4"/>
      </w:pPr>
      <w:r>
        <w:t>一次付清</w:t>
      </w:r>
    </w:p>
    <w:p>
      <w:pPr>
        <w:pStyle w:val="4"/>
        <w:outlineLvl w:val="3"/>
      </w:pPr>
      <w:r>
        <w:rPr>
          <w:b/>
          <w:sz w:val="24"/>
        </w:rPr>
        <w:t>3.4.4支付约定</w:t>
      </w:r>
    </w:p>
    <w:p>
      <w:pPr>
        <w:pStyle w:val="4"/>
      </w:pPr>
    </w:p>
    <w:p>
      <w:pPr>
        <w:pStyle w:val="4"/>
      </w:pPr>
    </w:p>
    <w:p>
      <w:pPr>
        <w:pStyle w:val="4"/>
      </w:pPr>
    </w:p>
    <w:p>
      <w:pPr>
        <w:pStyle w:val="4"/>
      </w:pPr>
      <w:r>
        <w:t>采购包1： 付款条件说明： 全部货物验收合格且按规定发放完毕后（中标人须向采购人出具合法有效完整的完税发票及相关凭证资料进行支付结算） ，达到付款条件起 60 日内，支付合同总金额的 100.00%。</w:t>
      </w:r>
    </w:p>
    <w:p>
      <w:pPr>
        <w:pStyle w:val="4"/>
        <w:outlineLvl w:val="3"/>
      </w:pPr>
      <w:r>
        <w:rPr>
          <w:b/>
          <w:sz w:val="24"/>
        </w:rPr>
        <w:t>3.4.5验收标准和方法</w:t>
      </w:r>
    </w:p>
    <w:p>
      <w:pPr>
        <w:pStyle w:val="4"/>
      </w:pPr>
    </w:p>
    <w:p>
      <w:pPr>
        <w:pStyle w:val="4"/>
      </w:pPr>
    </w:p>
    <w:p>
      <w:pPr>
        <w:pStyle w:val="4"/>
      </w:pPr>
    </w:p>
    <w:p>
      <w:pPr>
        <w:pStyle w:val="4"/>
      </w:pPr>
      <w:r>
        <w:t>采购包1：</w:t>
      </w:r>
    </w:p>
    <w:p>
      <w:pPr>
        <w:pStyle w:val="4"/>
      </w:pPr>
      <w:r>
        <w:t>1、中标人所提交商品不符合参数及要求的由中标人负责调整，并承担因调整而产生的一切费用。若不按要求调整的，按不能履约处理。 2、按照国家相应法律法规的要求进行履约验收。 3、每一批货物需提供该批次的检验报告（批次确定权由采购人决定），验收时双方现场抽样，并由采购人送达具有相应检测资质的检验机构进行检测，出具检测报告。 4、如货物出现包装问题，则中标人在采购人规定的时间内进行更换。经采购人抽检，如货物质量出现问题，采购人有权解除合同，有权拒付货款并要求退货，因此而产生的损失和费用由中标人承担。 5、因中标人提供的产品质量问题而导致合同无法履行，责任由中标人承担。</w:t>
      </w:r>
    </w:p>
    <w:p>
      <w:pPr>
        <w:pStyle w:val="4"/>
        <w:outlineLvl w:val="3"/>
      </w:pPr>
      <w:r>
        <w:rPr>
          <w:b/>
          <w:sz w:val="24"/>
        </w:rPr>
        <w:t>3.4.6包装方式及运输</w:t>
      </w:r>
    </w:p>
    <w:p>
      <w:pPr>
        <w:pStyle w:val="4"/>
      </w:pPr>
    </w:p>
    <w:p>
      <w:pPr>
        <w:pStyle w:val="4"/>
      </w:pPr>
    </w:p>
    <w:p>
      <w:pPr>
        <w:pStyle w:val="4"/>
      </w:pP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outlineLvl w:val="3"/>
      </w:pPr>
      <w:r>
        <w:rPr>
          <w:b/>
          <w:sz w:val="24"/>
        </w:rPr>
        <w:t>3.4.7质量保修范围和保修期</w:t>
      </w:r>
    </w:p>
    <w:p>
      <w:pPr>
        <w:pStyle w:val="4"/>
      </w:pPr>
    </w:p>
    <w:p>
      <w:pPr>
        <w:pStyle w:val="4"/>
      </w:pPr>
    </w:p>
    <w:p>
      <w:pPr>
        <w:pStyle w:val="4"/>
      </w:pPr>
    </w:p>
    <w:p>
      <w:pPr>
        <w:pStyle w:val="4"/>
      </w:pPr>
      <w:r>
        <w:t>采购包1：</w:t>
      </w:r>
    </w:p>
    <w:p>
      <w:pPr>
        <w:pStyle w:val="4"/>
      </w:pPr>
      <w:r>
        <w:t>质量保证及售后服务：1、投标人须在投标文件中对本次采购项目中所有的内容进行书面服务承诺并按承诺做出响应。售后提供技术资料，并集中指导、培训农户如何使用，指派专人负责售后服务事宜。 2、根据本项目售后服务情况编制本项目售后服务实施方案，包括但不限于：售后服务方案中包含但不限于（1）售后服务机构、（2）售后服务响应时间、（3）售后服务人员配置计划、（4）施肥建议、（5）培训方案、（6）应急处置。 3、售后服务培训人员的相关证明材料，如有，请提供。</w:t>
      </w:r>
    </w:p>
    <w:p>
      <w:pPr>
        <w:pStyle w:val="4"/>
        <w:outlineLvl w:val="3"/>
      </w:pPr>
      <w:r>
        <w:rPr>
          <w:b/>
          <w:sz w:val="24"/>
        </w:rPr>
        <w:t>3.4.8违约责任与解决争议的方法</w:t>
      </w:r>
    </w:p>
    <w:p>
      <w:pPr>
        <w:pStyle w:val="4"/>
      </w:pPr>
    </w:p>
    <w:p>
      <w:pPr>
        <w:pStyle w:val="4"/>
      </w:pPr>
    </w:p>
    <w:p>
      <w:pPr>
        <w:pStyle w:val="4"/>
      </w:pPr>
    </w:p>
    <w:p>
      <w:pPr>
        <w:pStyle w:val="4"/>
      </w:pPr>
      <w:r>
        <w:t>采购包1：</w:t>
      </w:r>
    </w:p>
    <w:p>
      <w:pPr>
        <w:pStyle w:val="4"/>
      </w:pPr>
      <w:r>
        <w:t>1、采购人违约责任： （1）采购人无正当理由拒收货物的，采购人应偿付合同总价百分之十的违约金； 2、供应商违约责任 （1）供应商交付的货物质量不符合合同规定的，供应商应向采购人支付合同总价的百分之十的违约金，并须在合同规定的交货时间内更换合格的货物给采购人，否则，视作供应商不能交付货物而违约，按本条本款下述第“（2）”项规定由供应商偿付违约赔偿金给采购人。 （2）供应商不能交付货物或逾期交付货物而违约的，除应及时交足货物外，应向采购人偿付逾期交货部分货款总额的千分之一/天的违约金；逾期交货超过30天，采购人有权终止合同，供应商则应按合同总价的百分之十的款额向采购人偿付赔偿金，并须全额退还采购人已经付给供应商的货款及其利息。 （3）供应商货物经采购人送交具有法定资格条件的质量技术监督机构检测后，（检测费用由供应商支付）如检测结果认定货物质量不符合本合同规定标准的，则视为供应商没有按时交货而违约，供应商须在30天内无条件更换合格的货物，如逾期不能更换合格的货物，采购人有权终止本合同，供应商应另付合同总价的百分之十的赔偿金给采购人。 （4）供应商保证本合同货物的权利无瑕疵，包括货物所有权及知识产权等权利无瑕疵。如任何第三方经法院（或仲裁机构）裁决有权对上述货物主张权利或国家机关依法对货物进行没收查处的，供应商除应向采购人返还已收款项外，还应另按合同总价的百分之十向采购人支付违约金。 （5）供应商偿付的违约金不足以弥补采购人损失的，还应按采购人损失尚未弥补的部分，支付赔偿金给采购人。</w:t>
      </w:r>
    </w:p>
    <w:p>
      <w:pPr>
        <w:pStyle w:val="4"/>
        <w:jc w:val="left"/>
        <w:outlineLvl w:val="2"/>
      </w:pPr>
      <w:r>
        <w:rPr>
          <w:b/>
          <w:sz w:val="28"/>
        </w:rPr>
        <w:t>3.5其他要求</w:t>
      </w:r>
    </w:p>
    <w:p>
      <w:pPr>
        <w:pStyle w:val="4"/>
      </w:pPr>
    </w:p>
    <w:p>
      <w:pPr>
        <w:pStyle w:val="4"/>
      </w:pPr>
    </w:p>
    <w:p>
      <w:pPr>
        <w:pStyle w:val="4"/>
      </w:pPr>
      <w:r>
        <w:t>1、产品包装规格（实质性要求）：40kg/袋或25kg/袋。（投标人按投标产品实际情况响应其中一种规格即可） 2、报价要求（实质性要求）本次报价包含货物成本，装卸费、运杂费（含多次转运）、仓储费、发放费、税费、保险费、抽样检测费、技术培训指导费等全部费用。采购人不再支付其它任何费用。投标报价估算错误等引起的风险由供应商自行承担。 3、根据本项目实施情况编制本项目实施方案，包括但不限于：（1）货源组织；（2）供货进度安排；（3）配送人员及车辆安排；（4）货物储存保管措施；（5）安全保障措施；（6）特殊情况下紧急供货措施。 4、供应商2021年1月1日以来类似产品业绩，如有，请提供，类似产品业绩指：复合肥产品类似业绩。（5）投标人如有为本项目培训活动配置农艺师及以上培训导师，请按招标文件要求提供相关证明材料。</w:t>
      </w:r>
    </w:p>
    <w:p>
      <w:pPr>
        <w:pStyle w:val="4"/>
      </w:pPr>
    </w:p>
    <w:p>
      <w:pPr>
        <w:pStyle w:val="4"/>
      </w:pPr>
      <w:r>
        <w:t xml:space="preserve"> </w:t>
      </w:r>
    </w:p>
    <w:p>
      <w:pPr>
        <w:pStyle w:val="4"/>
        <w:rPr>
          <w:rFonts w:hint="eastAsia"/>
          <w:lang w:val="en-US" w:eastAsia="zh-Han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0NWFjNzUwNGY3MjMzNGJlODhkNDZhZDkzNTBlNTYifQ=="/>
  </w:docVars>
  <w:rsids>
    <w:rsidRoot w:val="53B52B8D"/>
    <w:rsid w:val="177F50ED"/>
    <w:rsid w:val="2092477F"/>
    <w:rsid w:val="29710109"/>
    <w:rsid w:val="4D445859"/>
    <w:rsid w:val="53B52B8D"/>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cp:lastModifiedBy>
  <dcterms:modified xsi:type="dcterms:W3CDTF">2024-04-23T08:06:29Z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8211D342CE4942DAA5F17457CACC6E85_13</vt:lpwstr>
  </property>
</Properties>
</file>