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Times New Roman"/>
          <w:b/>
          <w:color w:val="auto"/>
          <w:sz w:val="44"/>
          <w:szCs w:val="44"/>
          <w:highlight w:val="none"/>
        </w:rPr>
      </w:pPr>
    </w:p>
    <w:p>
      <w:pPr>
        <w:rPr>
          <w:rFonts w:hint="default" w:ascii="Calibri" w:hAnsi="Calibri" w:eastAsia="宋体" w:cs="Times New Roman"/>
          <w:color w:val="auto"/>
          <w:szCs w:val="21"/>
          <w:highlight w:val="none"/>
          <w:lang w:val="en-US"/>
        </w:rPr>
      </w:pPr>
      <w:r>
        <w:rPr>
          <w:rFonts w:hint="eastAsia" w:ascii="宋体" w:hAnsi="宋体" w:eastAsia="宋体" w:cs="Times New Roman"/>
          <w:b/>
          <w:bCs/>
          <w:color w:val="auto"/>
          <w:szCs w:val="21"/>
          <w:highlight w:val="none"/>
        </w:rPr>
        <w:t>采购项目名称：</w:t>
      </w:r>
      <w:r>
        <w:rPr>
          <w:rFonts w:hint="eastAsia" w:ascii="宋体" w:hAnsi="宋体" w:eastAsia="宋体" w:cs="Times New Roman"/>
          <w:b/>
          <w:bCs/>
          <w:color w:val="auto"/>
          <w:szCs w:val="21"/>
          <w:highlight w:val="none"/>
          <w:lang w:eastAsia="zh-CN"/>
        </w:rPr>
        <w:t>广汉市教育和体育局广汉市2023年“双随机”监督检查教育系统整改</w:t>
      </w:r>
      <w:r>
        <w:rPr>
          <w:rFonts w:hint="eastAsia" w:ascii="宋体" w:hAnsi="宋体" w:eastAsia="宋体" w:cs="Times New Roman"/>
          <w:b/>
          <w:bCs/>
          <w:color w:val="auto"/>
          <w:szCs w:val="21"/>
          <w:highlight w:val="none"/>
          <w:lang w:val="en-US" w:eastAsia="zh-CN"/>
        </w:rPr>
        <w:t>采购需求</w:t>
      </w:r>
    </w:p>
    <w:p>
      <w:pPr>
        <w:numPr>
          <w:ilvl w:val="0"/>
          <w:numId w:val="2"/>
        </w:numPr>
        <w:adjustRightInd w:val="0"/>
        <w:spacing w:before="100" w:beforeAutospacing="1" w:after="100" w:afterAutospacing="1" w:line="360" w:lineRule="auto"/>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采购清单：</w:t>
      </w:r>
    </w:p>
    <w:tbl>
      <w:tblPr>
        <w:tblStyle w:val="14"/>
        <w:tblW w:w="69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2"/>
        <w:gridCol w:w="1694"/>
        <w:gridCol w:w="1882"/>
        <w:gridCol w:w="1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auto"/>
                <w:w w:val="100"/>
                <w:sz w:val="21"/>
                <w:szCs w:val="21"/>
                <w:highlight w:val="none"/>
                <w:u w:val="none"/>
                <w:lang w:val="en-US" w:eastAsia="zh-Hans"/>
              </w:rPr>
            </w:pPr>
            <w:r>
              <w:rPr>
                <w:rFonts w:hint="eastAsia" w:ascii="宋体" w:hAnsi="宋体" w:eastAsia="宋体" w:cs="宋体"/>
                <w:b w:val="0"/>
                <w:bCs w:val="0"/>
                <w:i w:val="0"/>
                <w:iCs w:val="0"/>
                <w:color w:val="auto"/>
                <w:w w:val="100"/>
                <w:sz w:val="21"/>
                <w:szCs w:val="21"/>
                <w:highlight w:val="none"/>
                <w:u w:val="none"/>
                <w:lang w:val="en-US" w:eastAsia="zh-Hans"/>
              </w:rPr>
              <w:t>序号</w:t>
            </w:r>
          </w:p>
        </w:tc>
        <w:tc>
          <w:tcPr>
            <w:tcW w:w="1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iCs w:val="0"/>
                <w:color w:val="auto"/>
                <w:w w:val="100"/>
                <w:sz w:val="21"/>
                <w:szCs w:val="21"/>
                <w:highlight w:val="none"/>
                <w:u w:val="none"/>
                <w:lang w:val="en-US" w:eastAsia="zh-Hans"/>
              </w:rPr>
            </w:pPr>
            <w:r>
              <w:rPr>
                <w:rFonts w:hint="eastAsia" w:ascii="宋体" w:hAnsi="宋体" w:eastAsia="宋体" w:cs="宋体"/>
                <w:b w:val="0"/>
                <w:bCs w:val="0"/>
                <w:i w:val="0"/>
                <w:iCs w:val="0"/>
                <w:color w:val="auto"/>
                <w:w w:val="100"/>
                <w:sz w:val="21"/>
                <w:szCs w:val="21"/>
                <w:highlight w:val="none"/>
                <w:u w:val="none"/>
                <w:lang w:val="en-US" w:eastAsia="zh-Hans"/>
              </w:rPr>
              <w:t>产品名称</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CN" w:bidi="ar-SA"/>
              </w:rPr>
            </w:pPr>
            <w:r>
              <w:rPr>
                <w:rFonts w:hint="eastAsia" w:ascii="宋体" w:hAnsi="宋体" w:eastAsia="宋体" w:cs="宋体"/>
                <w:b w:val="0"/>
                <w:bCs w:val="0"/>
                <w:i w:val="0"/>
                <w:iCs w:val="0"/>
                <w:color w:val="auto"/>
                <w:kern w:val="0"/>
                <w:sz w:val="21"/>
                <w:szCs w:val="21"/>
                <w:highlight w:val="none"/>
                <w:u w:val="none"/>
                <w:lang w:val="en-US" w:eastAsia="zh-CN" w:bidi="ar"/>
              </w:rPr>
              <w:t>数量</w:t>
            </w:r>
          </w:p>
        </w:tc>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2"/>
                <w:sz w:val="21"/>
                <w:szCs w:val="21"/>
                <w:highlight w:val="none"/>
                <w:u w:val="none"/>
                <w:lang w:val="en-US" w:eastAsia="zh-Hans" w:bidi="ar-SA"/>
              </w:rPr>
            </w:pPr>
            <w:r>
              <w:rPr>
                <w:rFonts w:hint="eastAsia" w:ascii="宋体" w:hAnsi="宋体" w:eastAsia="宋体" w:cs="宋体"/>
                <w:b w:val="0"/>
                <w:bCs w:val="0"/>
                <w:i w:val="0"/>
                <w:iCs w:val="0"/>
                <w:color w:val="auto"/>
                <w:kern w:val="0"/>
                <w:sz w:val="21"/>
                <w:szCs w:val="21"/>
                <w:highlight w:val="none"/>
                <w:u w:val="none"/>
                <w:lang w:val="en-US" w:eastAsia="zh-CN" w:bidi="ar"/>
              </w:rPr>
              <w:t>单位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trHeight w:val="432" w:hRule="atLeast"/>
          <w:jc w:val="center"/>
        </w:trPr>
        <w:tc>
          <w:tcPr>
            <w:tcW w:w="1452" w:type="dxa"/>
            <w:shd w:val="clear" w:color="auto" w:fill="auto"/>
            <w:noWrap w:val="0"/>
            <w:vAlign w:val="center"/>
          </w:tcPr>
          <w:p>
            <w:pPr>
              <w:pStyle w:val="27"/>
              <w:jc w:val="center"/>
              <w:rPr>
                <w:rFonts w:hint="eastAsia" w:ascii="宋体" w:hAnsi="宋体" w:eastAsia="宋体" w:cs="宋体"/>
                <w:b w:val="0"/>
                <w:bCs w:val="0"/>
                <w:color w:val="auto"/>
                <w:sz w:val="21"/>
                <w:szCs w:val="21"/>
                <w:highlight w:val="none"/>
                <w:lang w:val="en-US" w:eastAsia="zh-CN" w:bidi="ar-SA"/>
              </w:rPr>
            </w:pPr>
            <w:r>
              <w:rPr>
                <w:rFonts w:ascii="宋体" w:hAnsi="宋体" w:cs="宋体"/>
                <w:b w:val="0"/>
                <w:bCs w:val="0"/>
                <w:color w:val="auto"/>
                <w:sz w:val="21"/>
                <w:szCs w:val="21"/>
                <w:highlight w:val="none"/>
              </w:rPr>
              <w:t>1</w:t>
            </w:r>
          </w:p>
        </w:tc>
        <w:tc>
          <w:tcPr>
            <w:tcW w:w="1694" w:type="dxa"/>
            <w:shd w:val="clear" w:color="auto" w:fill="auto"/>
            <w:noWrap w:val="0"/>
            <w:vAlign w:val="center"/>
          </w:tcPr>
          <w:p>
            <w:pPr>
              <w:pStyle w:val="27"/>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LED黑板灯</w:t>
            </w:r>
          </w:p>
        </w:tc>
        <w:tc>
          <w:tcPr>
            <w:tcW w:w="1882"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2640</w:t>
            </w:r>
          </w:p>
        </w:tc>
        <w:tc>
          <w:tcPr>
            <w:tcW w:w="1951"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trHeight w:val="425" w:hRule="atLeast"/>
          <w:jc w:val="center"/>
        </w:trPr>
        <w:tc>
          <w:tcPr>
            <w:tcW w:w="1452" w:type="dxa"/>
            <w:shd w:val="clear" w:color="auto" w:fill="auto"/>
            <w:noWrap w:val="0"/>
            <w:vAlign w:val="center"/>
          </w:tcPr>
          <w:p>
            <w:pPr>
              <w:pStyle w:val="27"/>
              <w:jc w:val="center"/>
              <w:rPr>
                <w:rFonts w:hint="eastAsia" w:ascii="宋体" w:hAnsi="宋体" w:eastAsia="宋体" w:cs="宋体"/>
                <w:b w:val="0"/>
                <w:bCs w:val="0"/>
                <w:color w:val="auto"/>
                <w:sz w:val="21"/>
                <w:szCs w:val="21"/>
                <w:highlight w:val="none"/>
                <w:lang w:val="en-US" w:eastAsia="zh-CN" w:bidi="ar-SA"/>
              </w:rPr>
            </w:pPr>
            <w:r>
              <w:rPr>
                <w:rFonts w:ascii="宋体" w:hAnsi="宋体" w:cs="宋体"/>
                <w:b w:val="0"/>
                <w:bCs w:val="0"/>
                <w:color w:val="auto"/>
                <w:sz w:val="21"/>
                <w:szCs w:val="21"/>
                <w:highlight w:val="none"/>
              </w:rPr>
              <w:t>2</w:t>
            </w:r>
          </w:p>
        </w:tc>
        <w:tc>
          <w:tcPr>
            <w:tcW w:w="1694" w:type="dxa"/>
            <w:shd w:val="clear" w:color="auto" w:fill="auto"/>
            <w:noWrap w:val="0"/>
            <w:vAlign w:val="center"/>
          </w:tcPr>
          <w:p>
            <w:pPr>
              <w:pStyle w:val="27"/>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LED教室灯</w:t>
            </w:r>
          </w:p>
        </w:tc>
        <w:tc>
          <w:tcPr>
            <w:tcW w:w="1882"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8603</w:t>
            </w:r>
          </w:p>
        </w:tc>
        <w:tc>
          <w:tcPr>
            <w:tcW w:w="1951"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trHeight w:val="432" w:hRule="atLeast"/>
          <w:jc w:val="center"/>
        </w:trPr>
        <w:tc>
          <w:tcPr>
            <w:tcW w:w="1452" w:type="dxa"/>
            <w:shd w:val="clear" w:color="auto" w:fill="auto"/>
            <w:noWrap w:val="0"/>
            <w:vAlign w:val="center"/>
          </w:tcPr>
          <w:p>
            <w:pPr>
              <w:pStyle w:val="27"/>
              <w:jc w:val="center"/>
              <w:rPr>
                <w:rFonts w:hint="eastAsia" w:ascii="宋体" w:hAnsi="宋体" w:eastAsia="宋体" w:cs="宋体"/>
                <w:b w:val="0"/>
                <w:bCs w:val="0"/>
                <w:color w:val="auto"/>
                <w:sz w:val="21"/>
                <w:szCs w:val="21"/>
                <w:highlight w:val="none"/>
                <w:lang w:val="en-US" w:eastAsia="zh-CN" w:bidi="ar-SA"/>
              </w:rPr>
            </w:pPr>
            <w:r>
              <w:rPr>
                <w:rFonts w:ascii="宋体" w:hAnsi="宋体" w:cs="宋体"/>
                <w:b w:val="0"/>
                <w:bCs w:val="0"/>
                <w:color w:val="auto"/>
                <w:sz w:val="21"/>
                <w:szCs w:val="21"/>
                <w:highlight w:val="none"/>
              </w:rPr>
              <w:t>3</w:t>
            </w:r>
          </w:p>
        </w:tc>
        <w:tc>
          <w:tcPr>
            <w:tcW w:w="1694" w:type="dxa"/>
            <w:shd w:val="clear" w:color="auto" w:fill="auto"/>
            <w:noWrap w:val="0"/>
            <w:vAlign w:val="center"/>
          </w:tcPr>
          <w:p>
            <w:pPr>
              <w:pStyle w:val="27"/>
              <w:jc w:val="center"/>
              <w:rPr>
                <w:rFonts w:ascii="宋体" w:hAnsi="宋体" w:cs="宋体"/>
                <w:b w:val="0"/>
                <w:bCs w:val="0"/>
                <w:color w:val="auto"/>
                <w:sz w:val="21"/>
                <w:szCs w:val="21"/>
                <w:highlight w:val="none"/>
              </w:rPr>
            </w:pPr>
            <w:r>
              <w:rPr>
                <w:rFonts w:ascii="宋体" w:hAnsi="宋体" w:cs="宋体"/>
                <w:b w:val="0"/>
                <w:bCs w:val="0"/>
                <w:color w:val="auto"/>
                <w:sz w:val="21"/>
                <w:szCs w:val="21"/>
                <w:highlight w:val="none"/>
              </w:rPr>
              <w:t>开关面板</w:t>
            </w:r>
          </w:p>
        </w:tc>
        <w:tc>
          <w:tcPr>
            <w:tcW w:w="1882"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1760</w:t>
            </w:r>
          </w:p>
        </w:tc>
        <w:tc>
          <w:tcPr>
            <w:tcW w:w="1951" w:type="dxa"/>
            <w:shd w:val="clear" w:color="auto" w:fill="auto"/>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ascii="宋体" w:hAnsi="宋体" w:cs="宋体"/>
                <w:b w:val="0"/>
                <w:bCs w:val="0"/>
                <w:color w:val="auto"/>
                <w:sz w:val="21"/>
                <w:szCs w:val="21"/>
                <w:highlight w:val="none"/>
              </w:rPr>
              <w:t>个</w:t>
            </w:r>
          </w:p>
        </w:tc>
      </w:tr>
    </w:tbl>
    <w:p>
      <w:pPr>
        <w:numPr>
          <w:ilvl w:val="0"/>
          <w:numId w:val="2"/>
        </w:numPr>
        <w:adjustRightInd w:val="0"/>
        <w:spacing w:before="100" w:beforeAutospacing="1" w:after="100" w:afterAutospacing="1" w:line="360" w:lineRule="auto"/>
        <w:ind w:left="0" w:leftChars="0" w:firstLine="0" w:firstLineChars="0"/>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采购技术要求：</w:t>
      </w:r>
    </w:p>
    <w:tbl>
      <w:tblPr>
        <w:tblStyle w:val="14"/>
        <w:tblW w:w="93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9"/>
        <w:gridCol w:w="757"/>
        <w:gridCol w:w="6280"/>
        <w:gridCol w:w="872"/>
        <w:gridCol w:w="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w w:val="100"/>
                <w:sz w:val="21"/>
                <w:szCs w:val="21"/>
                <w:highlight w:val="none"/>
                <w:u w:val="none"/>
                <w:lang w:val="en-US" w:eastAsia="zh-Hans"/>
              </w:rPr>
            </w:pPr>
            <w:r>
              <w:rPr>
                <w:rFonts w:hint="eastAsia" w:ascii="宋体" w:hAnsi="宋体" w:eastAsia="宋体" w:cs="宋体"/>
                <w:b/>
                <w:bCs/>
                <w:i w:val="0"/>
                <w:iCs w:val="0"/>
                <w:color w:val="auto"/>
                <w:w w:val="100"/>
                <w:sz w:val="21"/>
                <w:szCs w:val="21"/>
                <w:highlight w:val="none"/>
                <w:u w:val="none"/>
                <w:lang w:val="en-US" w:eastAsia="zh-Hans"/>
              </w:rPr>
              <w:t>序号</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auto"/>
                <w:w w:val="100"/>
                <w:sz w:val="21"/>
                <w:szCs w:val="21"/>
                <w:highlight w:val="none"/>
                <w:u w:val="none"/>
                <w:lang w:val="en-US" w:eastAsia="zh-Hans"/>
              </w:rPr>
            </w:pPr>
            <w:r>
              <w:rPr>
                <w:rFonts w:hint="eastAsia" w:ascii="宋体" w:hAnsi="宋体" w:eastAsia="宋体" w:cs="宋体"/>
                <w:b/>
                <w:bCs/>
                <w:i w:val="0"/>
                <w:iCs w:val="0"/>
                <w:color w:val="auto"/>
                <w:w w:val="100"/>
                <w:sz w:val="21"/>
                <w:szCs w:val="21"/>
                <w:highlight w:val="none"/>
                <w:u w:val="none"/>
                <w:lang w:val="en-US" w:eastAsia="zh-Hans"/>
              </w:rPr>
              <w:t>产品名称</w:t>
            </w:r>
          </w:p>
        </w:tc>
        <w:tc>
          <w:tcPr>
            <w:tcW w:w="62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jc w:val="center"/>
              <w:rPr>
                <w:rFonts w:hint="eastAsia" w:ascii="宋体" w:hAnsi="宋体" w:eastAsia="宋体" w:cs="宋体"/>
                <w:b/>
                <w:bCs/>
                <w:color w:val="auto"/>
                <w:highlight w:val="none"/>
                <w:lang w:val="en-US" w:eastAsia="zh-Hans" w:bidi="ar-SA"/>
              </w:rPr>
            </w:pPr>
            <w:r>
              <w:rPr>
                <w:rFonts w:ascii="宋体" w:hAnsi="宋体" w:cs="宋体"/>
                <w:b/>
                <w:bCs/>
                <w:color w:val="auto"/>
                <w:highlight w:val="none"/>
              </w:rPr>
              <w:t>技术参数与性能指标</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highlight w:val="none"/>
                <w:u w:val="none"/>
                <w:lang w:val="en-US" w:eastAsia="zh-Hans" w:bidi="ar-SA"/>
              </w:rPr>
            </w:pPr>
            <w:r>
              <w:rPr>
                <w:rFonts w:hint="eastAsia" w:ascii="宋体" w:hAnsi="宋体" w:eastAsia="宋体" w:cs="宋体"/>
                <w:b/>
                <w:bCs/>
                <w:i w:val="0"/>
                <w:iCs w:val="0"/>
                <w:color w:val="auto"/>
                <w:kern w:val="0"/>
                <w:sz w:val="21"/>
                <w:szCs w:val="21"/>
                <w:highlight w:val="none"/>
                <w:u w:val="none"/>
                <w:lang w:val="en-US" w:eastAsia="zh-CN" w:bidi="ar"/>
              </w:rPr>
              <w:t>单位</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1"/>
                <w:szCs w:val="21"/>
                <w:highlight w:val="none"/>
                <w:u w:val="none"/>
                <w:lang w:val="en-US" w:eastAsia="zh-Hans" w:bidi="ar-SA"/>
              </w:rPr>
            </w:pPr>
            <w:r>
              <w:rPr>
                <w:rFonts w:hint="eastAsia" w:ascii="宋体" w:hAnsi="宋体" w:eastAsia="宋体" w:cs="宋体"/>
                <w:b/>
                <w:bCs/>
                <w:i w:val="0"/>
                <w:iCs w:val="0"/>
                <w:color w:val="auto"/>
                <w:kern w:val="0"/>
                <w:sz w:val="21"/>
                <w:szCs w:val="21"/>
                <w:highlight w:val="none"/>
                <w:u w:val="none"/>
                <w:lang w:val="en-US" w:eastAsia="zh-CN" w:bidi="ar"/>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649" w:type="dxa"/>
            <w:shd w:val="clear" w:color="auto" w:fill="auto"/>
            <w:noWrap w:val="0"/>
            <w:vAlign w:val="center"/>
          </w:tcPr>
          <w:p>
            <w:pPr>
              <w:pStyle w:val="27"/>
              <w:jc w:val="center"/>
              <w:rPr>
                <w:rFonts w:hint="eastAsia" w:ascii="宋体" w:hAnsi="宋体" w:eastAsia="宋体" w:cs="宋体"/>
                <w:color w:val="auto"/>
                <w:highlight w:val="none"/>
                <w:lang w:val="en-US" w:eastAsia="zh-CN" w:bidi="ar-SA"/>
              </w:rPr>
            </w:pPr>
            <w:r>
              <w:rPr>
                <w:rFonts w:ascii="宋体" w:hAnsi="宋体" w:cs="宋体"/>
                <w:color w:val="auto"/>
                <w:highlight w:val="none"/>
              </w:rPr>
              <w:t>1</w:t>
            </w:r>
          </w:p>
        </w:tc>
        <w:tc>
          <w:tcPr>
            <w:tcW w:w="757" w:type="dxa"/>
            <w:shd w:val="clear" w:color="auto" w:fill="auto"/>
            <w:noWrap w:val="0"/>
            <w:vAlign w:val="center"/>
          </w:tcPr>
          <w:p>
            <w:pPr>
              <w:pStyle w:val="27"/>
              <w:jc w:val="center"/>
              <w:rPr>
                <w:rFonts w:ascii="宋体" w:hAnsi="宋体" w:cs="宋体"/>
                <w:color w:val="auto"/>
                <w:highlight w:val="none"/>
              </w:rPr>
            </w:pPr>
            <w:r>
              <w:rPr>
                <w:rFonts w:ascii="宋体" w:hAnsi="宋体" w:cs="宋体"/>
                <w:b w:val="0"/>
                <w:bCs/>
                <w:color w:val="auto"/>
                <w:highlight w:val="none"/>
              </w:rPr>
              <w:t>LED黑板灯</w:t>
            </w:r>
          </w:p>
        </w:tc>
        <w:tc>
          <w:tcPr>
            <w:tcW w:w="6280" w:type="dxa"/>
            <w:shd w:val="clear" w:color="auto" w:fill="auto"/>
            <w:noWrap w:val="0"/>
            <w:vAlign w:val="top"/>
          </w:tcPr>
          <w:p>
            <w:pPr>
              <w:pStyle w:val="27"/>
              <w:ind w:left="15" w:firstLine="480"/>
              <w:jc w:val="both"/>
              <w:rPr>
                <w:rFonts w:ascii="宋体" w:hAnsi="宋体" w:cs="宋体"/>
                <w:color w:val="auto"/>
                <w:highlight w:val="none"/>
              </w:rPr>
            </w:pPr>
            <w:r>
              <w:rPr>
                <w:rFonts w:ascii="宋体" w:hAnsi="宋体" w:cs="宋体"/>
                <w:b/>
                <w:color w:val="auto"/>
                <w:highlight w:val="none"/>
              </w:rPr>
              <w:t>（【该产品为本项目核心产品】）</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1</w:t>
            </w:r>
            <w:r>
              <w:rPr>
                <w:rStyle w:val="31"/>
                <w:rFonts w:cs="宋体"/>
                <w:color w:val="auto"/>
                <w:sz w:val="20"/>
                <w:szCs w:val="20"/>
                <w:highlight w:val="none"/>
              </w:rPr>
              <w:t>、</w:t>
            </w:r>
            <w:r>
              <w:rPr>
                <w:rStyle w:val="31"/>
                <w:rFonts w:hint="eastAsia" w:cs="宋体"/>
                <w:color w:val="auto"/>
                <w:sz w:val="20"/>
                <w:szCs w:val="20"/>
                <w:highlight w:val="yellow"/>
              </w:rPr>
              <w:t>LED黑板灯额定功率≤55W，</w:t>
            </w:r>
            <w:r>
              <w:rPr>
                <w:rFonts w:hint="eastAsia" w:ascii="宋体" w:hAnsi="宋体" w:cs="宋体"/>
                <w:color w:val="auto"/>
                <w:sz w:val="20"/>
                <w:szCs w:val="20"/>
                <w:highlight w:val="none"/>
              </w:rPr>
              <w:t>一体式LED防眩灯具</w:t>
            </w:r>
            <w:r>
              <w:rPr>
                <w:rStyle w:val="31"/>
                <w:rFonts w:cs="宋体"/>
                <w:color w:val="auto"/>
                <w:sz w:val="20"/>
                <w:szCs w:val="20"/>
                <w:highlight w:val="none"/>
              </w:rPr>
              <w:t>；尺寸长度</w:t>
            </w:r>
            <w:r>
              <w:rPr>
                <w:rStyle w:val="30"/>
                <w:rFonts w:hint="eastAsia" w:ascii="宋体" w:hAnsi="宋体" w:cs="宋体"/>
                <w:color w:val="auto"/>
                <w:sz w:val="20"/>
                <w:szCs w:val="20"/>
                <w:highlight w:val="none"/>
              </w:rPr>
              <w:t>≥1200mm</w:t>
            </w:r>
            <w:r>
              <w:rPr>
                <w:rStyle w:val="31"/>
                <w:rFonts w:cs="宋体"/>
                <w:color w:val="auto"/>
                <w:sz w:val="20"/>
                <w:szCs w:val="20"/>
                <w:highlight w:val="none"/>
              </w:rPr>
              <w:t>；灯具主框体采用：</w:t>
            </w:r>
            <w:r>
              <w:rPr>
                <w:rStyle w:val="30"/>
                <w:rFonts w:hint="eastAsia" w:ascii="宋体" w:hAnsi="宋体" w:cs="宋体"/>
                <w:color w:val="auto"/>
                <w:sz w:val="20"/>
                <w:szCs w:val="20"/>
                <w:highlight w:val="none"/>
              </w:rPr>
              <w:t>≥0.4mm</w:t>
            </w:r>
            <w:r>
              <w:rPr>
                <w:rStyle w:val="31"/>
                <w:rFonts w:cs="宋体"/>
                <w:color w:val="auto"/>
                <w:sz w:val="20"/>
                <w:szCs w:val="20"/>
                <w:highlight w:val="none"/>
              </w:rPr>
              <w:t>铝型材等轻型、坚固金属材料，并经氧化处理，无毛刺，具备防锈功能；吊杆式安装；</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2</w:t>
            </w:r>
            <w:r>
              <w:rPr>
                <w:rStyle w:val="31"/>
                <w:rFonts w:cs="宋体"/>
                <w:color w:val="auto"/>
                <w:sz w:val="20"/>
                <w:szCs w:val="20"/>
                <w:highlight w:val="none"/>
              </w:rPr>
              <w:t>、色温（或相关色温）满足</w:t>
            </w:r>
            <w:r>
              <w:rPr>
                <w:rStyle w:val="30"/>
                <w:rFonts w:hint="eastAsia" w:ascii="宋体" w:hAnsi="宋体" w:cs="宋体"/>
                <w:color w:val="auto"/>
                <w:sz w:val="20"/>
                <w:szCs w:val="20"/>
                <w:highlight w:val="none"/>
              </w:rPr>
              <w:t>3300-5300K</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3</w:t>
            </w:r>
            <w:r>
              <w:rPr>
                <w:rStyle w:val="31"/>
                <w:rFonts w:cs="宋体"/>
                <w:color w:val="auto"/>
                <w:sz w:val="20"/>
                <w:szCs w:val="20"/>
                <w:highlight w:val="none"/>
              </w:rPr>
              <w:t>、显色指数满足</w:t>
            </w:r>
            <w:r>
              <w:rPr>
                <w:rStyle w:val="30"/>
                <w:rFonts w:hint="eastAsia" w:ascii="宋体" w:hAnsi="宋体" w:cs="宋体"/>
                <w:color w:val="auto"/>
                <w:sz w:val="20"/>
                <w:szCs w:val="20"/>
                <w:highlight w:val="none"/>
              </w:rPr>
              <w:t>Ra≥90</w:t>
            </w:r>
            <w:r>
              <w:rPr>
                <w:rStyle w:val="31"/>
                <w:rFonts w:cs="宋体"/>
                <w:color w:val="auto"/>
                <w:sz w:val="20"/>
                <w:szCs w:val="20"/>
                <w:highlight w:val="none"/>
              </w:rPr>
              <w:t>、</w:t>
            </w:r>
            <w:r>
              <w:rPr>
                <w:rStyle w:val="30"/>
                <w:rFonts w:hint="eastAsia" w:ascii="宋体" w:hAnsi="宋体" w:cs="宋体"/>
                <w:color w:val="auto"/>
                <w:sz w:val="20"/>
                <w:szCs w:val="20"/>
                <w:highlight w:val="none"/>
              </w:rPr>
              <w:t>R9≥50</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4</w:t>
            </w:r>
            <w:r>
              <w:rPr>
                <w:rStyle w:val="31"/>
                <w:rFonts w:cs="宋体"/>
                <w:color w:val="auto"/>
                <w:sz w:val="20"/>
                <w:szCs w:val="20"/>
                <w:highlight w:val="none"/>
              </w:rPr>
              <w:t>、色容差（或色品容差）</w:t>
            </w:r>
            <w:r>
              <w:rPr>
                <w:rStyle w:val="30"/>
                <w:rFonts w:hint="eastAsia" w:ascii="宋体" w:hAnsi="宋体" w:cs="宋体"/>
                <w:color w:val="auto"/>
                <w:sz w:val="20"/>
                <w:szCs w:val="20"/>
                <w:highlight w:val="none"/>
              </w:rPr>
              <w:t>≤5SDCM</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5</w:t>
            </w:r>
            <w:r>
              <w:rPr>
                <w:rStyle w:val="31"/>
                <w:rFonts w:cs="宋体"/>
                <w:color w:val="auto"/>
                <w:sz w:val="20"/>
                <w:szCs w:val="20"/>
                <w:highlight w:val="none"/>
              </w:rPr>
              <w:t>、通过人体电磁辐射测试。提供第三方检测(或检验)机构出具的封面带有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rPr>
              <w:t>▲6、至少依据《GB/T 5700》、《GB/T 13379》、《GB/T 17743》、《GB/T  26572》、《GB/T 33721》、《GB/T 36876》、《QB/T 5533》及《T/JYBZ 005》标准满足</w:t>
            </w:r>
            <w:r>
              <w:rPr>
                <w:rFonts w:hint="eastAsia" w:ascii="宋体" w:hAnsi="宋体" w:cs="宋体"/>
                <w:color w:val="auto"/>
                <w:kern w:val="0"/>
                <w:sz w:val="20"/>
                <w:szCs w:val="20"/>
                <w:highlight w:val="none"/>
              </w:rPr>
              <w:t>黑板（书写板）平均照度≥500Lx，照度均匀度≥0.8</w:t>
            </w:r>
            <w:r>
              <w:rPr>
                <w:rFonts w:hint="eastAsia" w:ascii="宋体" w:hAnsi="宋体" w:cs="宋体"/>
                <w:color w:val="auto"/>
                <w:sz w:val="20"/>
                <w:szCs w:val="20"/>
                <w:highlight w:val="none"/>
              </w:rPr>
              <w:t>，且满足发光面法线方向、长边γ1=60°及短边γ2=60°角度内亮度测试结果均为“P”或合格。</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同时提供参数所要求检测标准依据在中国合格评定国家认可委员会官网查询的能力范围证明复印件并加盖投标人公章（鲜章）</w:t>
            </w:r>
            <w:r>
              <w:rPr>
                <w:rStyle w:val="31"/>
                <w:rFonts w:eastAsia="宋体" w:cs="宋体"/>
                <w:color w:val="auto"/>
                <w:sz w:val="20"/>
                <w:szCs w:val="20"/>
                <w:highlight w:val="none"/>
                <w:lang w:eastAsia="zh-CN"/>
              </w:rPr>
              <w:t>。</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▲7、至少依据《GB/T 5700》、《GB/T 13379》、《GB/T 17743》、《GB/T  26572》、《GB/T 33721》、《GB/T 36876》、《QB/T 5533》及《T/JYBZ 005》标准满足有害物质限量符合要求的。提供第三方认证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widowControl/>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8</w:t>
            </w:r>
            <w:r>
              <w:rPr>
                <w:rStyle w:val="31"/>
                <w:rFonts w:cs="宋体"/>
                <w:color w:val="auto"/>
                <w:sz w:val="20"/>
                <w:szCs w:val="20"/>
                <w:highlight w:val="none"/>
              </w:rPr>
              <w:t>、频闪质量特征认证结果为无显著影响或无频闪危害或无危害频闪；</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widowControl/>
              <w:jc w:val="left"/>
              <w:rPr>
                <w:rStyle w:val="31"/>
                <w:rFonts w:cs="宋体"/>
                <w:color w:val="auto"/>
                <w:sz w:val="20"/>
                <w:szCs w:val="20"/>
                <w:highlight w:val="none"/>
              </w:rPr>
            </w:pPr>
            <w:r>
              <w:rPr>
                <w:rStyle w:val="30"/>
                <w:rFonts w:hint="eastAsia" w:ascii="宋体" w:hAnsi="宋体" w:cs="宋体"/>
                <w:color w:val="auto"/>
                <w:sz w:val="20"/>
                <w:szCs w:val="20"/>
                <w:highlight w:val="none"/>
              </w:rPr>
              <w:t>9</w:t>
            </w:r>
            <w:r>
              <w:rPr>
                <w:rStyle w:val="31"/>
                <w:rFonts w:cs="宋体"/>
                <w:color w:val="auto"/>
                <w:sz w:val="20"/>
                <w:szCs w:val="20"/>
                <w:highlight w:val="none"/>
              </w:rPr>
              <w:t>、蓝光危害等级为</w:t>
            </w:r>
            <w:r>
              <w:rPr>
                <w:rStyle w:val="30"/>
                <w:rFonts w:hint="eastAsia" w:ascii="宋体" w:hAnsi="宋体" w:cs="宋体"/>
                <w:color w:val="auto"/>
                <w:sz w:val="20"/>
                <w:szCs w:val="20"/>
                <w:highlight w:val="none"/>
              </w:rPr>
              <w:t>RG0</w:t>
            </w:r>
            <w:r>
              <w:rPr>
                <w:rStyle w:val="31"/>
                <w:rFonts w:cs="宋体"/>
                <w:color w:val="auto"/>
                <w:sz w:val="20"/>
                <w:szCs w:val="20"/>
                <w:highlight w:val="none"/>
              </w:rPr>
              <w:t>（</w:t>
            </w:r>
            <w:r>
              <w:rPr>
                <w:rStyle w:val="30"/>
                <w:rFonts w:hint="eastAsia" w:ascii="宋体" w:hAnsi="宋体" w:cs="宋体"/>
                <w:color w:val="auto"/>
                <w:sz w:val="20"/>
                <w:szCs w:val="20"/>
                <w:highlight w:val="none"/>
              </w:rPr>
              <w:t>0</w:t>
            </w:r>
            <w:r>
              <w:rPr>
                <w:rStyle w:val="31"/>
                <w:rFonts w:cs="宋体"/>
                <w:color w:val="auto"/>
                <w:sz w:val="20"/>
                <w:szCs w:val="20"/>
                <w:highlight w:val="none"/>
              </w:rPr>
              <w:t>类危险）；</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▲10、</w:t>
            </w:r>
            <w:r>
              <w:rPr>
                <w:rFonts w:hint="eastAsia" w:ascii="宋体" w:hAnsi="宋体" w:cs="宋体"/>
                <w:color w:val="auto"/>
                <w:kern w:val="0"/>
                <w:sz w:val="20"/>
                <w:szCs w:val="20"/>
                <w:highlight w:val="none"/>
              </w:rPr>
              <w:t>通过眼舒适及视觉关怀认证</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▲11、至少依据《GB/T 5700》、《GB/T 13379》、《GB/T 17743》、《GB/T  26572》、《GB/T 33721》、《GB/T 36876》、《QB/T 5533》及《T/JYBZ 005》标准通过教室照明光环境认证。提供第三方认证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▲12、至少依据《GB/T 5700》、《GB/T 13379》、《GB/T 17743》、《GB/T  26572》、《GB/T 33721》、《GB/T 36876》、《QB/T 5533》及《T/JYBZ 005》标准通过灯具可靠固定评价认证。提供第三方认证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tc>
        <w:tc>
          <w:tcPr>
            <w:tcW w:w="872" w:type="dxa"/>
            <w:shd w:val="clear" w:color="auto" w:fill="auto"/>
            <w:noWrap w:val="0"/>
            <w:vAlign w:val="center"/>
          </w:tcPr>
          <w:p>
            <w:pPr>
              <w:jc w:val="center"/>
              <w:rPr>
                <w:rFonts w:hint="eastAsia" w:ascii="宋体" w:hAnsi="宋体" w:eastAsia="宋体" w:cs="宋体"/>
                <w:b w:val="0"/>
                <w:bCs/>
                <w:color w:val="auto"/>
                <w:kern w:val="2"/>
                <w:sz w:val="20"/>
                <w:szCs w:val="20"/>
                <w:highlight w:val="none"/>
                <w:lang w:val="en-US" w:eastAsia="zh-CN" w:bidi="ar-SA"/>
              </w:rPr>
            </w:pPr>
            <w:r>
              <w:rPr>
                <w:rFonts w:ascii="宋体" w:hAnsi="宋体" w:cs="宋体"/>
                <w:b w:val="0"/>
                <w:bCs/>
                <w:color w:val="auto"/>
                <w:highlight w:val="none"/>
              </w:rPr>
              <w:t>盏</w:t>
            </w:r>
          </w:p>
        </w:tc>
        <w:tc>
          <w:tcPr>
            <w:tcW w:w="841" w:type="dxa"/>
            <w:shd w:val="clear" w:color="auto" w:fill="auto"/>
            <w:noWrap w:val="0"/>
            <w:vAlign w:val="center"/>
          </w:tcPr>
          <w:p>
            <w:pPr>
              <w:jc w:val="center"/>
              <w:rPr>
                <w:rFonts w:hint="eastAsia" w:ascii="宋体" w:hAnsi="宋体" w:eastAsia="宋体" w:cs="宋体"/>
                <w:b w:val="0"/>
                <w:bCs/>
                <w:color w:val="auto"/>
                <w:kern w:val="2"/>
                <w:sz w:val="20"/>
                <w:szCs w:val="20"/>
                <w:highlight w:val="none"/>
                <w:lang w:val="en-US" w:eastAsia="zh-CN" w:bidi="ar-SA"/>
              </w:rPr>
            </w:pPr>
            <w:r>
              <w:rPr>
                <w:rFonts w:ascii="宋体" w:hAnsi="宋体" w:cs="宋体"/>
                <w:b w:val="0"/>
                <w:bCs/>
                <w:color w:val="auto"/>
                <w:highlight w:val="none"/>
              </w:rPr>
              <w:t>2640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649" w:type="dxa"/>
            <w:shd w:val="clear" w:color="auto" w:fill="auto"/>
            <w:noWrap w:val="0"/>
            <w:vAlign w:val="center"/>
          </w:tcPr>
          <w:p>
            <w:pPr>
              <w:pStyle w:val="27"/>
              <w:jc w:val="center"/>
              <w:rPr>
                <w:rFonts w:hint="eastAsia" w:ascii="宋体" w:hAnsi="宋体" w:eastAsia="宋体" w:cs="宋体"/>
                <w:color w:val="auto"/>
                <w:highlight w:val="none"/>
                <w:lang w:val="en-US" w:eastAsia="zh-CN" w:bidi="ar-SA"/>
              </w:rPr>
            </w:pPr>
            <w:r>
              <w:rPr>
                <w:rFonts w:ascii="宋体" w:hAnsi="宋体" w:cs="宋体"/>
                <w:color w:val="auto"/>
                <w:highlight w:val="none"/>
              </w:rPr>
              <w:t>2</w:t>
            </w:r>
          </w:p>
        </w:tc>
        <w:tc>
          <w:tcPr>
            <w:tcW w:w="757" w:type="dxa"/>
            <w:shd w:val="clear" w:color="auto" w:fill="auto"/>
            <w:noWrap w:val="0"/>
            <w:vAlign w:val="center"/>
          </w:tcPr>
          <w:p>
            <w:pPr>
              <w:pStyle w:val="27"/>
              <w:jc w:val="center"/>
              <w:rPr>
                <w:rFonts w:ascii="宋体" w:hAnsi="宋体" w:cs="宋体"/>
                <w:color w:val="auto"/>
                <w:highlight w:val="none"/>
              </w:rPr>
            </w:pPr>
            <w:r>
              <w:rPr>
                <w:rFonts w:ascii="宋体" w:hAnsi="宋体" w:cs="宋体"/>
                <w:b w:val="0"/>
                <w:bCs/>
                <w:color w:val="auto"/>
                <w:highlight w:val="none"/>
              </w:rPr>
              <w:t>LED教室灯</w:t>
            </w:r>
          </w:p>
        </w:tc>
        <w:tc>
          <w:tcPr>
            <w:tcW w:w="6280" w:type="dxa"/>
            <w:shd w:val="clear" w:color="auto" w:fill="auto"/>
            <w:noWrap w:val="0"/>
            <w:vAlign w:val="top"/>
          </w:tcPr>
          <w:p>
            <w:pPr>
              <w:pStyle w:val="27"/>
              <w:ind w:left="15" w:firstLine="480"/>
              <w:jc w:val="both"/>
              <w:rPr>
                <w:rFonts w:ascii="宋体" w:hAnsi="宋体" w:cs="宋体"/>
                <w:color w:val="auto"/>
                <w:highlight w:val="none"/>
              </w:rPr>
            </w:pPr>
            <w:r>
              <w:rPr>
                <w:rFonts w:ascii="宋体" w:hAnsi="宋体" w:cs="宋体"/>
                <w:b/>
                <w:color w:val="auto"/>
                <w:highlight w:val="none"/>
              </w:rPr>
              <w:t>（【该产品为本项目核心产品】）</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1</w:t>
            </w:r>
            <w:r>
              <w:rPr>
                <w:rStyle w:val="31"/>
                <w:rFonts w:cs="宋体"/>
                <w:color w:val="auto"/>
                <w:sz w:val="20"/>
                <w:szCs w:val="20"/>
                <w:highlight w:val="none"/>
              </w:rPr>
              <w:t>、</w:t>
            </w:r>
            <w:r>
              <w:rPr>
                <w:rFonts w:hint="eastAsia" w:ascii="宋体" w:hAnsi="宋体" w:cs="Arial"/>
                <w:color w:val="auto"/>
                <w:sz w:val="20"/>
                <w:szCs w:val="20"/>
                <w:highlight w:val="yellow"/>
              </w:rPr>
              <w:t>LED教室灯额定功率≤55W，</w:t>
            </w:r>
            <w:r>
              <w:rPr>
                <w:rFonts w:hint="eastAsia" w:ascii="宋体" w:hAnsi="宋体" w:cs="宋体"/>
                <w:color w:val="auto"/>
                <w:sz w:val="20"/>
                <w:szCs w:val="20"/>
                <w:highlight w:val="none"/>
              </w:rPr>
              <w:t>一体式LED格栅防眩灯具</w:t>
            </w:r>
            <w:r>
              <w:rPr>
                <w:rStyle w:val="31"/>
                <w:rFonts w:cs="宋体"/>
                <w:color w:val="auto"/>
                <w:sz w:val="20"/>
                <w:szCs w:val="20"/>
                <w:highlight w:val="none"/>
              </w:rPr>
              <w:t>；尺寸长度</w:t>
            </w:r>
            <w:r>
              <w:rPr>
                <w:rStyle w:val="30"/>
                <w:rFonts w:hint="eastAsia" w:ascii="宋体" w:hAnsi="宋体" w:cs="宋体"/>
                <w:color w:val="auto"/>
                <w:sz w:val="20"/>
                <w:szCs w:val="20"/>
                <w:highlight w:val="none"/>
              </w:rPr>
              <w:t>≥1200mm</w:t>
            </w:r>
            <w:r>
              <w:rPr>
                <w:rStyle w:val="31"/>
                <w:rFonts w:cs="宋体"/>
                <w:color w:val="auto"/>
                <w:sz w:val="20"/>
                <w:szCs w:val="20"/>
                <w:highlight w:val="none"/>
              </w:rPr>
              <w:t>；灯具主框体采用：</w:t>
            </w:r>
            <w:r>
              <w:rPr>
                <w:rStyle w:val="30"/>
                <w:rFonts w:hint="eastAsia" w:ascii="宋体" w:hAnsi="宋体" w:cs="宋体"/>
                <w:color w:val="auto"/>
                <w:sz w:val="20"/>
                <w:szCs w:val="20"/>
                <w:highlight w:val="none"/>
              </w:rPr>
              <w:t>≥0.4mm</w:t>
            </w:r>
            <w:r>
              <w:rPr>
                <w:rStyle w:val="31"/>
                <w:rFonts w:cs="宋体"/>
                <w:color w:val="auto"/>
                <w:sz w:val="20"/>
                <w:szCs w:val="20"/>
                <w:highlight w:val="none"/>
              </w:rPr>
              <w:t xml:space="preserve">铝型材等轻型、坚固金属材料，并经氧化处理，无毛刺，具备防锈功能；吊杆式安装。 </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2</w:t>
            </w:r>
            <w:r>
              <w:rPr>
                <w:rStyle w:val="31"/>
                <w:rFonts w:cs="宋体"/>
                <w:color w:val="auto"/>
                <w:sz w:val="20"/>
                <w:szCs w:val="20"/>
                <w:highlight w:val="none"/>
              </w:rPr>
              <w:t>、色温（或相关色温）满足</w:t>
            </w:r>
            <w:r>
              <w:rPr>
                <w:rStyle w:val="30"/>
                <w:rFonts w:hint="eastAsia" w:ascii="宋体" w:hAnsi="宋体" w:cs="宋体"/>
                <w:color w:val="auto"/>
                <w:sz w:val="20"/>
                <w:szCs w:val="20"/>
                <w:highlight w:val="none"/>
              </w:rPr>
              <w:t>3300-5300K</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3</w:t>
            </w:r>
            <w:r>
              <w:rPr>
                <w:rStyle w:val="31"/>
                <w:rFonts w:cs="宋体"/>
                <w:color w:val="auto"/>
                <w:sz w:val="20"/>
                <w:szCs w:val="20"/>
                <w:highlight w:val="none"/>
              </w:rPr>
              <w:t>、显色指数满足</w:t>
            </w:r>
            <w:r>
              <w:rPr>
                <w:rStyle w:val="30"/>
                <w:rFonts w:hint="eastAsia" w:ascii="宋体" w:hAnsi="宋体" w:cs="宋体"/>
                <w:color w:val="auto"/>
                <w:sz w:val="20"/>
                <w:szCs w:val="20"/>
                <w:highlight w:val="none"/>
              </w:rPr>
              <w:t>Ra≥90</w:t>
            </w:r>
            <w:r>
              <w:rPr>
                <w:rStyle w:val="31"/>
                <w:rFonts w:cs="宋体"/>
                <w:color w:val="auto"/>
                <w:sz w:val="20"/>
                <w:szCs w:val="20"/>
                <w:highlight w:val="none"/>
              </w:rPr>
              <w:t>、</w:t>
            </w:r>
            <w:r>
              <w:rPr>
                <w:rStyle w:val="30"/>
                <w:rFonts w:hint="eastAsia" w:ascii="宋体" w:hAnsi="宋体" w:cs="宋体"/>
                <w:color w:val="auto"/>
                <w:sz w:val="20"/>
                <w:szCs w:val="20"/>
                <w:highlight w:val="none"/>
              </w:rPr>
              <w:t>R9≥50</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4</w:t>
            </w:r>
            <w:r>
              <w:rPr>
                <w:rStyle w:val="31"/>
                <w:rFonts w:cs="宋体"/>
                <w:color w:val="auto"/>
                <w:sz w:val="20"/>
                <w:szCs w:val="20"/>
                <w:highlight w:val="none"/>
              </w:rPr>
              <w:t>、色容差（或色品容差）</w:t>
            </w:r>
            <w:r>
              <w:rPr>
                <w:rStyle w:val="30"/>
                <w:rFonts w:hint="eastAsia" w:ascii="宋体" w:hAnsi="宋体" w:cs="宋体"/>
                <w:color w:val="auto"/>
                <w:sz w:val="20"/>
                <w:szCs w:val="20"/>
                <w:highlight w:val="none"/>
              </w:rPr>
              <w:t>≤5SDCM</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5</w:t>
            </w:r>
            <w:r>
              <w:rPr>
                <w:rStyle w:val="31"/>
                <w:rFonts w:cs="宋体"/>
                <w:color w:val="auto"/>
                <w:sz w:val="20"/>
                <w:szCs w:val="20"/>
                <w:highlight w:val="none"/>
              </w:rPr>
              <w:t>、通过人体电磁辐射测试。提供第三方检测(或检验)机构出具的封面带有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标志的检测(或检验)报告及检测(或检验)报告编号在全国认证认可信息公共服务平台的查询证明复印件并加盖投标人公章（鲜章）</w:t>
            </w:r>
            <w:r>
              <w:rPr>
                <w:rStyle w:val="31"/>
                <w:rFonts w:eastAsia="宋体" w:cs="宋体"/>
                <w:color w:val="auto"/>
                <w:sz w:val="20"/>
                <w:szCs w:val="20"/>
                <w:highlight w:val="none"/>
                <w:lang w:eastAsia="zh-CN"/>
              </w:rPr>
              <w:t>。</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▲6、至少依据《GB/T 5700》、《GB/T 13379》、《GB/T 17743》、《GB/T  26572》、《GB/T 33721》、《GB/T 36876》、《QB/T 5533》及《T/JYBZ 005》标准满足</w:t>
            </w:r>
            <w:r>
              <w:rPr>
                <w:rFonts w:hint="eastAsia" w:ascii="宋体" w:hAnsi="宋体" w:cs="宋体"/>
                <w:color w:val="auto"/>
                <w:kern w:val="0"/>
                <w:sz w:val="20"/>
                <w:szCs w:val="20"/>
                <w:highlight w:val="none"/>
              </w:rPr>
              <w:t>课桌面平均照度≥300Lx，照度均匀度≥0.7，百勒克斯照明功率密度≤1.8W/㎡/100lx，教室统一眩光等级UGR≤16</w:t>
            </w:r>
            <w:r>
              <w:rPr>
                <w:rFonts w:hint="eastAsia" w:ascii="宋体" w:hAnsi="宋体" w:cs="宋体"/>
                <w:color w:val="auto"/>
                <w:sz w:val="20"/>
                <w:szCs w:val="20"/>
                <w:highlight w:val="none"/>
              </w:rPr>
              <w:t>，且满足发光面法线方向、长边γ1=60°及短边γ2=60°角度内亮度测试结果均为“P”或合格。</w:t>
            </w:r>
            <w:r>
              <w:rPr>
                <w:rStyle w:val="31"/>
                <w:rFonts w:cs="宋体"/>
                <w:color w:val="auto"/>
                <w:sz w:val="20"/>
                <w:szCs w:val="20"/>
                <w:highlight w:val="none"/>
              </w:rPr>
              <w:t>提供第三方检测(或检验)机构出具的封面带有</w:t>
            </w:r>
            <w:r>
              <w:rPr>
                <w:rStyle w:val="31"/>
                <w:rFonts w:eastAsia="宋体" w:cs="宋体"/>
                <w:color w:val="auto"/>
                <w:sz w:val="20"/>
                <w:szCs w:val="20"/>
                <w:highlight w:val="none"/>
                <w:lang w:eastAsia="zh-CN"/>
              </w:rPr>
              <w:t>CMA</w:t>
            </w:r>
            <w:r>
              <w:rPr>
                <w:rStyle w:val="31"/>
                <w:rFonts w:eastAsia="宋体" w:cs="宋体"/>
                <w:color w:val="auto"/>
                <w:sz w:val="20"/>
                <w:szCs w:val="20"/>
                <w:highlight w:val="yellow"/>
                <w:lang w:eastAsia="zh-CN"/>
              </w:rPr>
              <w:t>或</w:t>
            </w:r>
            <w:r>
              <w:rPr>
                <w:rStyle w:val="31"/>
                <w:rFonts w:eastAsia="宋体" w:cs="宋体"/>
                <w:color w:val="auto"/>
                <w:sz w:val="20"/>
                <w:szCs w:val="20"/>
                <w:highlight w:val="none"/>
                <w:lang w:eastAsia="zh-CN"/>
              </w:rPr>
              <w:t>CNAS</w:t>
            </w:r>
            <w:r>
              <w:rPr>
                <w:rStyle w:val="31"/>
                <w:rFonts w:cs="宋体"/>
                <w:color w:val="auto"/>
                <w:sz w:val="20"/>
                <w:szCs w:val="20"/>
                <w:highlight w:val="none"/>
              </w:rPr>
              <w:t>标志的检测(或检验)报告及检测(或检验)报告编号在全国认证认可信息公共服务平台的查询证明复印件，同时提供参数所要求检测标准依据在中国合格评定国家认可委员会官网查询的能力范围证明复印件并加盖投标人公章（鲜章）</w:t>
            </w:r>
            <w:r>
              <w:rPr>
                <w:rStyle w:val="31"/>
                <w:rFonts w:eastAsia="宋体" w:cs="宋体"/>
                <w:color w:val="auto"/>
                <w:sz w:val="20"/>
                <w:szCs w:val="20"/>
                <w:highlight w:val="none"/>
                <w:lang w:eastAsia="zh-CN"/>
              </w:rPr>
              <w:t>。</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▲7、至少依据《GB/T 5700》、《GB/T 13379》、《GB/T 17743》、《GB/T  26572》、《GB/T 33721》、《GB/T 36876》、《QB/T 5533》及《T/JYBZ 005》标准满足有害物质限量符合要求的。提供第三方认证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widowControl/>
              <w:jc w:val="left"/>
              <w:rPr>
                <w:rStyle w:val="31"/>
                <w:rFonts w:hint="eastAsia" w:eastAsia="宋体" w:cs="宋体"/>
                <w:color w:val="auto"/>
                <w:sz w:val="20"/>
                <w:szCs w:val="20"/>
                <w:highlight w:val="none"/>
                <w:lang w:eastAsia="zh-CN"/>
              </w:rPr>
            </w:pPr>
            <w:r>
              <w:rPr>
                <w:rStyle w:val="30"/>
                <w:rFonts w:hint="eastAsia" w:ascii="宋体" w:hAnsi="宋体" w:cs="宋体"/>
                <w:color w:val="auto"/>
                <w:sz w:val="20"/>
                <w:szCs w:val="20"/>
                <w:highlight w:val="none"/>
              </w:rPr>
              <w:t>8</w:t>
            </w:r>
            <w:r>
              <w:rPr>
                <w:rStyle w:val="31"/>
                <w:rFonts w:cs="宋体"/>
                <w:color w:val="auto"/>
                <w:sz w:val="20"/>
                <w:szCs w:val="20"/>
                <w:highlight w:val="none"/>
              </w:rPr>
              <w:t>、频闪质量特征认证结果为无显著影响或无频闪危害或无危害频闪；</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widowControl/>
              <w:jc w:val="left"/>
              <w:rPr>
                <w:rStyle w:val="31"/>
                <w:rFonts w:cs="宋体"/>
                <w:color w:val="auto"/>
                <w:sz w:val="20"/>
                <w:szCs w:val="20"/>
                <w:highlight w:val="none"/>
              </w:rPr>
            </w:pPr>
            <w:r>
              <w:rPr>
                <w:rStyle w:val="30"/>
                <w:rFonts w:hint="eastAsia" w:ascii="宋体" w:hAnsi="宋体" w:cs="宋体"/>
                <w:color w:val="auto"/>
                <w:sz w:val="20"/>
                <w:szCs w:val="20"/>
                <w:highlight w:val="none"/>
              </w:rPr>
              <w:t>9</w:t>
            </w:r>
            <w:r>
              <w:rPr>
                <w:rStyle w:val="31"/>
                <w:rFonts w:cs="宋体"/>
                <w:color w:val="auto"/>
                <w:sz w:val="20"/>
                <w:szCs w:val="20"/>
                <w:highlight w:val="none"/>
              </w:rPr>
              <w:t>、蓝光危害等级为</w:t>
            </w:r>
            <w:r>
              <w:rPr>
                <w:rStyle w:val="30"/>
                <w:rFonts w:hint="eastAsia" w:ascii="宋体" w:hAnsi="宋体" w:cs="宋体"/>
                <w:color w:val="auto"/>
                <w:sz w:val="20"/>
                <w:szCs w:val="20"/>
                <w:highlight w:val="none"/>
              </w:rPr>
              <w:t>RG0</w:t>
            </w:r>
            <w:r>
              <w:rPr>
                <w:rStyle w:val="31"/>
                <w:rFonts w:cs="宋体"/>
                <w:color w:val="auto"/>
                <w:sz w:val="20"/>
                <w:szCs w:val="20"/>
                <w:highlight w:val="none"/>
              </w:rPr>
              <w:t>（</w:t>
            </w:r>
            <w:r>
              <w:rPr>
                <w:rStyle w:val="30"/>
                <w:rFonts w:hint="eastAsia" w:ascii="宋体" w:hAnsi="宋体" w:cs="宋体"/>
                <w:color w:val="auto"/>
                <w:sz w:val="20"/>
                <w:szCs w:val="20"/>
                <w:highlight w:val="none"/>
              </w:rPr>
              <w:t>0</w:t>
            </w:r>
            <w:r>
              <w:rPr>
                <w:rStyle w:val="31"/>
                <w:rFonts w:cs="宋体"/>
                <w:color w:val="auto"/>
                <w:sz w:val="20"/>
                <w:szCs w:val="20"/>
                <w:highlight w:val="none"/>
              </w:rPr>
              <w:t>类危险）；</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▲10、</w:t>
            </w:r>
            <w:r>
              <w:rPr>
                <w:rFonts w:hint="eastAsia" w:ascii="宋体" w:hAnsi="宋体" w:cs="宋体"/>
                <w:color w:val="auto"/>
                <w:kern w:val="0"/>
                <w:sz w:val="20"/>
                <w:szCs w:val="20"/>
                <w:highlight w:val="none"/>
              </w:rPr>
              <w:t>通过眼舒适及视觉关怀认证</w:t>
            </w:r>
            <w:r>
              <w:rPr>
                <w:rFonts w:hint="eastAsia" w:ascii="宋体" w:hAnsi="宋体" w:cs="宋体"/>
                <w:color w:val="auto"/>
                <w:sz w:val="20"/>
                <w:szCs w:val="20"/>
                <w:highlight w:val="none"/>
              </w:rPr>
              <w:t>。提供第三方认证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▲11、至少依据《GB/T 5700》、《GB/T 13379》、《GB/T 17743》、《GB/T  26572》、《GB/T 33721》、《GB/T 36876》、《QB/T 5533》及《T/JYBZ 005》标准通过教室照明光环境认证。提供第三方认证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p>
            <w:pPr>
              <w:jc w:val="left"/>
              <w:rPr>
                <w:rStyle w:val="31"/>
                <w:rFonts w:cs="宋体"/>
                <w:color w:val="auto"/>
                <w:sz w:val="20"/>
                <w:szCs w:val="20"/>
                <w:highlight w:val="none"/>
              </w:rPr>
            </w:pPr>
            <w:r>
              <w:rPr>
                <w:rFonts w:hint="eastAsia" w:ascii="宋体" w:hAnsi="宋体" w:cs="宋体"/>
                <w:color w:val="auto"/>
                <w:sz w:val="20"/>
                <w:szCs w:val="20"/>
                <w:highlight w:val="none"/>
              </w:rPr>
              <w:t>▲12、至少依据《GB/T 5700》、《GB/T 13379》、《GB/T 17743》、《GB/T  26572》、《GB/T 33721》、《GB/T 36876》、《QB/T 5533》及《T/JYBZ 005》标准通过灯具可靠固定评价认证。提供第三方认证</w:t>
            </w:r>
            <w:r>
              <w:rPr>
                <w:rStyle w:val="31"/>
                <w:rFonts w:cs="宋体"/>
                <w:color w:val="auto"/>
                <w:sz w:val="20"/>
                <w:szCs w:val="20"/>
                <w:highlight w:val="none"/>
              </w:rPr>
              <w:t>(或认可)</w:t>
            </w:r>
            <w:r>
              <w:rPr>
                <w:rFonts w:hint="eastAsia" w:ascii="宋体" w:hAnsi="宋体" w:cs="宋体"/>
                <w:color w:val="auto"/>
                <w:sz w:val="20"/>
                <w:szCs w:val="20"/>
                <w:highlight w:val="none"/>
              </w:rPr>
              <w:t>机构出具的认证</w:t>
            </w:r>
            <w:r>
              <w:rPr>
                <w:rStyle w:val="31"/>
                <w:rFonts w:cs="宋体"/>
                <w:color w:val="auto"/>
                <w:sz w:val="20"/>
                <w:szCs w:val="20"/>
                <w:highlight w:val="none"/>
              </w:rPr>
              <w:t>(或认可)</w:t>
            </w:r>
            <w:r>
              <w:rPr>
                <w:rFonts w:hint="eastAsia" w:ascii="宋体" w:hAnsi="宋体" w:cs="宋体"/>
                <w:color w:val="auto"/>
                <w:sz w:val="20"/>
                <w:szCs w:val="20"/>
                <w:highlight w:val="none"/>
              </w:rPr>
              <w:t>证书及全国认证认可信息公共服务平台证书状态为“有效”查询证明复印件（证书与查询证明文件均须同时体现产品型号及认证标准）</w:t>
            </w:r>
            <w:r>
              <w:rPr>
                <w:rStyle w:val="31"/>
                <w:rFonts w:cs="宋体"/>
                <w:color w:val="auto"/>
                <w:sz w:val="20"/>
                <w:szCs w:val="20"/>
                <w:highlight w:val="none"/>
              </w:rPr>
              <w:t>并加盖投标人公章（鲜章）。</w:t>
            </w:r>
          </w:p>
        </w:tc>
        <w:tc>
          <w:tcPr>
            <w:tcW w:w="872" w:type="dxa"/>
            <w:shd w:val="clear" w:color="auto" w:fill="auto"/>
            <w:noWrap w:val="0"/>
            <w:vAlign w:val="center"/>
          </w:tcPr>
          <w:p>
            <w:pPr>
              <w:jc w:val="center"/>
              <w:rPr>
                <w:rFonts w:hint="eastAsia" w:ascii="宋体" w:hAnsi="宋体" w:eastAsia="宋体" w:cs="宋体"/>
                <w:b w:val="0"/>
                <w:bCs/>
                <w:color w:val="auto"/>
                <w:kern w:val="2"/>
                <w:sz w:val="20"/>
                <w:szCs w:val="20"/>
                <w:highlight w:val="none"/>
                <w:lang w:val="en-US" w:eastAsia="zh-CN" w:bidi="ar-SA"/>
              </w:rPr>
            </w:pPr>
            <w:r>
              <w:rPr>
                <w:rFonts w:ascii="宋体" w:hAnsi="宋体" w:cs="宋体"/>
                <w:b w:val="0"/>
                <w:bCs/>
                <w:color w:val="auto"/>
                <w:highlight w:val="none"/>
              </w:rPr>
              <w:t>8603</w:t>
            </w:r>
          </w:p>
        </w:tc>
        <w:tc>
          <w:tcPr>
            <w:tcW w:w="841" w:type="dxa"/>
            <w:shd w:val="clear" w:color="auto" w:fill="auto"/>
            <w:noWrap w:val="0"/>
            <w:vAlign w:val="center"/>
          </w:tcPr>
          <w:p>
            <w:pPr>
              <w:jc w:val="center"/>
              <w:rPr>
                <w:rFonts w:hint="eastAsia" w:ascii="宋体" w:hAnsi="宋体" w:eastAsia="宋体" w:cs="宋体"/>
                <w:b w:val="0"/>
                <w:bCs/>
                <w:color w:val="auto"/>
                <w:kern w:val="2"/>
                <w:sz w:val="20"/>
                <w:szCs w:val="20"/>
                <w:highlight w:val="none"/>
                <w:lang w:val="en-US" w:eastAsia="zh-CN" w:bidi="ar-SA"/>
              </w:rPr>
            </w:pPr>
            <w:r>
              <w:rPr>
                <w:rFonts w:ascii="宋体" w:hAnsi="宋体" w:cs="宋体"/>
                <w:b w:val="0"/>
                <w:bCs/>
                <w:color w:val="auto"/>
                <w:highlight w:val="none"/>
              </w:rPr>
              <w:t>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auto"/>
          <w:tblCellMar>
            <w:top w:w="0" w:type="dxa"/>
            <w:left w:w="108" w:type="dxa"/>
            <w:bottom w:w="0" w:type="dxa"/>
            <w:right w:w="108" w:type="dxa"/>
          </w:tblCellMar>
        </w:tblPrEx>
        <w:trPr>
          <w:jc w:val="center"/>
        </w:trPr>
        <w:tc>
          <w:tcPr>
            <w:tcW w:w="649" w:type="dxa"/>
            <w:shd w:val="clear" w:color="auto" w:fill="auto"/>
            <w:noWrap w:val="0"/>
            <w:vAlign w:val="center"/>
          </w:tcPr>
          <w:p>
            <w:pPr>
              <w:pStyle w:val="27"/>
              <w:jc w:val="center"/>
              <w:rPr>
                <w:rFonts w:hint="eastAsia" w:ascii="宋体" w:hAnsi="宋体" w:eastAsia="宋体" w:cs="宋体"/>
                <w:color w:val="auto"/>
                <w:highlight w:val="none"/>
                <w:lang w:val="en-US" w:eastAsia="zh-CN" w:bidi="ar-SA"/>
              </w:rPr>
            </w:pPr>
            <w:r>
              <w:rPr>
                <w:rFonts w:ascii="宋体" w:hAnsi="宋体" w:cs="宋体"/>
                <w:color w:val="auto"/>
                <w:highlight w:val="none"/>
              </w:rPr>
              <w:t>3</w:t>
            </w:r>
          </w:p>
        </w:tc>
        <w:tc>
          <w:tcPr>
            <w:tcW w:w="757" w:type="dxa"/>
            <w:shd w:val="clear" w:color="auto" w:fill="auto"/>
            <w:noWrap w:val="0"/>
            <w:vAlign w:val="center"/>
          </w:tcPr>
          <w:p>
            <w:pPr>
              <w:pStyle w:val="27"/>
              <w:jc w:val="center"/>
              <w:rPr>
                <w:rFonts w:ascii="宋体" w:hAnsi="宋体" w:cs="宋体"/>
                <w:color w:val="auto"/>
                <w:highlight w:val="none"/>
              </w:rPr>
            </w:pPr>
            <w:r>
              <w:rPr>
                <w:rFonts w:ascii="宋体" w:hAnsi="宋体" w:cs="宋体"/>
                <w:b w:val="0"/>
                <w:bCs/>
                <w:color w:val="auto"/>
                <w:highlight w:val="none"/>
              </w:rPr>
              <w:t>开关面板</w:t>
            </w:r>
          </w:p>
        </w:tc>
        <w:tc>
          <w:tcPr>
            <w:tcW w:w="6280" w:type="dxa"/>
            <w:shd w:val="clear" w:color="auto" w:fill="auto"/>
            <w:noWrap w:val="0"/>
            <w:vAlign w:val="top"/>
          </w:tcPr>
          <w:p>
            <w:pPr>
              <w:jc w:val="left"/>
              <w:rPr>
                <w:rStyle w:val="30"/>
                <w:rFonts w:hint="eastAsia" w:ascii="宋体" w:hAnsi="宋体" w:cs="宋体"/>
                <w:color w:val="auto"/>
                <w:sz w:val="20"/>
                <w:szCs w:val="20"/>
                <w:highlight w:val="none"/>
              </w:rPr>
            </w:pPr>
            <w:r>
              <w:rPr>
                <w:rStyle w:val="30"/>
                <w:rFonts w:hint="eastAsia" w:ascii="宋体" w:hAnsi="宋体" w:cs="宋体"/>
                <w:color w:val="auto"/>
                <w:sz w:val="20"/>
                <w:szCs w:val="20"/>
                <w:highlight w:val="none"/>
              </w:rPr>
              <w:t>1、单控开关面板，标准86盒规格，输入电压：220V AC；</w:t>
            </w:r>
          </w:p>
          <w:p>
            <w:pPr>
              <w:jc w:val="left"/>
              <w:rPr>
                <w:rStyle w:val="30"/>
                <w:rFonts w:hint="eastAsia" w:ascii="宋体" w:hAnsi="宋体" w:cs="宋体"/>
                <w:color w:val="auto"/>
                <w:sz w:val="20"/>
                <w:szCs w:val="20"/>
                <w:highlight w:val="none"/>
              </w:rPr>
            </w:pPr>
            <w:r>
              <w:rPr>
                <w:rStyle w:val="30"/>
                <w:rFonts w:hint="eastAsia" w:ascii="宋体" w:hAnsi="宋体" w:cs="宋体"/>
                <w:color w:val="auto"/>
                <w:sz w:val="20"/>
                <w:szCs w:val="20"/>
                <w:highlight w:val="none"/>
              </w:rPr>
              <w:t>2、采用单火供电，单路最大负载2200W；防护等级≥IP20。</w:t>
            </w:r>
          </w:p>
          <w:p>
            <w:pPr>
              <w:pStyle w:val="27"/>
              <w:jc w:val="both"/>
              <w:rPr>
                <w:rFonts w:ascii="宋体" w:hAnsi="宋体" w:cs="宋体"/>
                <w:color w:val="auto"/>
                <w:highlight w:val="none"/>
              </w:rPr>
            </w:pPr>
            <w:r>
              <w:rPr>
                <w:rStyle w:val="30"/>
                <w:rFonts w:hint="eastAsia" w:ascii="宋体" w:hAnsi="宋体" w:cs="宋体"/>
                <w:color w:val="auto"/>
                <w:sz w:val="20"/>
                <w:szCs w:val="20"/>
                <w:highlight w:val="none"/>
              </w:rPr>
              <w:t>▲3、材质为阻燃PC，依据GB/T 5169.11通过灼热丝650℃试验合格；且开关应具有足够的绝缘电阻，具有足够的电气强度；在防潮试验后马上用绝缘电阻表的直流500V测量，应符合GB/T 15092.1中测量的部位与要求值。提供第三方检测</w:t>
            </w:r>
            <w:r>
              <w:rPr>
                <w:rStyle w:val="31"/>
                <w:rFonts w:cs="宋体"/>
                <w:color w:val="auto"/>
                <w:sz w:val="20"/>
                <w:szCs w:val="20"/>
                <w:highlight w:val="none"/>
              </w:rPr>
              <w:t>(或检验)</w:t>
            </w:r>
            <w:r>
              <w:rPr>
                <w:rStyle w:val="30"/>
                <w:rFonts w:hint="eastAsia" w:ascii="宋体" w:hAnsi="宋体" w:cs="宋体"/>
                <w:color w:val="auto"/>
                <w:sz w:val="20"/>
                <w:szCs w:val="20"/>
                <w:highlight w:val="none"/>
              </w:rPr>
              <w:t>机构出具的封面带有</w:t>
            </w:r>
            <w:r>
              <w:rPr>
                <w:rStyle w:val="30"/>
                <w:rFonts w:hint="eastAsia" w:ascii="宋体" w:hAnsi="宋体" w:cs="宋体"/>
                <w:color w:val="auto"/>
                <w:sz w:val="20"/>
                <w:szCs w:val="20"/>
                <w:highlight w:val="none"/>
                <w:lang w:eastAsia="zh-CN"/>
              </w:rPr>
              <w:t>CMA</w:t>
            </w:r>
            <w:r>
              <w:rPr>
                <w:rStyle w:val="30"/>
                <w:rFonts w:hint="eastAsia" w:ascii="宋体" w:hAnsi="宋体" w:cs="宋体"/>
                <w:color w:val="auto"/>
                <w:sz w:val="20"/>
                <w:szCs w:val="20"/>
                <w:highlight w:val="yellow"/>
                <w:lang w:eastAsia="zh-CN"/>
              </w:rPr>
              <w:t>或</w:t>
            </w:r>
            <w:r>
              <w:rPr>
                <w:rStyle w:val="30"/>
                <w:rFonts w:hint="eastAsia" w:ascii="宋体" w:hAnsi="宋体" w:cs="宋体"/>
                <w:color w:val="auto"/>
                <w:sz w:val="20"/>
                <w:szCs w:val="20"/>
                <w:highlight w:val="none"/>
                <w:lang w:eastAsia="zh-CN"/>
              </w:rPr>
              <w:t>CNAS</w:t>
            </w:r>
            <w:r>
              <w:rPr>
                <w:rStyle w:val="30"/>
                <w:rFonts w:hint="eastAsia" w:ascii="宋体" w:hAnsi="宋体" w:cs="宋体"/>
                <w:color w:val="auto"/>
                <w:sz w:val="20"/>
                <w:szCs w:val="20"/>
                <w:highlight w:val="none"/>
              </w:rPr>
              <w:t>标志的检测</w:t>
            </w:r>
            <w:r>
              <w:rPr>
                <w:rStyle w:val="31"/>
                <w:rFonts w:cs="宋体"/>
                <w:color w:val="auto"/>
                <w:sz w:val="20"/>
                <w:szCs w:val="20"/>
                <w:highlight w:val="none"/>
              </w:rPr>
              <w:t>(或检验)</w:t>
            </w:r>
            <w:r>
              <w:rPr>
                <w:rStyle w:val="30"/>
                <w:rFonts w:hint="eastAsia" w:ascii="宋体" w:hAnsi="宋体" w:cs="宋体"/>
                <w:color w:val="auto"/>
                <w:sz w:val="20"/>
                <w:szCs w:val="20"/>
                <w:highlight w:val="none"/>
              </w:rPr>
              <w:t>报告及检测</w:t>
            </w:r>
            <w:r>
              <w:rPr>
                <w:rStyle w:val="31"/>
                <w:rFonts w:cs="宋体"/>
                <w:color w:val="auto"/>
                <w:sz w:val="20"/>
                <w:szCs w:val="20"/>
                <w:highlight w:val="none"/>
              </w:rPr>
              <w:t>(或检验)</w:t>
            </w:r>
            <w:r>
              <w:rPr>
                <w:rStyle w:val="30"/>
                <w:rFonts w:hint="eastAsia" w:ascii="宋体" w:hAnsi="宋体" w:cs="宋体"/>
                <w:color w:val="auto"/>
                <w:sz w:val="20"/>
                <w:szCs w:val="20"/>
                <w:highlight w:val="none"/>
              </w:rPr>
              <w:t>报告编号在全国认证认可信息公共服务平台的查询证明复印件</w:t>
            </w:r>
            <w:r>
              <w:rPr>
                <w:rStyle w:val="31"/>
                <w:rFonts w:cs="宋体"/>
                <w:color w:val="auto"/>
                <w:sz w:val="20"/>
                <w:szCs w:val="20"/>
                <w:highlight w:val="none"/>
              </w:rPr>
              <w:t>并加盖投标人公章（鲜章）</w:t>
            </w:r>
            <w:r>
              <w:rPr>
                <w:rStyle w:val="30"/>
                <w:rFonts w:hint="eastAsia" w:ascii="宋体" w:hAnsi="宋体" w:cs="宋体"/>
                <w:color w:val="auto"/>
                <w:sz w:val="20"/>
                <w:szCs w:val="20"/>
                <w:highlight w:val="none"/>
              </w:rPr>
              <w:t xml:space="preserve">。 </w:t>
            </w:r>
          </w:p>
        </w:tc>
        <w:tc>
          <w:tcPr>
            <w:tcW w:w="872" w:type="dxa"/>
            <w:shd w:val="clear" w:color="auto" w:fill="auto"/>
            <w:noWrap w:val="0"/>
            <w:vAlign w:val="center"/>
          </w:tcPr>
          <w:p>
            <w:pPr>
              <w:jc w:val="center"/>
              <w:rPr>
                <w:rFonts w:hint="eastAsia" w:ascii="宋体" w:hAnsi="宋体" w:eastAsia="宋体" w:cs="宋体"/>
                <w:color w:val="auto"/>
                <w:kern w:val="2"/>
                <w:sz w:val="20"/>
                <w:szCs w:val="20"/>
                <w:highlight w:val="none"/>
                <w:lang w:val="en-US" w:eastAsia="zh-CN" w:bidi="ar-SA"/>
              </w:rPr>
            </w:pPr>
            <w:r>
              <w:rPr>
                <w:rFonts w:ascii="宋体" w:hAnsi="宋体" w:cs="宋体"/>
                <w:b w:val="0"/>
                <w:bCs/>
                <w:color w:val="auto"/>
                <w:highlight w:val="none"/>
              </w:rPr>
              <w:t>1760</w:t>
            </w:r>
          </w:p>
        </w:tc>
        <w:tc>
          <w:tcPr>
            <w:tcW w:w="841" w:type="dxa"/>
            <w:shd w:val="clear" w:color="auto" w:fill="auto"/>
            <w:noWrap w:val="0"/>
            <w:vAlign w:val="center"/>
          </w:tcPr>
          <w:p>
            <w:pPr>
              <w:jc w:val="center"/>
              <w:rPr>
                <w:rFonts w:hint="eastAsia" w:ascii="宋体" w:hAnsi="宋体" w:eastAsia="宋体" w:cs="宋体"/>
                <w:color w:val="auto"/>
                <w:kern w:val="2"/>
                <w:sz w:val="20"/>
                <w:szCs w:val="20"/>
                <w:highlight w:val="none"/>
                <w:lang w:val="en-US" w:eastAsia="zh-CN" w:bidi="ar-SA"/>
              </w:rPr>
            </w:pPr>
            <w:r>
              <w:rPr>
                <w:rFonts w:ascii="宋体" w:hAnsi="宋体" w:cs="宋体"/>
                <w:b/>
                <w:color w:val="auto"/>
                <w:highlight w:val="none"/>
              </w:rPr>
              <w:t>个</w:t>
            </w:r>
          </w:p>
        </w:tc>
      </w:tr>
    </w:tbl>
    <w:p>
      <w:pPr>
        <w:pStyle w:val="27"/>
        <w:keepNext w:val="0"/>
        <w:keepLines w:val="0"/>
        <w:pageBreakBefore w:val="0"/>
        <w:widowControl/>
        <w:kinsoku/>
        <w:wordWrap/>
        <w:overflowPunct/>
        <w:topLinePunct w:val="0"/>
        <w:autoSpaceDE/>
        <w:autoSpaceDN/>
        <w:bidi w:val="0"/>
        <w:adjustRightInd/>
        <w:snapToGrid/>
        <w:spacing w:line="300" w:lineRule="auto"/>
        <w:ind w:firstLine="442" w:firstLineChars="200"/>
        <w:textAlignment w:val="auto"/>
        <w:rPr>
          <w:rFonts w:hint="eastAsia"/>
          <w:color w:val="auto"/>
          <w:sz w:val="21"/>
          <w:szCs w:val="21"/>
          <w:highlight w:val="none"/>
          <w:lang w:val="en-US" w:eastAsia="zh-CN"/>
        </w:rPr>
      </w:pPr>
      <w:r>
        <w:rPr>
          <w:b/>
          <w:bCs/>
          <w:color w:val="auto"/>
          <w:sz w:val="22"/>
          <w:szCs w:val="22"/>
          <w:highlight w:val="none"/>
        </w:rPr>
        <w:t>注：</w:t>
      </w:r>
      <w:r>
        <w:rPr>
          <w:color w:val="auto"/>
          <w:highlight w:val="none"/>
        </w:rPr>
        <w:t>1、带“▲”符号的为本次招标项目的“重要参数”，其他的 为“一般参数”，作扣分处理；技术参数要求提供证明材料的以证明材料为准；</w:t>
      </w:r>
      <w:r>
        <w:rPr>
          <w:rFonts w:hint="eastAsia"/>
          <w:color w:val="auto"/>
          <w:sz w:val="21"/>
          <w:szCs w:val="21"/>
          <w:highlight w:val="none"/>
          <w:lang w:val="en-US" w:eastAsia="zh-CN"/>
        </w:rPr>
        <w:t>在项目验收时需提交与响应文件一致（检测报告、证书等相关证明材料）的原件查核。</w:t>
      </w:r>
    </w:p>
    <w:p>
      <w:pPr>
        <w:pStyle w:val="27"/>
        <w:rPr>
          <w:color w:val="auto"/>
          <w:highlight w:val="none"/>
        </w:rPr>
      </w:pPr>
      <w:r>
        <w:rPr>
          <w:color w:val="auto"/>
          <w:highlight w:val="none"/>
        </w:rPr>
        <w:t>2、本项目核心产品为：LED教室灯、LED黑板灯。</w:t>
      </w:r>
    </w:p>
    <w:p>
      <w:pPr>
        <w:pStyle w:val="27"/>
        <w:rPr>
          <w:color w:val="auto"/>
          <w:highlight w:val="none"/>
        </w:rPr>
      </w:pPr>
      <w:r>
        <w:rPr>
          <w:color w:val="auto"/>
          <w:highlight w:val="none"/>
        </w:rPr>
        <w:t xml:space="preserve">3、清单中的技术参数描述如与特定品牌或型号相匹配，仅作为技术指标参考，不代表指向特定产品，供应商可提供等同于或优于参数要求的产品。 </w:t>
      </w:r>
    </w:p>
    <w:p>
      <w:pPr>
        <w:pStyle w:val="27"/>
        <w:rPr>
          <w:color w:val="auto"/>
          <w:highlight w:val="none"/>
        </w:rPr>
      </w:pPr>
      <w:r>
        <w:rPr>
          <w:color w:val="auto"/>
          <w:highlight w:val="none"/>
        </w:rPr>
        <w:t>4、本项目采购清单中的采购标的名称，因采购人不能穷尽详列或通俗认知等原因，可能供应商提供的投标产品所对应的证书、证明等对产品命名等存在一定差别，在满足本项目采购需求的前提下，本项目给予认可。</w:t>
      </w:r>
    </w:p>
    <w:p>
      <w:pPr>
        <w:pStyle w:val="27"/>
        <w:rPr>
          <w:color w:val="FF0000"/>
          <w:highlight w:val="yellow"/>
        </w:rPr>
      </w:pPr>
      <w:r>
        <w:rPr>
          <w:color w:val="FF0000"/>
          <w:highlight w:val="yellow"/>
        </w:rPr>
        <w:t>5、本项目专门面向中小企业采购。</w:t>
      </w:r>
    </w:p>
    <w:p>
      <w:pPr>
        <w:adjustRightInd w:val="0"/>
        <w:spacing w:before="100" w:beforeAutospacing="1" w:after="100" w:afterAutospacing="1" w:line="360" w:lineRule="auto"/>
        <w:rPr>
          <w:rFonts w:hint="eastAsia" w:ascii="宋体" w:hAnsi="宋体" w:eastAsia="宋体" w:cs="Times New Roman"/>
          <w:b/>
          <w:bCs/>
          <w:color w:val="auto"/>
          <w:sz w:val="24"/>
          <w:highlight w:val="none"/>
        </w:rPr>
      </w:pPr>
      <w:r>
        <w:rPr>
          <w:rFonts w:hint="eastAsia" w:ascii="宋体" w:hAnsi="宋体" w:eastAsia="宋体" w:cs="Times New Roman"/>
          <w:b/>
          <w:bCs/>
          <w:color w:val="auto"/>
          <w:sz w:val="24"/>
          <w:highlight w:val="none"/>
        </w:rPr>
        <w:t>三、商务要求</w:t>
      </w:r>
    </w:p>
    <w:p>
      <w:pPr>
        <w:pStyle w:val="27"/>
        <w:ind w:firstLine="480"/>
        <w:outlineLvl w:val="3"/>
        <w:rPr>
          <w:b/>
          <w:color w:val="auto"/>
          <w:sz w:val="24"/>
          <w:highlight w:val="none"/>
        </w:rPr>
      </w:pPr>
      <w:r>
        <w:rPr>
          <w:b/>
          <w:color w:val="auto"/>
          <w:sz w:val="24"/>
          <w:highlight w:val="none"/>
        </w:rPr>
        <w:t>1</w:t>
      </w:r>
      <w:r>
        <w:rPr>
          <w:rFonts w:hint="eastAsia"/>
          <w:b/>
          <w:color w:val="auto"/>
          <w:sz w:val="24"/>
          <w:highlight w:val="none"/>
          <w:lang w:eastAsia="zh-CN"/>
        </w:rPr>
        <w:t>、</w:t>
      </w:r>
      <w:r>
        <w:rPr>
          <w:b/>
          <w:color w:val="auto"/>
          <w:sz w:val="24"/>
          <w:highlight w:val="none"/>
        </w:rPr>
        <w:t>交货时间</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sz w:val="21"/>
          <w:szCs w:val="21"/>
          <w:highlight w:val="none"/>
          <w:lang w:eastAsia="zh-CN"/>
        </w:rPr>
      </w:pPr>
      <w:r>
        <w:rPr>
          <w:color w:val="auto"/>
          <w:sz w:val="21"/>
          <w:szCs w:val="21"/>
          <w:highlight w:val="none"/>
        </w:rPr>
        <w:t>自合同签订之日起</w:t>
      </w:r>
      <w:r>
        <w:rPr>
          <w:rFonts w:hint="eastAsia"/>
          <w:color w:val="auto"/>
          <w:sz w:val="21"/>
          <w:szCs w:val="21"/>
          <w:highlight w:val="none"/>
          <w:lang w:val="en-US" w:eastAsia="zh-CN"/>
        </w:rPr>
        <w:t>60</w:t>
      </w:r>
      <w:r>
        <w:rPr>
          <w:color w:val="auto"/>
          <w:sz w:val="21"/>
          <w:szCs w:val="21"/>
          <w:highlight w:val="none"/>
        </w:rPr>
        <w:t>日</w:t>
      </w:r>
      <w:r>
        <w:rPr>
          <w:rFonts w:hint="eastAsia"/>
          <w:color w:val="auto"/>
          <w:sz w:val="21"/>
          <w:szCs w:val="21"/>
          <w:highlight w:val="none"/>
          <w:lang w:eastAsia="zh-CN"/>
        </w:rPr>
        <w:t>。</w:t>
      </w:r>
    </w:p>
    <w:p>
      <w:pPr>
        <w:pStyle w:val="27"/>
        <w:numPr>
          <w:ilvl w:val="0"/>
          <w:numId w:val="3"/>
        </w:numPr>
        <w:ind w:firstLine="480"/>
        <w:outlineLvl w:val="3"/>
        <w:rPr>
          <w:b/>
          <w:color w:val="auto"/>
          <w:sz w:val="24"/>
          <w:highlight w:val="none"/>
        </w:rPr>
      </w:pPr>
      <w:r>
        <w:rPr>
          <w:b/>
          <w:color w:val="auto"/>
          <w:sz w:val="24"/>
          <w:highlight w:val="none"/>
        </w:rPr>
        <w:t>交货地点</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highlight w:val="none"/>
        </w:rPr>
      </w:pPr>
      <w:r>
        <w:rPr>
          <w:rFonts w:hint="eastAsia"/>
          <w:color w:val="auto"/>
          <w:sz w:val="21"/>
          <w:szCs w:val="21"/>
          <w:highlight w:val="none"/>
        </w:rPr>
        <w:t>采购单位指定的地点</w:t>
      </w:r>
      <w:r>
        <w:rPr>
          <w:color w:val="auto"/>
          <w:highlight w:val="none"/>
        </w:rPr>
        <w:t>，具体配送清单如下：</w:t>
      </w:r>
    </w:p>
    <w:tbl>
      <w:tblPr>
        <w:tblStyle w:val="14"/>
        <w:tblW w:w="7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760"/>
        <w:gridCol w:w="1240"/>
        <w:gridCol w:w="1480"/>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学校名称</w:t>
            </w:r>
          </w:p>
        </w:tc>
        <w:tc>
          <w:tcPr>
            <w:tcW w:w="1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12盏灯布局/间（9+3）</w:t>
            </w:r>
          </w:p>
        </w:tc>
        <w:tc>
          <w:tcPr>
            <w:tcW w:w="1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15盏灯布局/间（12+3）</w:t>
            </w:r>
          </w:p>
        </w:tc>
        <w:tc>
          <w:tcPr>
            <w:tcW w:w="14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19盏灯布局/间（16+3）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广汉市高坪中学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广汉市第九小学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广汉市第四小学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广汉市高坪小学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广汉市高坪镇西高学校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四川省广汉市光华双语学校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广汉市汉州小学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广汉市金广学校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广汉市金轮第一中学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广汉市金轮学校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广汉市金鱼第二小学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广汉市金鱼第一小学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广汉市金鱼第一中学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广汉市连山第二小学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广汉市连山第一小学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广汉市连山镇松林学校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广汉市连山中学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广汉市南丰第二小学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广汉市南丰第一小学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广汉市七一学校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广汉市三水小学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广汉市三水中学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广汉市三星堆第二学校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广汉市三星堆第三学校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广汉市三星堆第一学校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广汉市向阳镇广兴小学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广汉市第一小学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广汉中学实验学校高新分校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广汉中学钟声学校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广汉市宏华外国语学校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广汉市金轮第一小学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广汉市金雁小学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广汉市实验小学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广汉市向阳学校</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广汉市小汉小学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广汉市第二小学</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p>
        </w:tc>
        <w:tc>
          <w:tcPr>
            <w:tcW w:w="2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合计教室数量（间）</w:t>
            </w:r>
          </w:p>
        </w:tc>
        <w:tc>
          <w:tcPr>
            <w:tcW w:w="1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699</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146</w:t>
            </w:r>
          </w:p>
        </w:tc>
        <w:tc>
          <w:tcPr>
            <w:tcW w:w="1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35</w:t>
            </w:r>
          </w:p>
        </w:tc>
      </w:tr>
    </w:tbl>
    <w:p>
      <w:pPr>
        <w:pStyle w:val="27"/>
        <w:ind w:firstLine="480"/>
        <w:outlineLvl w:val="3"/>
        <w:rPr>
          <w:b/>
          <w:color w:val="auto"/>
          <w:sz w:val="24"/>
          <w:highlight w:val="none"/>
        </w:rPr>
      </w:pPr>
      <w:r>
        <w:rPr>
          <w:rFonts w:hint="eastAsia"/>
          <w:b/>
          <w:color w:val="auto"/>
          <w:sz w:val="24"/>
          <w:highlight w:val="none"/>
          <w:lang w:val="en-US" w:eastAsia="zh-CN"/>
        </w:rPr>
        <w:t>3、</w:t>
      </w:r>
      <w:r>
        <w:rPr>
          <w:b/>
          <w:color w:val="auto"/>
          <w:sz w:val="24"/>
          <w:highlight w:val="none"/>
        </w:rPr>
        <w:t>支付方式</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sz w:val="21"/>
          <w:szCs w:val="21"/>
          <w:highlight w:val="none"/>
          <w:lang w:eastAsia="zh-CN"/>
        </w:rPr>
      </w:pPr>
      <w:r>
        <w:rPr>
          <w:color w:val="auto"/>
          <w:sz w:val="21"/>
          <w:szCs w:val="21"/>
          <w:highlight w:val="none"/>
        </w:rPr>
        <w:t>一次付清</w:t>
      </w:r>
      <w:r>
        <w:rPr>
          <w:rFonts w:hint="eastAsia"/>
          <w:color w:val="auto"/>
          <w:sz w:val="21"/>
          <w:szCs w:val="21"/>
          <w:highlight w:val="none"/>
          <w:lang w:eastAsia="zh-CN"/>
        </w:rPr>
        <w:t>。</w:t>
      </w:r>
    </w:p>
    <w:p>
      <w:pPr>
        <w:pStyle w:val="27"/>
        <w:ind w:firstLine="480"/>
        <w:outlineLvl w:val="3"/>
        <w:rPr>
          <w:b/>
          <w:color w:val="auto"/>
          <w:sz w:val="24"/>
          <w:highlight w:val="none"/>
        </w:rPr>
      </w:pPr>
      <w:r>
        <w:rPr>
          <w:rFonts w:hint="eastAsia"/>
          <w:b/>
          <w:color w:val="auto"/>
          <w:sz w:val="24"/>
          <w:highlight w:val="none"/>
          <w:lang w:val="en-US" w:eastAsia="zh-CN"/>
        </w:rPr>
        <w:t>4、</w:t>
      </w:r>
      <w:r>
        <w:rPr>
          <w:b/>
          <w:color w:val="auto"/>
          <w:sz w:val="24"/>
          <w:highlight w:val="none"/>
        </w:rPr>
        <w:t>支付约定</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sz w:val="21"/>
          <w:szCs w:val="21"/>
          <w:highlight w:val="none"/>
        </w:rPr>
      </w:pPr>
      <w:r>
        <w:rPr>
          <w:color w:val="auto"/>
          <w:sz w:val="21"/>
          <w:szCs w:val="21"/>
          <w:highlight w:val="none"/>
        </w:rPr>
        <w:t>付款条件说明：供应商提供的货物经采购人验收合格开具验收结算书后，供应商向采购人出据合法有效完整的完税发票及凭证资料，由采购人将验收结算书、政府采购合同、发票复印件等一并交广汉市财政局审核后付款，达到付款条件起7日，支付合同总金额的100.00%。</w:t>
      </w:r>
    </w:p>
    <w:p>
      <w:pPr>
        <w:pStyle w:val="27"/>
        <w:ind w:firstLine="480"/>
        <w:outlineLvl w:val="3"/>
        <w:rPr>
          <w:color w:val="auto"/>
          <w:highlight w:val="none"/>
        </w:rPr>
      </w:pPr>
      <w:r>
        <w:rPr>
          <w:b/>
          <w:color w:val="auto"/>
          <w:sz w:val="24"/>
          <w:highlight w:val="none"/>
        </w:rPr>
        <w:t>5</w:t>
      </w:r>
      <w:r>
        <w:rPr>
          <w:rFonts w:hint="eastAsia"/>
          <w:b/>
          <w:color w:val="auto"/>
          <w:sz w:val="24"/>
          <w:highlight w:val="none"/>
          <w:lang w:eastAsia="zh-CN"/>
        </w:rPr>
        <w:t>、</w:t>
      </w:r>
      <w:r>
        <w:rPr>
          <w:b/>
          <w:color w:val="auto"/>
          <w:sz w:val="24"/>
          <w:highlight w:val="none"/>
        </w:rPr>
        <w:t>验收标准和方法</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sz w:val="21"/>
          <w:szCs w:val="21"/>
          <w:highlight w:val="none"/>
          <w:lang w:eastAsia="zh-CN"/>
        </w:rPr>
      </w:pPr>
    </w:p>
    <w:p>
      <w:pPr>
        <w:pStyle w:val="27"/>
        <w:keepNext w:val="0"/>
        <w:keepLines w:val="0"/>
        <w:pageBreakBefore w:val="0"/>
        <w:widowControl/>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验收由</w:t>
      </w:r>
      <w:r>
        <w:rPr>
          <w:rFonts w:hint="eastAsia"/>
          <w:color w:val="auto"/>
          <w:sz w:val="21"/>
          <w:szCs w:val="21"/>
          <w:highlight w:val="none"/>
          <w:lang w:eastAsia="zh-CN"/>
        </w:rPr>
        <w:t>采购人</w:t>
      </w:r>
      <w:r>
        <w:rPr>
          <w:rFonts w:hint="eastAsia"/>
          <w:color w:val="auto"/>
          <w:sz w:val="21"/>
          <w:szCs w:val="21"/>
          <w:highlight w:val="none"/>
        </w:rPr>
        <w:t>组织，</w:t>
      </w:r>
      <w:r>
        <w:rPr>
          <w:rFonts w:hint="eastAsia"/>
          <w:color w:val="auto"/>
          <w:sz w:val="21"/>
          <w:szCs w:val="21"/>
          <w:highlight w:val="none"/>
          <w:lang w:eastAsia="zh-CN"/>
        </w:rPr>
        <w:t>供应商</w:t>
      </w:r>
      <w:r>
        <w:rPr>
          <w:rFonts w:hint="eastAsia"/>
          <w:color w:val="auto"/>
          <w:sz w:val="21"/>
          <w:szCs w:val="21"/>
          <w:highlight w:val="none"/>
        </w:rPr>
        <w:t>配合进行：（1）货物在</w:t>
      </w:r>
      <w:r>
        <w:rPr>
          <w:rFonts w:hint="eastAsia"/>
          <w:color w:val="auto"/>
          <w:sz w:val="21"/>
          <w:szCs w:val="21"/>
          <w:highlight w:val="none"/>
          <w:lang w:eastAsia="zh-CN"/>
        </w:rPr>
        <w:t>供应商</w:t>
      </w:r>
      <w:r>
        <w:rPr>
          <w:rFonts w:hint="eastAsia"/>
          <w:color w:val="auto"/>
          <w:sz w:val="21"/>
          <w:szCs w:val="21"/>
          <w:highlight w:val="none"/>
        </w:rPr>
        <w:t>通知安装调试完毕后10日内初步验收。（如确需要）初步验收合格后，进入20日试用期；试用期间发生重大质量问题，修复后试用相应顺延；试用期结束后10日内完成最终验收。（2）验收标准：严</w:t>
      </w:r>
      <w:r>
        <w:rPr>
          <w:rFonts w:hint="eastAsia"/>
          <w:color w:val="auto"/>
          <w:sz w:val="21"/>
          <w:szCs w:val="21"/>
          <w:highlight w:val="none"/>
          <w:lang w:val="en-US" w:eastAsia="zh-Hans"/>
        </w:rPr>
        <w:t>格按照政府采购相关法律法规以及《关于进一步加强政府采购需求和</w:t>
      </w:r>
      <w:r>
        <w:rPr>
          <w:rFonts w:hint="eastAsia"/>
          <w:color w:val="auto"/>
          <w:sz w:val="21"/>
          <w:szCs w:val="21"/>
          <w:highlight w:val="none"/>
        </w:rPr>
        <w:t>履约验收管理的指导意见》（财库（2016）205号）的要求及</w:t>
      </w:r>
      <w:r>
        <w:rPr>
          <w:rFonts w:hint="eastAsia"/>
          <w:color w:val="auto"/>
          <w:sz w:val="21"/>
          <w:szCs w:val="21"/>
          <w:highlight w:val="none"/>
          <w:lang w:eastAsia="zh-CN"/>
        </w:rPr>
        <w:t>采购人</w:t>
      </w:r>
      <w:r>
        <w:rPr>
          <w:rFonts w:hint="eastAsia"/>
          <w:color w:val="auto"/>
          <w:sz w:val="21"/>
          <w:szCs w:val="21"/>
          <w:highlight w:val="none"/>
        </w:rPr>
        <w:t>招标文件的质量要求和技术指标、</w:t>
      </w:r>
      <w:r>
        <w:rPr>
          <w:rFonts w:hint="eastAsia"/>
          <w:color w:val="auto"/>
          <w:sz w:val="21"/>
          <w:szCs w:val="21"/>
          <w:highlight w:val="none"/>
          <w:lang w:eastAsia="zh-CN"/>
        </w:rPr>
        <w:t>供应商</w:t>
      </w:r>
      <w:r>
        <w:rPr>
          <w:rFonts w:hint="eastAsia"/>
          <w:color w:val="auto"/>
          <w:sz w:val="21"/>
          <w:szCs w:val="21"/>
          <w:highlight w:val="none"/>
        </w:rPr>
        <w:t>的投标文件及承诺与本合同约定标准进行验收；</w:t>
      </w:r>
      <w:r>
        <w:rPr>
          <w:rFonts w:hint="eastAsia"/>
          <w:color w:val="auto"/>
          <w:sz w:val="21"/>
          <w:szCs w:val="21"/>
          <w:highlight w:val="none"/>
          <w:lang w:eastAsia="zh-CN"/>
        </w:rPr>
        <w:t>采购人、供应商</w:t>
      </w:r>
      <w:r>
        <w:rPr>
          <w:rFonts w:hint="eastAsia"/>
          <w:color w:val="auto"/>
          <w:sz w:val="21"/>
          <w:szCs w:val="21"/>
          <w:highlight w:val="none"/>
        </w:rPr>
        <w:t>双方如对质量要求和技术指标的约定标准有相互抵触或异议的事项，由</w:t>
      </w:r>
      <w:r>
        <w:rPr>
          <w:rFonts w:hint="eastAsia"/>
          <w:color w:val="auto"/>
          <w:sz w:val="21"/>
          <w:szCs w:val="21"/>
          <w:highlight w:val="none"/>
          <w:lang w:eastAsia="zh-CN"/>
        </w:rPr>
        <w:t>采购人</w:t>
      </w:r>
      <w:r>
        <w:rPr>
          <w:rFonts w:hint="eastAsia"/>
          <w:color w:val="auto"/>
          <w:sz w:val="21"/>
          <w:szCs w:val="21"/>
          <w:highlight w:val="none"/>
        </w:rPr>
        <w:t>在招标与投标文件中按质量要求和技术指标比较优胜的原则确定该项的约定标准进行验收；（3）验收时如发现所交付的货物有短装、次品、损坏</w:t>
      </w:r>
      <w:bookmarkStart w:id="0" w:name="_GoBack"/>
      <w:bookmarkEnd w:id="0"/>
      <w:r>
        <w:rPr>
          <w:rFonts w:hint="eastAsia"/>
          <w:color w:val="auto"/>
          <w:sz w:val="21"/>
          <w:szCs w:val="21"/>
          <w:highlight w:val="none"/>
        </w:rPr>
        <w:t>或其它不符合标准及本合同规定之情形者，</w:t>
      </w:r>
      <w:r>
        <w:rPr>
          <w:rFonts w:hint="eastAsia"/>
          <w:color w:val="auto"/>
          <w:sz w:val="21"/>
          <w:szCs w:val="21"/>
          <w:highlight w:val="none"/>
          <w:lang w:eastAsia="zh-CN"/>
        </w:rPr>
        <w:t>采购人</w:t>
      </w:r>
      <w:r>
        <w:rPr>
          <w:rFonts w:hint="eastAsia"/>
          <w:color w:val="auto"/>
          <w:sz w:val="21"/>
          <w:szCs w:val="21"/>
          <w:highlight w:val="none"/>
        </w:rPr>
        <w:t>应做出详尽的现场记录，或由</w:t>
      </w:r>
      <w:r>
        <w:rPr>
          <w:rFonts w:hint="eastAsia"/>
          <w:color w:val="auto"/>
          <w:sz w:val="21"/>
          <w:szCs w:val="21"/>
          <w:highlight w:val="none"/>
          <w:lang w:eastAsia="zh-CN"/>
        </w:rPr>
        <w:t>采购人、供应商</w:t>
      </w:r>
      <w:r>
        <w:rPr>
          <w:rFonts w:hint="eastAsia"/>
          <w:color w:val="auto"/>
          <w:sz w:val="21"/>
          <w:szCs w:val="21"/>
          <w:highlight w:val="none"/>
        </w:rPr>
        <w:t>双方签署备忘录，此现场记录或备忘录可用作补充、缺失和更换损坏部件的有效证据，由此产生的时间延误与有关费用由</w:t>
      </w:r>
      <w:r>
        <w:rPr>
          <w:rFonts w:hint="eastAsia"/>
          <w:color w:val="auto"/>
          <w:sz w:val="21"/>
          <w:szCs w:val="21"/>
          <w:highlight w:val="none"/>
          <w:lang w:eastAsia="zh-CN"/>
        </w:rPr>
        <w:t>供应商</w:t>
      </w:r>
      <w:r>
        <w:rPr>
          <w:rFonts w:hint="eastAsia"/>
          <w:color w:val="auto"/>
          <w:sz w:val="21"/>
          <w:szCs w:val="21"/>
          <w:highlight w:val="none"/>
        </w:rPr>
        <w:t>承担，验收期限相应顺延；（4）如质量验收合格，</w:t>
      </w:r>
      <w:r>
        <w:rPr>
          <w:rFonts w:hint="eastAsia"/>
          <w:color w:val="auto"/>
          <w:sz w:val="21"/>
          <w:szCs w:val="21"/>
          <w:highlight w:val="none"/>
          <w:lang w:eastAsia="zh-CN"/>
        </w:rPr>
        <w:t>采购人</w:t>
      </w:r>
      <w:r>
        <w:rPr>
          <w:rFonts w:hint="eastAsia"/>
          <w:color w:val="auto"/>
          <w:sz w:val="21"/>
          <w:szCs w:val="21"/>
          <w:highlight w:val="none"/>
        </w:rPr>
        <w:t>签署质量验报告。</w:t>
      </w:r>
      <w:r>
        <w:rPr>
          <w:rFonts w:hint="eastAsia"/>
          <w:color w:val="auto"/>
          <w:sz w:val="21"/>
          <w:szCs w:val="21"/>
          <w:highlight w:val="none"/>
          <w:lang w:val="en-US" w:eastAsia="zh-CN"/>
        </w:rPr>
        <w:t>2.</w:t>
      </w:r>
      <w:r>
        <w:rPr>
          <w:rFonts w:hint="eastAsia"/>
          <w:color w:val="auto"/>
          <w:sz w:val="21"/>
          <w:szCs w:val="21"/>
          <w:highlight w:val="none"/>
        </w:rPr>
        <w:t>货物安装完成后</w:t>
      </w:r>
      <w:r>
        <w:rPr>
          <w:rFonts w:hint="eastAsia"/>
          <w:color w:val="auto"/>
          <w:sz w:val="21"/>
          <w:szCs w:val="21"/>
          <w:highlight w:val="none"/>
          <w:lang w:val="en-US" w:eastAsia="zh-CN"/>
        </w:rPr>
        <w:t>3</w:t>
      </w:r>
      <w:r>
        <w:rPr>
          <w:rFonts w:hint="eastAsia"/>
          <w:color w:val="auto"/>
          <w:sz w:val="21"/>
          <w:szCs w:val="21"/>
          <w:highlight w:val="none"/>
        </w:rPr>
        <w:t>0日内，</w:t>
      </w:r>
      <w:r>
        <w:rPr>
          <w:rFonts w:hint="eastAsia"/>
          <w:color w:val="auto"/>
          <w:sz w:val="21"/>
          <w:szCs w:val="21"/>
          <w:highlight w:val="none"/>
          <w:lang w:eastAsia="zh-CN"/>
        </w:rPr>
        <w:t>采购人</w:t>
      </w:r>
      <w:r>
        <w:rPr>
          <w:rFonts w:hint="eastAsia"/>
          <w:color w:val="auto"/>
          <w:sz w:val="21"/>
          <w:szCs w:val="21"/>
          <w:highlight w:val="none"/>
        </w:rPr>
        <w:t>无故不进行验收工作并已使用货物的，视同已安装调试完成并验收合格。</w:t>
      </w:r>
      <w:r>
        <w:rPr>
          <w:rFonts w:hint="eastAsia"/>
          <w:color w:val="auto"/>
          <w:sz w:val="21"/>
          <w:szCs w:val="21"/>
          <w:highlight w:val="none"/>
          <w:lang w:val="en-US" w:eastAsia="zh-CN"/>
        </w:rPr>
        <w:t>3.</w:t>
      </w:r>
      <w:r>
        <w:rPr>
          <w:rFonts w:hint="eastAsia"/>
          <w:color w:val="auto"/>
          <w:sz w:val="21"/>
          <w:szCs w:val="21"/>
          <w:highlight w:val="none"/>
          <w:lang w:eastAsia="zh-CN"/>
        </w:rPr>
        <w:t>供应商</w:t>
      </w:r>
      <w:r>
        <w:rPr>
          <w:rFonts w:hint="eastAsia"/>
          <w:color w:val="auto"/>
          <w:sz w:val="21"/>
          <w:szCs w:val="21"/>
          <w:highlight w:val="none"/>
        </w:rPr>
        <w:t>应将所提供货物的装箱清单、配件、随机工具、用户使用手册、原厂保修卡等资料交付给</w:t>
      </w:r>
      <w:r>
        <w:rPr>
          <w:rFonts w:hint="eastAsia"/>
          <w:color w:val="auto"/>
          <w:sz w:val="21"/>
          <w:szCs w:val="21"/>
          <w:highlight w:val="none"/>
          <w:lang w:eastAsia="zh-CN"/>
        </w:rPr>
        <w:t>采购人</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不能完整交付货物及本款规定的单证和工具的，必须负责补齐，否则视为未按合同约定交货。</w:t>
      </w:r>
      <w:r>
        <w:rPr>
          <w:rFonts w:hint="eastAsia"/>
          <w:color w:val="auto"/>
          <w:sz w:val="21"/>
          <w:szCs w:val="21"/>
          <w:highlight w:val="none"/>
          <w:lang w:val="en-US" w:eastAsia="zh-CN"/>
        </w:rPr>
        <w:t>4.</w:t>
      </w:r>
      <w:r>
        <w:rPr>
          <w:rFonts w:hint="eastAsia"/>
          <w:color w:val="auto"/>
          <w:sz w:val="21"/>
          <w:szCs w:val="21"/>
          <w:highlight w:val="none"/>
        </w:rPr>
        <w:t>如货物经</w:t>
      </w:r>
      <w:r>
        <w:rPr>
          <w:rFonts w:hint="eastAsia"/>
          <w:color w:val="auto"/>
          <w:sz w:val="21"/>
          <w:szCs w:val="21"/>
          <w:highlight w:val="none"/>
          <w:lang w:eastAsia="zh-CN"/>
        </w:rPr>
        <w:t>供应商</w:t>
      </w:r>
      <w:r>
        <w:rPr>
          <w:rFonts w:hint="eastAsia"/>
          <w:color w:val="auto"/>
          <w:sz w:val="21"/>
          <w:szCs w:val="21"/>
          <w:highlight w:val="none"/>
        </w:rPr>
        <w:t>2次维修仍不能达到合同约定的质量标准，</w:t>
      </w:r>
      <w:r>
        <w:rPr>
          <w:rFonts w:hint="eastAsia"/>
          <w:color w:val="auto"/>
          <w:sz w:val="21"/>
          <w:szCs w:val="21"/>
          <w:highlight w:val="none"/>
          <w:lang w:eastAsia="zh-CN"/>
        </w:rPr>
        <w:t>采购人</w:t>
      </w:r>
      <w:r>
        <w:rPr>
          <w:rFonts w:hint="eastAsia"/>
          <w:color w:val="auto"/>
          <w:sz w:val="21"/>
          <w:szCs w:val="21"/>
          <w:highlight w:val="none"/>
        </w:rPr>
        <w:t>有权退货，并视作</w:t>
      </w:r>
      <w:r>
        <w:rPr>
          <w:rFonts w:hint="eastAsia"/>
          <w:color w:val="auto"/>
          <w:sz w:val="21"/>
          <w:szCs w:val="21"/>
          <w:highlight w:val="none"/>
          <w:lang w:eastAsia="zh-CN"/>
        </w:rPr>
        <w:t>供应商</w:t>
      </w:r>
      <w:r>
        <w:rPr>
          <w:rFonts w:hint="eastAsia"/>
          <w:color w:val="auto"/>
          <w:sz w:val="21"/>
          <w:szCs w:val="21"/>
          <w:highlight w:val="none"/>
        </w:rPr>
        <w:t>不能交付货物而须支付违约赔偿金给</w:t>
      </w:r>
      <w:r>
        <w:rPr>
          <w:rFonts w:hint="eastAsia"/>
          <w:color w:val="auto"/>
          <w:sz w:val="21"/>
          <w:szCs w:val="21"/>
          <w:highlight w:val="none"/>
          <w:lang w:eastAsia="zh-CN"/>
        </w:rPr>
        <w:t>采购人</w:t>
      </w:r>
      <w:r>
        <w:rPr>
          <w:rFonts w:hint="eastAsia"/>
          <w:color w:val="auto"/>
          <w:sz w:val="21"/>
          <w:szCs w:val="21"/>
          <w:highlight w:val="none"/>
        </w:rPr>
        <w:t>，</w:t>
      </w:r>
      <w:r>
        <w:rPr>
          <w:rFonts w:hint="eastAsia"/>
          <w:color w:val="auto"/>
          <w:sz w:val="21"/>
          <w:szCs w:val="21"/>
          <w:highlight w:val="none"/>
          <w:lang w:eastAsia="zh-CN"/>
        </w:rPr>
        <w:t>采购人</w:t>
      </w:r>
      <w:r>
        <w:rPr>
          <w:rFonts w:hint="eastAsia"/>
          <w:color w:val="auto"/>
          <w:sz w:val="21"/>
          <w:szCs w:val="21"/>
          <w:highlight w:val="none"/>
        </w:rPr>
        <w:t>还可依法追究</w:t>
      </w:r>
      <w:r>
        <w:rPr>
          <w:rFonts w:hint="eastAsia"/>
          <w:color w:val="auto"/>
          <w:sz w:val="21"/>
          <w:szCs w:val="21"/>
          <w:highlight w:val="none"/>
          <w:lang w:eastAsia="zh-CN"/>
        </w:rPr>
        <w:t>供应商</w:t>
      </w:r>
      <w:r>
        <w:rPr>
          <w:rFonts w:hint="eastAsia"/>
          <w:color w:val="auto"/>
          <w:sz w:val="21"/>
          <w:szCs w:val="21"/>
          <w:highlight w:val="none"/>
        </w:rPr>
        <w:t>的违约责任。</w:t>
      </w:r>
      <w:r>
        <w:rPr>
          <w:rFonts w:hint="eastAsia"/>
          <w:color w:val="auto"/>
          <w:sz w:val="21"/>
          <w:szCs w:val="21"/>
          <w:highlight w:val="none"/>
          <w:lang w:val="en-US" w:eastAsia="zh-CN"/>
        </w:rPr>
        <w:t>5.</w:t>
      </w:r>
      <w:r>
        <w:rPr>
          <w:rFonts w:hint="eastAsia"/>
          <w:color w:val="auto"/>
          <w:sz w:val="21"/>
          <w:szCs w:val="21"/>
          <w:highlight w:val="none"/>
        </w:rPr>
        <w:t>其他未尽事宜应严格按照国家、行业以及《财政部关于进一步加强政府采购需求和履约验收管理的指导意见》（财库〔2016〕205号）的要求进行。</w:t>
      </w:r>
    </w:p>
    <w:p>
      <w:pPr>
        <w:pStyle w:val="27"/>
        <w:keepNext w:val="0"/>
        <w:keepLines w:val="0"/>
        <w:pageBreakBefore w:val="0"/>
        <w:widowControl/>
        <w:kinsoku/>
        <w:wordWrap/>
        <w:overflowPunct/>
        <w:topLinePunct w:val="0"/>
        <w:autoSpaceDE/>
        <w:autoSpaceDN/>
        <w:bidi w:val="0"/>
        <w:adjustRightInd/>
        <w:snapToGrid/>
        <w:spacing w:line="300" w:lineRule="auto"/>
        <w:ind w:firstLine="400" w:firstLineChars="200"/>
        <w:textAlignment w:val="auto"/>
        <w:rPr>
          <w:rFonts w:hint="eastAsia"/>
          <w:color w:val="auto"/>
          <w:sz w:val="21"/>
          <w:szCs w:val="21"/>
          <w:highlight w:val="none"/>
          <w:lang w:eastAsia="zh-CN"/>
        </w:rPr>
      </w:pPr>
      <w:r>
        <w:rPr>
          <w:rFonts w:hint="eastAsia"/>
          <w:color w:val="auto"/>
          <w:highlight w:val="none"/>
          <w:lang w:val="en-US" w:eastAsia="zh-CN"/>
        </w:rPr>
        <w:t>2.</w:t>
      </w:r>
      <w:r>
        <w:rPr>
          <w:rFonts w:hint="eastAsia"/>
          <w:color w:val="auto"/>
          <w:sz w:val="21"/>
          <w:szCs w:val="21"/>
          <w:highlight w:val="none"/>
          <w:lang w:val="en-US" w:eastAsia="zh-CN"/>
        </w:rPr>
        <w:t>在广汉市教育和体育局组织正式验收前，</w:t>
      </w:r>
      <w:r>
        <w:rPr>
          <w:color w:val="auto"/>
          <w:sz w:val="21"/>
          <w:szCs w:val="21"/>
          <w:highlight w:val="none"/>
        </w:rPr>
        <w:t>由</w:t>
      </w:r>
      <w:r>
        <w:rPr>
          <w:rFonts w:hint="eastAsia"/>
          <w:color w:val="auto"/>
          <w:sz w:val="21"/>
          <w:szCs w:val="21"/>
          <w:highlight w:val="none"/>
          <w:lang w:eastAsia="zh-CN"/>
        </w:rPr>
        <w:t>CMA或CNAS认证</w:t>
      </w:r>
      <w:r>
        <w:rPr>
          <w:color w:val="auto"/>
          <w:sz w:val="21"/>
          <w:szCs w:val="21"/>
          <w:highlight w:val="none"/>
        </w:rPr>
        <w:t>的第三方检测机构</w:t>
      </w:r>
      <w:r>
        <w:rPr>
          <w:rFonts w:hint="eastAsia"/>
          <w:color w:val="auto"/>
          <w:sz w:val="21"/>
          <w:szCs w:val="21"/>
          <w:highlight w:val="none"/>
          <w:lang w:val="en-US" w:eastAsia="zh-Hans"/>
        </w:rPr>
        <w:t>随机抽选</w:t>
      </w:r>
      <w:r>
        <w:rPr>
          <w:rFonts w:hint="eastAsia"/>
          <w:color w:val="auto"/>
          <w:sz w:val="21"/>
          <w:szCs w:val="21"/>
          <w:highlight w:val="none"/>
          <w:lang w:val="en-US" w:eastAsia="zh-CN"/>
        </w:rPr>
        <w:t>50间</w:t>
      </w:r>
      <w:r>
        <w:rPr>
          <w:rFonts w:hint="eastAsia"/>
          <w:color w:val="auto"/>
          <w:sz w:val="21"/>
          <w:szCs w:val="21"/>
          <w:highlight w:val="none"/>
          <w:lang w:val="en-US" w:eastAsia="zh-Hans"/>
        </w:rPr>
        <w:t>教室</w:t>
      </w:r>
      <w:r>
        <w:rPr>
          <w:color w:val="auto"/>
          <w:sz w:val="21"/>
          <w:szCs w:val="21"/>
          <w:highlight w:val="none"/>
        </w:rPr>
        <w:t>进行检测，</w:t>
      </w:r>
      <w:r>
        <w:rPr>
          <w:rFonts w:hint="eastAsia"/>
          <w:color w:val="auto"/>
          <w:sz w:val="21"/>
          <w:szCs w:val="21"/>
          <w:highlight w:val="none"/>
        </w:rPr>
        <w:t>各项相关指标严格按照</w:t>
      </w:r>
      <w:r>
        <w:rPr>
          <w:color w:val="auto"/>
          <w:sz w:val="21"/>
          <w:szCs w:val="21"/>
          <w:highlight w:val="none"/>
        </w:rPr>
        <w:t>GB</w:t>
      </w:r>
      <w:r>
        <w:rPr>
          <w:rFonts w:hint="eastAsia"/>
          <w:color w:val="auto"/>
          <w:sz w:val="21"/>
          <w:szCs w:val="21"/>
          <w:highlight w:val="none"/>
        </w:rPr>
        <w:t xml:space="preserve"> </w:t>
      </w:r>
      <w:r>
        <w:rPr>
          <w:color w:val="auto"/>
          <w:sz w:val="21"/>
          <w:szCs w:val="21"/>
          <w:highlight w:val="none"/>
        </w:rPr>
        <w:t>7793-2010《中小学校教室采光和照明卫生标准》</w:t>
      </w:r>
      <w:r>
        <w:rPr>
          <w:rFonts w:hint="eastAsia"/>
          <w:color w:val="auto"/>
          <w:sz w:val="21"/>
          <w:szCs w:val="21"/>
          <w:highlight w:val="none"/>
        </w:rPr>
        <w:t>、</w:t>
      </w:r>
      <w:r>
        <w:rPr>
          <w:color w:val="auto"/>
          <w:sz w:val="21"/>
          <w:szCs w:val="21"/>
          <w:highlight w:val="none"/>
        </w:rPr>
        <w:t>GB 50099-2011</w:t>
      </w:r>
      <w:r>
        <w:rPr>
          <w:rFonts w:hint="eastAsia"/>
          <w:color w:val="auto"/>
          <w:sz w:val="21"/>
          <w:szCs w:val="21"/>
          <w:highlight w:val="none"/>
        </w:rPr>
        <w:t>《</w:t>
      </w:r>
      <w:r>
        <w:rPr>
          <w:color w:val="auto"/>
          <w:sz w:val="21"/>
          <w:szCs w:val="21"/>
          <w:highlight w:val="none"/>
        </w:rPr>
        <w:t>中小学校设计规范</w:t>
      </w:r>
      <w:r>
        <w:rPr>
          <w:rFonts w:hint="eastAsia"/>
          <w:color w:val="auto"/>
          <w:sz w:val="21"/>
          <w:szCs w:val="21"/>
          <w:highlight w:val="none"/>
        </w:rPr>
        <w:t>》、</w:t>
      </w:r>
      <w:r>
        <w:rPr>
          <w:color w:val="auto"/>
          <w:sz w:val="21"/>
          <w:szCs w:val="21"/>
          <w:highlight w:val="none"/>
        </w:rPr>
        <w:t>GB 50034-2013</w:t>
      </w:r>
      <w:r>
        <w:rPr>
          <w:rFonts w:hint="eastAsia"/>
          <w:color w:val="auto"/>
          <w:sz w:val="21"/>
          <w:szCs w:val="21"/>
          <w:highlight w:val="none"/>
        </w:rPr>
        <w:t>《</w:t>
      </w:r>
      <w:r>
        <w:rPr>
          <w:color w:val="auto"/>
          <w:sz w:val="21"/>
          <w:szCs w:val="21"/>
          <w:highlight w:val="none"/>
        </w:rPr>
        <w:t>建筑照明设计标准</w:t>
      </w:r>
      <w:r>
        <w:rPr>
          <w:rFonts w:hint="eastAsia"/>
          <w:color w:val="auto"/>
          <w:sz w:val="21"/>
          <w:szCs w:val="21"/>
          <w:highlight w:val="none"/>
        </w:rPr>
        <w:t>》、GB∕T 36876-2018 《中小学校普通教室照明设计安装卫生要求》、GB40070-2021《儿童青少年学习用品近视防控卫生要求》等标准</w:t>
      </w:r>
      <w:r>
        <w:rPr>
          <w:color w:val="auto"/>
          <w:sz w:val="21"/>
          <w:szCs w:val="21"/>
          <w:highlight w:val="none"/>
        </w:rPr>
        <w:t>的要求</w:t>
      </w:r>
      <w:r>
        <w:rPr>
          <w:rFonts w:hint="eastAsia"/>
          <w:color w:val="auto"/>
          <w:sz w:val="21"/>
          <w:szCs w:val="21"/>
          <w:highlight w:val="none"/>
        </w:rPr>
        <w:t>执行。</w:t>
      </w:r>
      <w:r>
        <w:rPr>
          <w:color w:val="auto"/>
          <w:sz w:val="21"/>
          <w:szCs w:val="21"/>
          <w:highlight w:val="none"/>
        </w:rPr>
        <w:t>如</w:t>
      </w:r>
      <w:r>
        <w:rPr>
          <w:rFonts w:hint="eastAsia"/>
          <w:color w:val="auto"/>
          <w:sz w:val="21"/>
          <w:szCs w:val="21"/>
          <w:highlight w:val="none"/>
        </w:rPr>
        <w:t>检测不合格</w:t>
      </w:r>
      <w:r>
        <w:rPr>
          <w:color w:val="auto"/>
          <w:sz w:val="21"/>
          <w:szCs w:val="21"/>
          <w:highlight w:val="none"/>
        </w:rPr>
        <w:t>，则由中标人对所</w:t>
      </w:r>
      <w:r>
        <w:rPr>
          <w:rFonts w:hint="eastAsia"/>
          <w:color w:val="auto"/>
          <w:sz w:val="21"/>
          <w:szCs w:val="21"/>
          <w:highlight w:val="none"/>
        </w:rPr>
        <w:t>有不合格</w:t>
      </w:r>
      <w:r>
        <w:rPr>
          <w:color w:val="auto"/>
          <w:sz w:val="21"/>
          <w:szCs w:val="21"/>
          <w:highlight w:val="none"/>
        </w:rPr>
        <w:t>教室进行</w:t>
      </w:r>
      <w:r>
        <w:rPr>
          <w:rFonts w:hint="eastAsia"/>
          <w:color w:val="auto"/>
          <w:sz w:val="21"/>
          <w:szCs w:val="21"/>
          <w:highlight w:val="none"/>
        </w:rPr>
        <w:t>限期</w:t>
      </w:r>
      <w:r>
        <w:rPr>
          <w:color w:val="auto"/>
          <w:sz w:val="21"/>
          <w:szCs w:val="21"/>
          <w:highlight w:val="none"/>
        </w:rPr>
        <w:t>整改。检测费用和整改费用由中标人承担。</w:t>
      </w:r>
    </w:p>
    <w:p>
      <w:pPr>
        <w:pStyle w:val="27"/>
        <w:ind w:firstLine="480"/>
        <w:outlineLvl w:val="3"/>
        <w:rPr>
          <w:color w:val="auto"/>
          <w:highlight w:val="none"/>
        </w:rPr>
      </w:pPr>
      <w:r>
        <w:rPr>
          <w:b/>
          <w:color w:val="auto"/>
          <w:sz w:val="24"/>
          <w:highlight w:val="none"/>
        </w:rPr>
        <w:t>6</w:t>
      </w:r>
      <w:r>
        <w:rPr>
          <w:rFonts w:hint="eastAsia"/>
          <w:b/>
          <w:color w:val="auto"/>
          <w:sz w:val="24"/>
          <w:highlight w:val="none"/>
          <w:lang w:eastAsia="zh-CN"/>
        </w:rPr>
        <w:t>、</w:t>
      </w:r>
      <w:r>
        <w:rPr>
          <w:b/>
          <w:color w:val="auto"/>
          <w:sz w:val="24"/>
          <w:highlight w:val="none"/>
        </w:rPr>
        <w:t>包装方式及运输</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sz w:val="21"/>
          <w:szCs w:val="21"/>
          <w:highlight w:val="none"/>
        </w:rPr>
      </w:pPr>
      <w:r>
        <w:rPr>
          <w:color w:val="auto"/>
          <w:sz w:val="21"/>
          <w:szCs w:val="21"/>
          <w:highlight w:val="none"/>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27"/>
        <w:ind w:firstLine="480"/>
        <w:outlineLvl w:val="3"/>
        <w:rPr>
          <w:color w:val="auto"/>
          <w:highlight w:val="none"/>
        </w:rPr>
      </w:pPr>
      <w:r>
        <w:rPr>
          <w:b/>
          <w:color w:val="auto"/>
          <w:sz w:val="24"/>
          <w:highlight w:val="none"/>
        </w:rPr>
        <w:t>7</w:t>
      </w:r>
      <w:r>
        <w:rPr>
          <w:rFonts w:hint="eastAsia"/>
          <w:b/>
          <w:color w:val="auto"/>
          <w:sz w:val="24"/>
          <w:highlight w:val="none"/>
          <w:lang w:eastAsia="zh-CN"/>
        </w:rPr>
        <w:t>、</w:t>
      </w:r>
      <w:r>
        <w:rPr>
          <w:b/>
          <w:color w:val="auto"/>
          <w:sz w:val="24"/>
          <w:highlight w:val="none"/>
        </w:rPr>
        <w:t>质量保修范围和保修期</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sz w:val="21"/>
          <w:szCs w:val="21"/>
          <w:highlight w:val="none"/>
        </w:rPr>
      </w:pPr>
      <w:r>
        <w:rPr>
          <w:color w:val="auto"/>
          <w:sz w:val="21"/>
          <w:szCs w:val="21"/>
          <w:highlight w:val="none"/>
        </w:rPr>
        <w:t>响应供应商须如实填写售后服务承诺，按照国家“三包”规定及相关行业规定实行质量保证。质保期：</w:t>
      </w:r>
      <w:r>
        <w:rPr>
          <w:rFonts w:hint="eastAsia"/>
          <w:color w:val="auto"/>
          <w:sz w:val="21"/>
          <w:szCs w:val="21"/>
          <w:highlight w:val="none"/>
          <w:lang w:val="en-US" w:eastAsia="zh-CN"/>
        </w:rPr>
        <w:t>5</w:t>
      </w:r>
      <w:r>
        <w:rPr>
          <w:color w:val="auto"/>
          <w:sz w:val="21"/>
          <w:szCs w:val="21"/>
          <w:highlight w:val="none"/>
        </w:rPr>
        <w:t>年。</w:t>
      </w:r>
    </w:p>
    <w:p>
      <w:pPr>
        <w:pStyle w:val="27"/>
        <w:ind w:firstLine="480"/>
        <w:outlineLvl w:val="3"/>
        <w:rPr>
          <w:color w:val="auto"/>
          <w:highlight w:val="none"/>
        </w:rPr>
      </w:pPr>
      <w:r>
        <w:rPr>
          <w:b/>
          <w:color w:val="auto"/>
          <w:sz w:val="24"/>
          <w:highlight w:val="none"/>
        </w:rPr>
        <w:t>8</w:t>
      </w:r>
      <w:r>
        <w:rPr>
          <w:rFonts w:hint="eastAsia"/>
          <w:b/>
          <w:color w:val="auto"/>
          <w:sz w:val="24"/>
          <w:highlight w:val="none"/>
          <w:lang w:eastAsia="zh-CN"/>
        </w:rPr>
        <w:t>、</w:t>
      </w:r>
      <w:r>
        <w:rPr>
          <w:b/>
          <w:color w:val="auto"/>
          <w:sz w:val="24"/>
          <w:highlight w:val="none"/>
        </w:rPr>
        <w:t>违约责任与解决争议的方法</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color w:val="auto"/>
          <w:sz w:val="21"/>
          <w:szCs w:val="21"/>
          <w:highlight w:val="none"/>
        </w:rPr>
      </w:pPr>
      <w:r>
        <w:rPr>
          <w:color w:val="auto"/>
          <w:sz w:val="21"/>
          <w:szCs w:val="21"/>
          <w:highlight w:val="none"/>
        </w:rPr>
        <w:t>1、采购人违约责任</w:t>
      </w:r>
      <w:r>
        <w:rPr>
          <w:rFonts w:hint="eastAsia"/>
          <w:color w:val="auto"/>
          <w:sz w:val="21"/>
          <w:szCs w:val="21"/>
          <w:highlight w:val="none"/>
          <w:lang w:eastAsia="zh-CN"/>
        </w:rPr>
        <w:t>：</w:t>
      </w:r>
      <w:r>
        <w:rPr>
          <w:color w:val="auto"/>
          <w:sz w:val="21"/>
          <w:szCs w:val="21"/>
          <w:highlight w:val="none"/>
        </w:rPr>
        <w:t>（1）采购人无正当理由拒收货物的，采购人应偿付合同总价百分之五的违约金；（2）采购人逾期支付货款的，除应及时付足货款外，应向供应商偿付欠款总额万分之三/天的违约金；逾期付款超过30天的，供应商有权终止合同；（3）采购人偿付的违约金不足以弥补供应商损失的，还应按供应商损失尚未弥补的部分，支付赔偿金给供应商。2、供应商违约责任</w:t>
      </w:r>
      <w:r>
        <w:rPr>
          <w:rFonts w:hint="eastAsia"/>
          <w:color w:val="auto"/>
          <w:sz w:val="21"/>
          <w:szCs w:val="21"/>
          <w:highlight w:val="none"/>
          <w:lang w:eastAsia="zh-CN"/>
        </w:rPr>
        <w:t>：</w:t>
      </w:r>
      <w:r>
        <w:rPr>
          <w:color w:val="auto"/>
          <w:sz w:val="21"/>
          <w:szCs w:val="21"/>
          <w:highlight w:val="none"/>
        </w:rPr>
        <w:t>（1）供应商交付的货物质量不符合合同规定的，供应商应向采购人支付合同总价的百分之五的违约金，并须在合同规定的交货时间内更换合格的货物给采购人，否则，视作供应商不能交付货物而违约，按本条本款下述第“（2）”项规定由供应商偿付违约赔偿金给采购人。（2）供应商不能交付货物或逾期交付货物而违约的，除应及时交足货物外，应向采购人偿付逾期交货部分货款总额的万分之三/天的违约金；逾期交货超过15天，采购人有权终止合同，供应商则应按合同总价的百分之五的款额向采购人偿付赔偿金，并须全额退还采购人已经付给供应商的货款及其利息。（3）供应商货物经采购人送交具有法定资格条件的质量技术监督机构检测后，如检测结果认定货物质量不符合本合同规定标准的，则视为供应商没有按时交货而违约，供应商须在15天内无条件更换合格的货物，如逾期不能更换合格的货物，采购人有权终止本合同，供应商应另付合同总价的百分之五的赔偿金给采购人。（4）供应商保证本合同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五向采购人支付违约金并赔偿因此给采购人造成的一切损失。（5）供应商偿付的违约金不足以弥补采购人损失的，还应按采购人损失尚未弥补的部分，支付赔偿金给采购人。</w:t>
      </w:r>
    </w:p>
    <w:p>
      <w:pPr>
        <w:adjustRightInd w:val="0"/>
        <w:spacing w:before="100" w:beforeAutospacing="1" w:after="100" w:afterAutospacing="1" w:line="360" w:lineRule="auto"/>
        <w:rPr>
          <w:rFonts w:hint="default" w:ascii="宋体" w:hAnsi="宋体" w:eastAsia="宋体" w:cs="Times New Roman"/>
          <w:b/>
          <w:bCs/>
          <w:color w:val="auto"/>
          <w:sz w:val="24"/>
          <w:highlight w:val="none"/>
          <w:lang w:val="en-US" w:eastAsia="zh-CN"/>
        </w:rPr>
      </w:pPr>
      <w:r>
        <w:rPr>
          <w:rFonts w:hint="eastAsia" w:ascii="宋体" w:hAnsi="宋体" w:eastAsia="宋体" w:cs="Times New Roman"/>
          <w:b/>
          <w:bCs/>
          <w:color w:val="auto"/>
          <w:sz w:val="24"/>
          <w:highlight w:val="none"/>
          <w:lang w:val="en-US" w:eastAsia="zh-CN"/>
        </w:rPr>
        <w:t>四、</w:t>
      </w:r>
      <w:r>
        <w:rPr>
          <w:rFonts w:hint="eastAsia" w:ascii="宋体" w:hAnsi="宋体" w:eastAsia="宋体" w:cs="Times New Roman"/>
          <w:b/>
          <w:bCs/>
          <w:color w:val="auto"/>
          <w:sz w:val="24"/>
          <w:highlight w:val="yellow"/>
          <w:lang w:val="en-US" w:eastAsia="zh-CN"/>
        </w:rPr>
        <w:t>售后服务要求（实质性要求）</w:t>
      </w:r>
    </w:p>
    <w:p>
      <w:pPr>
        <w:widowControl/>
        <w:shd w:val="clear" w:color="auto" w:fill="FFFFFF"/>
        <w:spacing w:line="374" w:lineRule="atLeast"/>
        <w:ind w:firstLine="512"/>
        <w:jc w:val="left"/>
        <w:rPr>
          <w:rFonts w:hint="eastAsia"/>
          <w:color w:val="auto"/>
          <w:sz w:val="21"/>
          <w:szCs w:val="21"/>
          <w:highlight w:val="none"/>
          <w:lang w:val="en-US" w:eastAsia="zh-CN"/>
        </w:rPr>
      </w:pPr>
      <w:r>
        <w:rPr>
          <w:rFonts w:hint="eastAsia"/>
          <w:color w:val="auto"/>
          <w:sz w:val="21"/>
          <w:szCs w:val="21"/>
          <w:highlight w:val="none"/>
          <w:lang w:val="en-US" w:eastAsia="zh-CN"/>
        </w:rPr>
        <w:t>售后服务要求：（1）故障响应时间：中标人接到故障通知后在4小时内到达采购人指定现场，并在12小时内排除故障；使用方有特别要求的，必须按使用方要求进行处理。在12小时内不能解决的故障问题，中标人须提供与原设备技术参数要求相同或高于原设备技术参数要求的备用产品，以保证采购人的正常工作。（2）送货上门、安装、调试，培训使用人员和维护人员。（3）质保期内，每半年至少进行一次定期回访以及对设备保养。（4）中标人负责处理解决质保期内货物出现的质量及安全问题并承担一切费用，质保期内所有非故意性损坏以及正常使用范围内造成的损坏均要免费维修，因人为因素出现的故障不在免费保修范围内的，中标人也要积极帮助采购人修理，并只收取部件成本费。（5）超过质量保证期的货物，维修时只收部件成本费。（6）中标人提供备品备件，提供产品更新、改造服务。（7）提供货品清单：项目名称、实施年月、所有设备的名称、品牌和型号、各设备厂家售后服务电话、中标人售后服务联系方式。（8）人员培训要求：中标人为采购单位提供现场培训，每个学校培训至少2名操作管理及安全维护人员，达到熟练掌握产品性能、操作技能及排除一般故障的程度。所需费用由中标人承担。</w:t>
      </w:r>
      <w:r>
        <w:rPr>
          <w:rFonts w:hint="eastAsia" w:ascii="宋体" w:hAnsi="宋体" w:eastAsia="宋体" w:cs="宋体"/>
          <w:color w:val="auto"/>
          <w:sz w:val="21"/>
          <w:szCs w:val="21"/>
          <w:highlight w:val="none"/>
          <w:lang w:val="en-US" w:eastAsia="zh-CN"/>
        </w:rPr>
        <w:t>（9）</w:t>
      </w:r>
      <w:r>
        <w:rPr>
          <w:rFonts w:hint="eastAsia" w:ascii="宋体" w:hAnsi="宋体" w:eastAsia="宋体" w:cs="Times New Roman"/>
          <w:color w:val="auto"/>
          <w:spacing w:val="8"/>
          <w:kern w:val="0"/>
          <w:sz w:val="21"/>
          <w:szCs w:val="21"/>
          <w:highlight w:val="none"/>
          <w:shd w:val="clear" w:color="auto" w:fill="FFFFFF"/>
        </w:rPr>
        <w:t>货到现场后由于</w:t>
      </w:r>
      <w:r>
        <w:rPr>
          <w:rFonts w:hint="eastAsia" w:ascii="宋体" w:hAnsi="宋体" w:eastAsia="宋体" w:cs="Times New Roman"/>
          <w:color w:val="auto"/>
          <w:spacing w:val="8"/>
          <w:kern w:val="0"/>
          <w:sz w:val="21"/>
          <w:szCs w:val="21"/>
          <w:highlight w:val="none"/>
          <w:shd w:val="clear" w:color="auto" w:fill="FFFFFF"/>
          <w:lang w:val="en-US" w:eastAsia="zh-CN"/>
        </w:rPr>
        <w:t>采购人</w:t>
      </w:r>
      <w:r>
        <w:rPr>
          <w:rFonts w:hint="eastAsia" w:ascii="宋体" w:hAnsi="宋体" w:eastAsia="宋体" w:cs="Times New Roman"/>
          <w:color w:val="auto"/>
          <w:spacing w:val="8"/>
          <w:kern w:val="0"/>
          <w:sz w:val="21"/>
          <w:szCs w:val="21"/>
          <w:highlight w:val="none"/>
          <w:shd w:val="clear" w:color="auto" w:fill="FFFFFF"/>
        </w:rPr>
        <w:t>保管不当造成的问题，</w:t>
      </w:r>
      <w:r>
        <w:rPr>
          <w:rFonts w:hint="eastAsia" w:ascii="宋体" w:hAnsi="宋体" w:eastAsia="宋体" w:cs="Times New Roman"/>
          <w:color w:val="auto"/>
          <w:spacing w:val="8"/>
          <w:kern w:val="0"/>
          <w:sz w:val="21"/>
          <w:szCs w:val="21"/>
          <w:highlight w:val="none"/>
          <w:shd w:val="clear" w:color="auto" w:fill="FFFFFF"/>
          <w:lang w:val="en-US" w:eastAsia="zh-CN"/>
        </w:rPr>
        <w:t>中标人</w:t>
      </w:r>
      <w:r>
        <w:rPr>
          <w:rFonts w:hint="eastAsia" w:ascii="宋体" w:hAnsi="宋体" w:eastAsia="宋体" w:cs="Times New Roman"/>
          <w:color w:val="auto"/>
          <w:spacing w:val="8"/>
          <w:kern w:val="0"/>
          <w:sz w:val="21"/>
          <w:szCs w:val="21"/>
          <w:highlight w:val="none"/>
          <w:shd w:val="clear" w:color="auto" w:fill="FFFFFF"/>
        </w:rPr>
        <w:t>亦应负责修复，但费用由</w:t>
      </w:r>
      <w:r>
        <w:rPr>
          <w:rFonts w:hint="eastAsia" w:ascii="宋体" w:hAnsi="宋体" w:eastAsia="宋体" w:cs="Times New Roman"/>
          <w:color w:val="auto"/>
          <w:spacing w:val="8"/>
          <w:kern w:val="0"/>
          <w:sz w:val="21"/>
          <w:szCs w:val="21"/>
          <w:highlight w:val="none"/>
          <w:shd w:val="clear" w:color="auto" w:fill="FFFFFF"/>
          <w:lang w:val="en-US" w:eastAsia="zh-CN"/>
        </w:rPr>
        <w:t>采购人</w:t>
      </w:r>
      <w:r>
        <w:rPr>
          <w:rFonts w:hint="eastAsia" w:ascii="宋体" w:hAnsi="宋体" w:eastAsia="宋体" w:cs="Times New Roman"/>
          <w:color w:val="auto"/>
          <w:spacing w:val="8"/>
          <w:kern w:val="0"/>
          <w:sz w:val="21"/>
          <w:szCs w:val="21"/>
          <w:highlight w:val="none"/>
          <w:shd w:val="clear" w:color="auto" w:fill="FFFFFF"/>
        </w:rPr>
        <w:t>负担。</w:t>
      </w:r>
    </w:p>
    <w:p>
      <w:pPr>
        <w:adjustRightInd w:val="0"/>
        <w:spacing w:before="100" w:beforeAutospacing="1" w:after="100" w:afterAutospacing="1" w:line="360" w:lineRule="auto"/>
        <w:rPr>
          <w:rFonts w:hint="eastAsia" w:ascii="宋体" w:hAnsi="宋体" w:eastAsia="宋体" w:cs="Times New Roman"/>
          <w:b/>
          <w:bCs/>
          <w:color w:val="auto"/>
          <w:sz w:val="24"/>
          <w:highlight w:val="yellow"/>
          <w:lang w:val="en-US" w:eastAsia="zh-CN"/>
        </w:rPr>
      </w:pPr>
      <w:r>
        <w:rPr>
          <w:rFonts w:hint="eastAsia" w:ascii="宋体" w:hAnsi="宋体" w:eastAsia="宋体" w:cs="Times New Roman"/>
          <w:b/>
          <w:bCs/>
          <w:color w:val="auto"/>
          <w:sz w:val="24"/>
          <w:highlight w:val="yellow"/>
          <w:lang w:val="en-US" w:eastAsia="zh-CN"/>
        </w:rPr>
        <w:t>五、交货及安装要求：（实质性要求）</w:t>
      </w:r>
    </w:p>
    <w:p>
      <w:pPr>
        <w:pStyle w:val="27"/>
        <w:keepNext w:val="0"/>
        <w:keepLines w:val="0"/>
        <w:pageBreakBefore w:val="0"/>
        <w:widowControl/>
        <w:kinsoku/>
        <w:wordWrap/>
        <w:overflowPunct/>
        <w:topLinePunct w:val="0"/>
        <w:autoSpaceDE/>
        <w:autoSpaceDN/>
        <w:bidi w:val="0"/>
        <w:adjustRightInd/>
        <w:snapToGrid/>
        <w:spacing w:line="300" w:lineRule="auto"/>
        <w:ind w:firstLine="420" w:firstLineChars="200"/>
        <w:textAlignment w:val="auto"/>
        <w:rPr>
          <w:rFonts w:hint="eastAsia"/>
          <w:color w:val="auto"/>
          <w:sz w:val="21"/>
          <w:szCs w:val="21"/>
          <w:highlight w:val="none"/>
          <w:lang w:val="en-US" w:eastAsia="zh-CN"/>
        </w:rPr>
      </w:pPr>
      <w:r>
        <w:rPr>
          <w:rFonts w:hint="eastAsia"/>
          <w:color w:val="auto"/>
          <w:sz w:val="21"/>
          <w:szCs w:val="21"/>
          <w:highlight w:val="none"/>
          <w:lang w:val="en-US" w:eastAsia="zh-CN"/>
        </w:rPr>
        <w:t>1、</w:t>
      </w:r>
      <w:r>
        <w:rPr>
          <w:rFonts w:hint="eastAsia"/>
          <w:sz w:val="21"/>
          <w:szCs w:val="21"/>
          <w:highlight w:val="none"/>
          <w:lang w:val="en-US" w:eastAsia="zh-CN"/>
        </w:rPr>
        <w:t>供应商</w:t>
      </w:r>
      <w:r>
        <w:rPr>
          <w:rFonts w:hint="eastAsia"/>
          <w:sz w:val="21"/>
          <w:szCs w:val="21"/>
          <w:highlight w:val="yellow"/>
          <w:lang w:val="en-US" w:eastAsia="zh-CN"/>
        </w:rPr>
        <w:t>提供的</w:t>
      </w:r>
      <w:r>
        <w:rPr>
          <w:rFonts w:hint="eastAsia"/>
          <w:sz w:val="21"/>
          <w:szCs w:val="21"/>
          <w:highlight w:val="none"/>
          <w:lang w:val="en-US" w:eastAsia="zh-CN"/>
        </w:rPr>
        <w:t>所有产品参数</w:t>
      </w:r>
      <w:r>
        <w:rPr>
          <w:rFonts w:hint="eastAsia"/>
          <w:sz w:val="21"/>
          <w:szCs w:val="21"/>
          <w:highlight w:val="yellow"/>
          <w:lang w:val="en-US" w:eastAsia="zh-CN"/>
        </w:rPr>
        <w:t>应当与投标文件相符</w:t>
      </w:r>
      <w:r>
        <w:rPr>
          <w:rFonts w:hint="eastAsia"/>
          <w:sz w:val="21"/>
          <w:szCs w:val="21"/>
          <w:highlight w:val="none"/>
          <w:lang w:val="en-US" w:eastAsia="zh-CN"/>
        </w:rPr>
        <w:t>，</w:t>
      </w:r>
      <w:r>
        <w:rPr>
          <w:rFonts w:hint="eastAsia"/>
          <w:color w:val="auto"/>
          <w:sz w:val="21"/>
          <w:szCs w:val="21"/>
          <w:highlight w:val="none"/>
          <w:lang w:val="en-US" w:eastAsia="zh-CN"/>
        </w:rPr>
        <w:t>且在项目验收时需提交与响应文件一致（检测报告、证书等相关证明材料）的原件查核。</w:t>
      </w:r>
    </w:p>
    <w:p>
      <w:pPr>
        <w:pStyle w:val="27"/>
        <w:rPr>
          <w:rFonts w:hint="default"/>
          <w:color w:val="auto"/>
          <w:highlight w:val="none"/>
        </w:rPr>
      </w:pPr>
      <w:r>
        <w:rPr>
          <w:rFonts w:hint="eastAsia"/>
          <w:color w:val="auto"/>
          <w:highlight w:val="yellow"/>
          <w:lang w:val="en-US" w:eastAsia="zh-CN"/>
        </w:rPr>
        <w:t>2</w:t>
      </w:r>
      <w:r>
        <w:rPr>
          <w:color w:val="auto"/>
          <w:highlight w:val="yellow"/>
        </w:rPr>
        <w:t>、</w:t>
      </w:r>
      <w:r>
        <w:rPr>
          <w:color w:val="auto"/>
          <w:highlight w:val="none"/>
        </w:rPr>
        <w:t>辅材与安装要求：</w:t>
      </w:r>
    </w:p>
    <w:p>
      <w:pPr>
        <w:pStyle w:val="27"/>
        <w:keepNext w:val="0"/>
        <w:keepLines w:val="0"/>
        <w:pageBreakBefore w:val="0"/>
        <w:widowControl/>
        <w:kinsoku/>
        <w:wordWrap/>
        <w:overflowPunct/>
        <w:topLinePunct w:val="0"/>
        <w:autoSpaceDE/>
        <w:autoSpaceDN/>
        <w:bidi w:val="0"/>
        <w:adjustRightInd/>
        <w:snapToGrid/>
        <w:ind w:firstLine="400" w:firstLineChars="200"/>
        <w:textAlignment w:val="auto"/>
        <w:rPr>
          <w:rFonts w:hint="default"/>
          <w:color w:val="auto"/>
          <w:highlight w:val="none"/>
        </w:rPr>
      </w:pPr>
      <w:r>
        <w:rPr>
          <w:color w:val="auto"/>
          <w:highlight w:val="none"/>
        </w:rPr>
        <w:t>采用硬吊杆安装方式，吊杆材质为铝材或铝合金材料，吊杆外径≥12mm，壁厚≥1mm，表面氧化处理。黑板照明灯平行于黑板安装，灯具距黑板平行间距d＜800mm，距黑板上缘垂直距离h＞100mm，避免黑板灯对教师产生直接眩光。教室照明灯具纵向(灯具长轴垂直于黑板)均匀布设，灯具距课桌垂直距离(g)不低于≥1700mm。天花板安装预埋件处应有遮挡罩。如下图所示</w:t>
      </w:r>
    </w:p>
    <w:p>
      <w:pPr>
        <w:spacing w:line="300" w:lineRule="auto"/>
        <w:jc w:val="center"/>
        <w:rPr>
          <w:color w:val="auto"/>
          <w:highlight w:val="none"/>
        </w:rPr>
      </w:pPr>
      <w:r>
        <w:rPr>
          <w:color w:val="auto"/>
          <w:highlight w:val="none"/>
        </w:rPr>
        <w:drawing>
          <wp:inline distT="0" distB="0" distL="114300" distR="114300">
            <wp:extent cx="3916045" cy="1541145"/>
            <wp:effectExtent l="0" t="0" r="825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3916045" cy="1541145"/>
                    </a:xfrm>
                    <a:prstGeom prst="rect">
                      <a:avLst/>
                    </a:prstGeom>
                    <a:noFill/>
                    <a:ln>
                      <a:noFill/>
                    </a:ln>
                  </pic:spPr>
                </pic:pic>
              </a:graphicData>
            </a:graphic>
          </wp:inline>
        </w:drawing>
      </w:r>
    </w:p>
    <w:p>
      <w:pPr>
        <w:pStyle w:val="27"/>
        <w:rPr>
          <w:rFonts w:hint="default"/>
          <w:color w:val="auto"/>
          <w:highlight w:val="none"/>
        </w:rPr>
      </w:pPr>
      <w:r>
        <w:rPr>
          <w:color w:val="auto"/>
          <w:highlight w:val="none"/>
        </w:rPr>
        <w:t>教室统一眩光值UGR≤16；维持平均照度≥300lx(维护系数取0.8) ，照度均匀度≥0.7；照明功率密度≤8W/m2；</w:t>
      </w:r>
    </w:p>
    <w:p>
      <w:pPr>
        <w:pStyle w:val="27"/>
        <w:rPr>
          <w:rFonts w:hint="default"/>
          <w:color w:val="auto"/>
          <w:highlight w:val="none"/>
        </w:rPr>
      </w:pPr>
      <w:r>
        <w:rPr>
          <w:color w:val="auto"/>
          <w:highlight w:val="none"/>
        </w:rPr>
        <w:t>黑板维持平均照度≥500lx(维护系数取0.8) ，照度均匀度≥0.8。</w:t>
      </w:r>
    </w:p>
    <w:p>
      <w:pPr>
        <w:pStyle w:val="27"/>
        <w:ind w:firstLine="400" w:firstLineChars="200"/>
        <w:rPr>
          <w:rFonts w:hint="default"/>
          <w:color w:val="auto"/>
          <w:highlight w:val="none"/>
        </w:rPr>
      </w:pPr>
      <w:r>
        <w:rPr>
          <w:rFonts w:hint="eastAsia"/>
          <w:color w:val="auto"/>
          <w:highlight w:val="yellow"/>
          <w:lang w:val="en-US" w:eastAsia="zh-CN"/>
        </w:rPr>
        <w:t>2</w:t>
      </w:r>
      <w:r>
        <w:rPr>
          <w:rFonts w:hint="default"/>
          <w:color w:val="auto"/>
          <w:highlight w:val="yellow"/>
        </w:rPr>
        <w:t>.1</w:t>
      </w:r>
      <w:r>
        <w:rPr>
          <w:color w:val="auto"/>
          <w:highlight w:val="none"/>
        </w:rPr>
        <w:t>供应商根据教室基本信息或实地勘测，进行教室人工照明光环境设计并编制施工方案。 教室人工照明光环境设计必须符合“GB 7793-2010 中小学校教室采光和照明卫生标准”“GB 40070-2021 儿童青少年学习用品近视防控卫生要求”、遵循 “DB51T 2118-2016 中小学校及幼儿园教室照明设计规范” “CQC 3155-2016中小学校及幼儿园教室照明产品节能认证技术规范”“CQC 16-465199-2020 教室优质照明光环境认证规则”等，明确各类别教室灯具型号、数量，绘制出各类别教室灯具位置图。</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.2</w:t>
      </w:r>
      <w:r>
        <w:rPr>
          <w:color w:val="auto"/>
          <w:highlight w:val="none"/>
        </w:rPr>
        <w:t>施工人员应审核灯具和所需一切安装辅材的型号、规格、数量、产品合格证。保证灯具必须是全新、未开封、未使用过的产品 (即厂家原装正品) ，并检查灯具配件是否齐全，灯具应无机械损伤、变形、喷塑保护层剥落、破裂、灯具内配线外露等现象。</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.3</w:t>
      </w:r>
      <w:r>
        <w:rPr>
          <w:color w:val="auto"/>
          <w:highlight w:val="none"/>
        </w:rPr>
        <w:t>将教室原灯具拆除并摆放在学校指定位置，如学校不留存则供应商应负责做好回收处理，其中光源为荧光灯的须交有资质的机构进行回收做无害化处理；拆除中如教室墙面和顶棚被破坏，应及时进行修补，恢复原貌。</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w:t>
      </w:r>
      <w:r>
        <w:rPr>
          <w:color w:val="auto"/>
          <w:highlight w:val="none"/>
        </w:rPr>
        <w:t>按教室灯具位置图施工。</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.4.1</w:t>
      </w:r>
      <w:r>
        <w:rPr>
          <w:color w:val="auto"/>
          <w:highlight w:val="none"/>
        </w:rPr>
        <w:t>教室灯具距教室桌面(小学桌面高度0.61m、初中桌面高度0.67m、高中桌面高度 0.73m) 的最低悬挂高度不小于1.70m，教室灯具长轴垂直于黑板面；黑板灯具平行于黑板，黑板灯具距黑板水平距离不大于800mm、距黑板上缘垂直距离不小于100mm。</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.4.2</w:t>
      </w:r>
      <w:r>
        <w:rPr>
          <w:color w:val="auto"/>
          <w:highlight w:val="none"/>
        </w:rPr>
        <w:t>每间教室灯具应采用多回路控制。每盏黑板灯具独立开关分别控制，共三个回路，黑板灯具开关位置应在黑板附近侧方或下方；第一横排起每纵列（或每横列）教室灯具独立开关控制，共三个回路，教室灯具开关位置应在教室前门侧附近；个别专用教室可根据实际情况作合理、适当的调整。每个开关盒最多设置3个开关。</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.4.3</w:t>
      </w:r>
      <w:r>
        <w:rPr>
          <w:color w:val="auto"/>
          <w:highlight w:val="none"/>
        </w:rPr>
        <w:t>重新铺设教室内所有照明电源线；电源线铜芯截面积≥1mm</w:t>
      </w:r>
      <w:r>
        <w:rPr>
          <w:color w:val="auto"/>
          <w:highlight w:val="none"/>
          <w:vertAlign w:val="superscript"/>
        </w:rPr>
        <w:t>2</w:t>
      </w:r>
      <w:r>
        <w:rPr>
          <w:color w:val="auto"/>
          <w:highlight w:val="none"/>
        </w:rPr>
        <w:t xml:space="preserve"> ，相线 (红色或棕色) 、零线 (蓝色或黑色)、地线 (黄绿相间色) 应保持一致；电源线两端必须与开关、灯具等的接线端子连接，中间无接头，导线绝缘保护良好；所有灯具金属体须良好连接安全地线。</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.4.4</w:t>
      </w:r>
      <w:r>
        <w:rPr>
          <w:color w:val="auto"/>
          <w:highlight w:val="none"/>
        </w:rPr>
        <w:t>所有顶棚下垂部分的电源线必须置于灯具吊杆内，不得缠绕于吊杆外或悬空裸露；所有沿墙面和顶棚面的电源线必须置于阻燃PVC线槽、线管中，线槽、线管连接处应使用连接配件或者规范对接 (平转角45°斜口对接、T形分支三角叉接等) ，接缝处严密平整；线槽、线管敷设应紧贴建筑物表面且横平竖直，线槽、线管采用膨胀螺钉加垫片固定，两固定点间直线距离小于500mm，转弯与接缝处须有固定点；线槽 (管) 表面应有阻燃标识。</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.4.5</w:t>
      </w:r>
      <w:r>
        <w:rPr>
          <w:color w:val="auto"/>
          <w:highlight w:val="none"/>
        </w:rPr>
        <w:t>灯具与教室顶棚连接必须采用金属吊杆。灯具固定禁止使用木楔，宜采用M6铁膨胀螺栓；特殊情况可采用Φ8mm尼龙膨胀管与Φ5mm膨胀螺丝配套；空芯楼板空洞部位应采用“飞机膨胀”固定；严禁利用旧灯具孔位、膨胀固定；灯具的单点固定装置安装完毕后能承受垂直向下五倍灯具重量的力且持续15分钟，不应有移动、松动、摇晃等现象；灯具安装后不得有明显歪斜、高低、晃动现象。</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.4.6</w:t>
      </w:r>
      <w:r>
        <w:rPr>
          <w:color w:val="auto"/>
          <w:highlight w:val="none"/>
        </w:rPr>
        <w:t>灯具安装完毕后应通电试运行。检查灯具点亮是否正常，开关控制是否正常，黑板灯具投射方向及角度是否正确并牢固锁定，灯具、开关运行完好率应达到100%。</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.4.7</w:t>
      </w:r>
      <w:r>
        <w:rPr>
          <w:color w:val="auto"/>
          <w:highlight w:val="none"/>
        </w:rPr>
        <w:t>灯具匀光板、扩散板、反光器等重要光学部件应保持清洁，不得留下指纹印或其他污渍。</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.4.8</w:t>
      </w:r>
      <w:r>
        <w:rPr>
          <w:color w:val="auto"/>
          <w:highlight w:val="none"/>
        </w:rPr>
        <w:t>教室灯具改造应注意与教室风扇等设施的兼容性，以保证各自的使用效果，教室灯具应安装在风扇之下，以保证风扇转动时不影响灯具正常照明。如灯具安装与风扇产生位置冲突应提前与校方沟通，协商解决。</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.5</w:t>
      </w:r>
      <w:r>
        <w:rPr>
          <w:color w:val="auto"/>
          <w:highlight w:val="none"/>
        </w:rPr>
        <w:t>因施工原因造成墙面、顶棚污损的需进行修补和粉刷。施工完毕应处理好施工垃圾，做好施工后场地整洁工作。</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.6</w:t>
      </w:r>
      <w:r>
        <w:rPr>
          <w:color w:val="auto"/>
          <w:highlight w:val="none"/>
        </w:rPr>
        <w:t>实际施工过程中如因特殊原因需修改设计的，由采购人和项目学校对修改方案认可后供应商方可继续施工。</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.7</w:t>
      </w:r>
      <w:r>
        <w:rPr>
          <w:color w:val="auto"/>
          <w:highlight w:val="none"/>
        </w:rPr>
        <w:t>供应商应建立完整的设计和施工档案。</w:t>
      </w:r>
    </w:p>
    <w:p>
      <w:pPr>
        <w:pStyle w:val="27"/>
        <w:ind w:firstLine="400" w:firstLineChars="200"/>
        <w:rPr>
          <w:rFonts w:hint="default"/>
          <w:color w:val="auto"/>
          <w:highlight w:val="none"/>
        </w:rPr>
      </w:pPr>
      <w:r>
        <w:rPr>
          <w:rFonts w:hint="eastAsia"/>
          <w:color w:val="auto"/>
          <w:highlight w:val="yellow"/>
          <w:lang w:val="en-US" w:eastAsia="zh-CN"/>
        </w:rPr>
        <w:t>2</w:t>
      </w:r>
      <w:r>
        <w:rPr>
          <w:color w:val="auto"/>
          <w:highlight w:val="yellow"/>
        </w:rPr>
        <w:t>.8</w:t>
      </w:r>
      <w:r>
        <w:rPr>
          <w:color w:val="auto"/>
          <w:highlight w:val="none"/>
        </w:rPr>
        <w:t xml:space="preserve">供应商在项目实施过程中(含原有灯具拆除)须按相关操作规程进行规范操作，以确保人员及货物的安全，实施过程中产生的一切安全事故责任由供应商自行承担;供应商安装的灯具应牢固可靠，质保期内因灯具坠落造成的人员伤害以及灯具损坏，责任由供应商承担，采购人和学校不承担任何连带责任; </w:t>
      </w:r>
    </w:p>
    <w:p>
      <w:pPr>
        <w:pStyle w:val="27"/>
        <w:rPr>
          <w:rFonts w:hint="default"/>
          <w:color w:val="auto"/>
          <w:highlight w:val="none"/>
        </w:rPr>
      </w:pPr>
      <w:r>
        <w:rPr>
          <w:color w:val="auto"/>
          <w:highlight w:val="none"/>
        </w:rPr>
        <w:t>工期要求：签定合同之日起60天内完成。</w:t>
      </w:r>
    </w:p>
    <w:p>
      <w:pPr>
        <w:pStyle w:val="27"/>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default"/>
          <w:color w:val="auto"/>
          <w:highlight w:val="none"/>
        </w:rPr>
      </w:pPr>
      <w:r>
        <w:rPr>
          <w:rFonts w:hint="eastAsia"/>
          <w:color w:val="auto"/>
          <w:highlight w:val="yellow"/>
          <w:lang w:val="en-US" w:eastAsia="zh-CN"/>
        </w:rPr>
        <w:t>3</w:t>
      </w:r>
      <w:r>
        <w:rPr>
          <w:color w:val="auto"/>
          <w:highlight w:val="yellow"/>
        </w:rPr>
        <w:t>、</w:t>
      </w:r>
      <w:r>
        <w:rPr>
          <w:color w:val="auto"/>
          <w:highlight w:val="none"/>
        </w:rPr>
        <w:t>旧灯拆除（880间）、新灯具安装要求：</w:t>
      </w:r>
    </w:p>
    <w:p>
      <w:pPr>
        <w:pStyle w:val="27"/>
        <w:ind w:firstLine="400" w:firstLineChars="200"/>
        <w:rPr>
          <w:rFonts w:hint="default"/>
          <w:color w:val="auto"/>
          <w:highlight w:val="none"/>
        </w:rPr>
      </w:pPr>
      <w:r>
        <w:rPr>
          <w:rFonts w:hint="eastAsia"/>
          <w:color w:val="auto"/>
          <w:highlight w:val="yellow"/>
          <w:lang w:val="en-US" w:eastAsia="zh-CN"/>
        </w:rPr>
        <w:t>3.</w:t>
      </w:r>
      <w:r>
        <w:rPr>
          <w:color w:val="auto"/>
          <w:highlight w:val="yellow"/>
        </w:rPr>
        <w:t>1</w:t>
      </w:r>
      <w:r>
        <w:rPr>
          <w:color w:val="auto"/>
          <w:highlight w:val="none"/>
        </w:rPr>
        <w:t xml:space="preserve"> 教室里的旧有灯具，由供应商拆除，所有费用包含于供应商响应报价中。</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 xml:space="preserve">2 </w:t>
      </w:r>
      <w:r>
        <w:rPr>
          <w:color w:val="auto"/>
          <w:highlight w:val="none"/>
        </w:rPr>
        <w:t xml:space="preserve">安装过程中，为了安全、实用、美观的原因，可能涉及需要调整风扇、摄像头、投影机、音箱等设备的位置，墙面修复，由供应商经使用单位同意后调整。 </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3</w:t>
      </w:r>
      <w:r>
        <w:rPr>
          <w:color w:val="auto"/>
          <w:highlight w:val="none"/>
        </w:rPr>
        <w:t xml:space="preserve"> 如果施工后的教室次日要上课的，需做好卫生恢复工作。 </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4</w:t>
      </w:r>
      <w:r>
        <w:rPr>
          <w:color w:val="auto"/>
          <w:highlight w:val="none"/>
        </w:rPr>
        <w:t xml:space="preserve"> 灯具采用吊杆安装方式，距课桌面的垂直距离不低于 1.7m。</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5</w:t>
      </w:r>
      <w:r>
        <w:rPr>
          <w:color w:val="auto"/>
          <w:highlight w:val="none"/>
        </w:rPr>
        <w:t xml:space="preserve"> 灯具排列采用长轴垂直于黑板位置。</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6</w:t>
      </w:r>
      <w:r>
        <w:rPr>
          <w:color w:val="auto"/>
          <w:highlight w:val="none"/>
        </w:rPr>
        <w:t xml:space="preserve"> 黑板灯照明角度对教师无直接眩光。</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7</w:t>
      </w:r>
      <w:r>
        <w:rPr>
          <w:color w:val="auto"/>
          <w:highlight w:val="none"/>
        </w:rPr>
        <w:t xml:space="preserve"> 安装风扇的教室中，出光口面应低于风扇叶面。</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8</w:t>
      </w:r>
      <w:r>
        <w:rPr>
          <w:color w:val="auto"/>
          <w:highlight w:val="none"/>
        </w:rPr>
        <w:t xml:space="preserve"> 非嵌入式灯具应使用刚性吊杆安装，吊杆应与灯面垂直，不得倾斜，两杆间距偏差10 mm；灯具对称安装，其横(纵)向中心轴线宜在同一直线上，偏斜不应大于 20mm。 </w:t>
      </w:r>
    </w:p>
    <w:p>
      <w:pPr>
        <w:pStyle w:val="27"/>
        <w:ind w:firstLine="400" w:firstLineChars="200"/>
        <w:rPr>
          <w:rFonts w:hint="default"/>
          <w:color w:val="auto"/>
          <w:highlight w:val="none"/>
        </w:rPr>
      </w:pPr>
      <w:r>
        <w:rPr>
          <w:rFonts w:hint="eastAsia"/>
          <w:color w:val="auto"/>
          <w:highlight w:val="yellow"/>
          <w:lang w:eastAsia="zh-CN"/>
        </w:rPr>
        <w:t>3.</w:t>
      </w:r>
      <w:r>
        <w:rPr>
          <w:color w:val="auto"/>
          <w:highlight w:val="yellow"/>
        </w:rPr>
        <w:t>9</w:t>
      </w:r>
      <w:r>
        <w:rPr>
          <w:color w:val="auto"/>
          <w:highlight w:val="none"/>
        </w:rPr>
        <w:t xml:space="preserve"> 灯具及其附件应安装齐全，并无损伤、变形、涂层剥落和灯罩破裂等缺陷。</w:t>
      </w:r>
    </w:p>
    <w:p>
      <w:pPr>
        <w:pStyle w:val="27"/>
        <w:ind w:firstLine="400" w:firstLineChars="200"/>
        <w:rPr>
          <w:rFonts w:hint="default"/>
          <w:color w:val="auto"/>
          <w:highlight w:val="none"/>
        </w:rPr>
      </w:pPr>
      <w:r>
        <w:rPr>
          <w:rFonts w:hint="eastAsia"/>
          <w:color w:val="auto"/>
          <w:highlight w:val="yellow"/>
          <w:lang w:val="en-US" w:eastAsia="zh-CN"/>
        </w:rPr>
        <w:t>4</w:t>
      </w:r>
      <w:r>
        <w:rPr>
          <w:color w:val="auto"/>
          <w:highlight w:val="yellow"/>
        </w:rPr>
        <w:t>、</w:t>
      </w:r>
      <w:r>
        <w:rPr>
          <w:color w:val="auto"/>
          <w:highlight w:val="none"/>
        </w:rPr>
        <w:t>线路改造（880间）要求：</w:t>
      </w:r>
    </w:p>
    <w:p>
      <w:pPr>
        <w:pStyle w:val="27"/>
        <w:ind w:firstLine="400" w:firstLineChars="200"/>
        <w:rPr>
          <w:color w:val="auto"/>
          <w:highlight w:val="none"/>
        </w:rPr>
      </w:pPr>
      <w:r>
        <w:rPr>
          <w:rFonts w:hint="eastAsia"/>
          <w:color w:val="auto"/>
          <w:highlight w:val="yellow"/>
          <w:lang w:val="en-US" w:eastAsia="zh-CN"/>
        </w:rPr>
        <w:t>4</w:t>
      </w:r>
      <w:r>
        <w:rPr>
          <w:color w:val="auto"/>
          <w:highlight w:val="yellow"/>
        </w:rPr>
        <w:t>.1</w:t>
      </w:r>
      <w:r>
        <w:rPr>
          <w:color w:val="auto"/>
          <w:highlight w:val="none"/>
        </w:rPr>
        <w:t xml:space="preserve"> 所有灯具教室内取电。供应商根据教室情况自行铺设、改造线路，线材、开关等材料的使用以及系统集成和安装必须符合国家标准要求，所有费用包含于供应商响应报价中。</w:t>
      </w:r>
    </w:p>
    <w:p>
      <w:pPr>
        <w:pStyle w:val="27"/>
        <w:ind w:firstLine="400" w:firstLineChars="200"/>
        <w:rPr>
          <w:rFonts w:hint="default"/>
          <w:color w:val="auto"/>
          <w:highlight w:val="none"/>
        </w:rPr>
      </w:pPr>
      <w:r>
        <w:rPr>
          <w:rFonts w:hint="eastAsia"/>
          <w:color w:val="auto"/>
          <w:highlight w:val="yellow"/>
          <w:lang w:val="en-US" w:eastAsia="zh-CN"/>
        </w:rPr>
        <w:t>4</w:t>
      </w:r>
      <w:r>
        <w:rPr>
          <w:color w:val="auto"/>
          <w:highlight w:val="yellow"/>
        </w:rPr>
        <w:t>.</w:t>
      </w:r>
      <w:r>
        <w:rPr>
          <w:rFonts w:hint="default"/>
          <w:color w:val="auto"/>
          <w:highlight w:val="yellow"/>
        </w:rPr>
        <w:t>2</w:t>
      </w:r>
      <w:r>
        <w:rPr>
          <w:color w:val="auto"/>
          <w:highlight w:val="none"/>
        </w:rPr>
        <w:t xml:space="preserve"> 每个照明开关所控制灯具数不应多于3个，除黑板灯具外其他灯具应按列分组控制。</w:t>
      </w:r>
    </w:p>
    <w:p>
      <w:pPr>
        <w:pStyle w:val="27"/>
        <w:ind w:firstLine="400" w:firstLineChars="200"/>
        <w:rPr>
          <w:rFonts w:hint="default"/>
          <w:color w:val="auto"/>
          <w:highlight w:val="none"/>
        </w:rPr>
      </w:pPr>
      <w:r>
        <w:rPr>
          <w:rFonts w:hint="eastAsia"/>
          <w:color w:val="auto"/>
          <w:highlight w:val="yellow"/>
          <w:lang w:val="en-US" w:eastAsia="zh-CN"/>
        </w:rPr>
        <w:t>4</w:t>
      </w:r>
      <w:r>
        <w:rPr>
          <w:color w:val="auto"/>
          <w:highlight w:val="yellow"/>
        </w:rPr>
        <w:t>.</w:t>
      </w:r>
      <w:r>
        <w:rPr>
          <w:rFonts w:hint="default"/>
          <w:color w:val="auto"/>
          <w:highlight w:val="yellow"/>
        </w:rPr>
        <w:t>3</w:t>
      </w:r>
      <w:r>
        <w:rPr>
          <w:color w:val="auto"/>
          <w:highlight w:val="none"/>
        </w:rPr>
        <w:t xml:space="preserve"> 黑板灯具应单独控制，开关安装在黑板区域同侧。</w:t>
      </w:r>
    </w:p>
    <w:p>
      <w:pPr>
        <w:pStyle w:val="27"/>
        <w:ind w:firstLine="400" w:firstLineChars="200"/>
        <w:rPr>
          <w:rFonts w:hint="default"/>
          <w:color w:val="auto"/>
          <w:highlight w:val="none"/>
        </w:rPr>
      </w:pPr>
      <w:r>
        <w:rPr>
          <w:rFonts w:hint="eastAsia"/>
          <w:color w:val="auto"/>
          <w:highlight w:val="yellow"/>
          <w:lang w:val="en-US" w:eastAsia="zh-CN"/>
        </w:rPr>
        <w:t>4</w:t>
      </w:r>
      <w:r>
        <w:rPr>
          <w:color w:val="auto"/>
          <w:highlight w:val="yellow"/>
        </w:rPr>
        <w:t>.</w:t>
      </w:r>
      <w:r>
        <w:rPr>
          <w:rFonts w:hint="default"/>
          <w:color w:val="auto"/>
          <w:highlight w:val="yellow"/>
        </w:rPr>
        <w:t>4</w:t>
      </w:r>
      <w:r>
        <w:rPr>
          <w:color w:val="auto"/>
          <w:highlight w:val="none"/>
        </w:rPr>
        <w:t xml:space="preserve"> 灯具接线牢固、接触良好；开关面板及接线盒盒体安装完整无破损变形，零件齐全；墙面明线安装中导管管径大小和接线盒孔径相配，导管和接线盒连接紧密。</w:t>
      </w:r>
    </w:p>
    <w:p>
      <w:pPr>
        <w:pStyle w:val="27"/>
        <w:ind w:firstLine="400" w:firstLineChars="200"/>
        <w:rPr>
          <w:rFonts w:hint="default"/>
          <w:color w:val="auto"/>
          <w:highlight w:val="none"/>
        </w:rPr>
      </w:pPr>
      <w:r>
        <w:rPr>
          <w:rFonts w:hint="eastAsia"/>
          <w:color w:val="auto"/>
          <w:highlight w:val="yellow"/>
          <w:lang w:val="en-US" w:eastAsia="zh-CN"/>
        </w:rPr>
        <w:t>5</w:t>
      </w:r>
      <w:r>
        <w:rPr>
          <w:color w:val="auto"/>
          <w:highlight w:val="yellow"/>
        </w:rPr>
        <w:t>、</w:t>
      </w:r>
      <w:r>
        <w:rPr>
          <w:color w:val="auto"/>
          <w:highlight w:val="none"/>
        </w:rPr>
        <w:t>本项目为交钥匙工程，供应商应将货物送到采购单位指定地点，然后按要求完成全部安装验收合格并交付使用。供应商的响应报价包括运输、装卸、保险、代理、安装、税费等货物验收前的全部费用。</w:t>
      </w:r>
    </w:p>
    <w:p>
      <w:pPr>
        <w:pStyle w:val="27"/>
        <w:ind w:firstLine="400" w:firstLineChars="200"/>
        <w:rPr>
          <w:color w:val="auto"/>
          <w:highlight w:val="none"/>
        </w:rPr>
      </w:pPr>
      <w:r>
        <w:rPr>
          <w:rFonts w:hint="eastAsia"/>
          <w:color w:val="auto"/>
          <w:highlight w:val="yellow"/>
          <w:lang w:val="en-US" w:eastAsia="zh-CN"/>
        </w:rPr>
        <w:t>6</w:t>
      </w:r>
      <w:r>
        <w:rPr>
          <w:color w:val="auto"/>
          <w:highlight w:val="yellow"/>
        </w:rPr>
        <w:t>、</w:t>
      </w:r>
      <w:r>
        <w:rPr>
          <w:color w:val="auto"/>
          <w:highlight w:val="none"/>
        </w:rPr>
        <w:t>拟投入本项目服务人员的健康、人身和财产安全、保险、管理、法律等方面全部由供应商承担(响应供应商应在响应文件中单独提供承诺函，格式自拟)。</w:t>
      </w:r>
    </w:p>
    <w:p>
      <w:pPr>
        <w:pStyle w:val="27"/>
        <w:ind w:firstLine="400" w:firstLineChars="200"/>
        <w:rPr>
          <w:rFonts w:hint="eastAsia"/>
          <w:color w:val="auto"/>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长城仿宋">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DejaVuSans">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5FE73"/>
    <w:multiLevelType w:val="singleLevel"/>
    <w:tmpl w:val="DDC5FE73"/>
    <w:lvl w:ilvl="0" w:tentative="0">
      <w:start w:val="2"/>
      <w:numFmt w:val="decimal"/>
      <w:suff w:val="nothing"/>
      <w:lvlText w:val="%1、"/>
      <w:lvlJc w:val="left"/>
    </w:lvl>
  </w:abstractNum>
  <w:abstractNum w:abstractNumId="1">
    <w:nsid w:val="E9419747"/>
    <w:multiLevelType w:val="singleLevel"/>
    <w:tmpl w:val="E9419747"/>
    <w:lvl w:ilvl="0" w:tentative="0">
      <w:start w:val="1"/>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Y2VlODNjZThlNDQ5NzY1YThlYWY4ZGIxZTllYTYifQ=="/>
  </w:docVars>
  <w:rsids>
    <w:rsidRoot w:val="003C4A40"/>
    <w:rsid w:val="000E35BA"/>
    <w:rsid w:val="0011331A"/>
    <w:rsid w:val="00327BCB"/>
    <w:rsid w:val="003C4A40"/>
    <w:rsid w:val="0041773F"/>
    <w:rsid w:val="004C2E09"/>
    <w:rsid w:val="0052122D"/>
    <w:rsid w:val="006A45C4"/>
    <w:rsid w:val="007537E0"/>
    <w:rsid w:val="008630DE"/>
    <w:rsid w:val="0096580D"/>
    <w:rsid w:val="00A95C97"/>
    <w:rsid w:val="00AA0001"/>
    <w:rsid w:val="063302DF"/>
    <w:rsid w:val="079E40DA"/>
    <w:rsid w:val="09684744"/>
    <w:rsid w:val="09905A49"/>
    <w:rsid w:val="0A9B46A5"/>
    <w:rsid w:val="0FB73203"/>
    <w:rsid w:val="0FF5DC06"/>
    <w:rsid w:val="12A367ED"/>
    <w:rsid w:val="16210154"/>
    <w:rsid w:val="164B3423"/>
    <w:rsid w:val="17224DEB"/>
    <w:rsid w:val="1B151766"/>
    <w:rsid w:val="1B2A7AAB"/>
    <w:rsid w:val="1BCC3037"/>
    <w:rsid w:val="1C1B2CB1"/>
    <w:rsid w:val="1F152820"/>
    <w:rsid w:val="229F0681"/>
    <w:rsid w:val="23DA5DE6"/>
    <w:rsid w:val="23F75822"/>
    <w:rsid w:val="247955FF"/>
    <w:rsid w:val="26614F5B"/>
    <w:rsid w:val="277B51EB"/>
    <w:rsid w:val="2B2B6F28"/>
    <w:rsid w:val="2BFEC378"/>
    <w:rsid w:val="2D1366EB"/>
    <w:rsid w:val="2DADFB19"/>
    <w:rsid w:val="32927883"/>
    <w:rsid w:val="32E4458C"/>
    <w:rsid w:val="346A06D7"/>
    <w:rsid w:val="349F4C0E"/>
    <w:rsid w:val="35EE65F6"/>
    <w:rsid w:val="37577DF0"/>
    <w:rsid w:val="38514471"/>
    <w:rsid w:val="38EA1EC2"/>
    <w:rsid w:val="39265147"/>
    <w:rsid w:val="3ADC685E"/>
    <w:rsid w:val="3BCFEF72"/>
    <w:rsid w:val="3C2F7195"/>
    <w:rsid w:val="3D6407A3"/>
    <w:rsid w:val="3DCFB2A4"/>
    <w:rsid w:val="3DF77869"/>
    <w:rsid w:val="3DFD4F2D"/>
    <w:rsid w:val="3EB75DE8"/>
    <w:rsid w:val="3FD9F95C"/>
    <w:rsid w:val="3FF174E4"/>
    <w:rsid w:val="41E9571B"/>
    <w:rsid w:val="463E1F69"/>
    <w:rsid w:val="466FE7DC"/>
    <w:rsid w:val="47305B9A"/>
    <w:rsid w:val="474451A1"/>
    <w:rsid w:val="490177EE"/>
    <w:rsid w:val="49A41F48"/>
    <w:rsid w:val="4C5E6D05"/>
    <w:rsid w:val="4EAA4484"/>
    <w:rsid w:val="4EDC3B21"/>
    <w:rsid w:val="4F5BA560"/>
    <w:rsid w:val="4FAF46D5"/>
    <w:rsid w:val="4FC275AB"/>
    <w:rsid w:val="4FD9D1CE"/>
    <w:rsid w:val="506E1DCF"/>
    <w:rsid w:val="51FF6D7C"/>
    <w:rsid w:val="52CD6993"/>
    <w:rsid w:val="53EF518A"/>
    <w:rsid w:val="587E75F3"/>
    <w:rsid w:val="590D2BD1"/>
    <w:rsid w:val="5A89319F"/>
    <w:rsid w:val="5B5E462C"/>
    <w:rsid w:val="5D2D7950"/>
    <w:rsid w:val="5D5F660D"/>
    <w:rsid w:val="5E7D60A1"/>
    <w:rsid w:val="5EEFCDC5"/>
    <w:rsid w:val="5F08322C"/>
    <w:rsid w:val="5F5E109E"/>
    <w:rsid w:val="5FB989C6"/>
    <w:rsid w:val="5FBC5DC5"/>
    <w:rsid w:val="60BD0047"/>
    <w:rsid w:val="69FCA094"/>
    <w:rsid w:val="6AC36259"/>
    <w:rsid w:val="6AEB3A02"/>
    <w:rsid w:val="6C12463A"/>
    <w:rsid w:val="6C7E265D"/>
    <w:rsid w:val="6F12BA50"/>
    <w:rsid w:val="6F583E7A"/>
    <w:rsid w:val="6F63000B"/>
    <w:rsid w:val="6FBF9329"/>
    <w:rsid w:val="703D13EE"/>
    <w:rsid w:val="70FFC471"/>
    <w:rsid w:val="71692CB3"/>
    <w:rsid w:val="72453504"/>
    <w:rsid w:val="76AC31AE"/>
    <w:rsid w:val="76FDB262"/>
    <w:rsid w:val="773F5241"/>
    <w:rsid w:val="77E9E5A7"/>
    <w:rsid w:val="77FD2ED0"/>
    <w:rsid w:val="77FD3738"/>
    <w:rsid w:val="77FDB083"/>
    <w:rsid w:val="7AEE43D8"/>
    <w:rsid w:val="7B67FFD3"/>
    <w:rsid w:val="7B9B387C"/>
    <w:rsid w:val="7BBFAC7D"/>
    <w:rsid w:val="7BF9443A"/>
    <w:rsid w:val="7C0B180E"/>
    <w:rsid w:val="7CEC3FF6"/>
    <w:rsid w:val="7DEBD4CE"/>
    <w:rsid w:val="7EE7A6B7"/>
    <w:rsid w:val="7F670CBD"/>
    <w:rsid w:val="7FBF0D77"/>
    <w:rsid w:val="7FE7A485"/>
    <w:rsid w:val="9F3AC992"/>
    <w:rsid w:val="B37F0FFC"/>
    <w:rsid w:val="B5FDD39F"/>
    <w:rsid w:val="B7E76910"/>
    <w:rsid w:val="BB2F16C4"/>
    <w:rsid w:val="BCDEDFAC"/>
    <w:rsid w:val="BDB797DB"/>
    <w:rsid w:val="BDDBEE86"/>
    <w:rsid w:val="BE4FD04E"/>
    <w:rsid w:val="BFF7EB82"/>
    <w:rsid w:val="CDDF1579"/>
    <w:rsid w:val="CDEFC66A"/>
    <w:rsid w:val="CEBD91F2"/>
    <w:rsid w:val="CFDFF421"/>
    <w:rsid w:val="CFFEB11C"/>
    <w:rsid w:val="D26BEF25"/>
    <w:rsid w:val="D29F3EF7"/>
    <w:rsid w:val="D3F34FFA"/>
    <w:rsid w:val="D7F76E1E"/>
    <w:rsid w:val="D7FB7F88"/>
    <w:rsid w:val="D9EFEDDB"/>
    <w:rsid w:val="DAFF117A"/>
    <w:rsid w:val="DEBE9710"/>
    <w:rsid w:val="E74703CA"/>
    <w:rsid w:val="E7D7F841"/>
    <w:rsid w:val="EEBFAD88"/>
    <w:rsid w:val="EFFFCD97"/>
    <w:rsid w:val="F67F7AFE"/>
    <w:rsid w:val="F6FF5D28"/>
    <w:rsid w:val="F7F35BDB"/>
    <w:rsid w:val="F7FF8A51"/>
    <w:rsid w:val="FAEDA937"/>
    <w:rsid w:val="FB3EF168"/>
    <w:rsid w:val="FBFD1BB4"/>
    <w:rsid w:val="FDFDE456"/>
    <w:rsid w:val="FDFF15CF"/>
    <w:rsid w:val="FF7BADAC"/>
    <w:rsid w:val="FFBD9163"/>
    <w:rsid w:val="FFDDD453"/>
    <w:rsid w:val="FFEF6C76"/>
    <w:rsid w:val="FFF43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pPr>
    <w:rPr>
      <w:rFonts w:ascii="Times New Roman" w:hAnsi="Times New Roman" w:eastAsia="宋体" w:cs="Times New Roman"/>
      <w:kern w:val="0"/>
      <w:sz w:val="20"/>
      <w:szCs w:val="20"/>
    </w:rPr>
  </w:style>
  <w:style w:type="paragraph" w:styleId="4">
    <w:name w:val="Body Text"/>
    <w:basedOn w:val="1"/>
    <w:autoRedefine/>
    <w:qFormat/>
    <w:uiPriority w:val="99"/>
    <w:pPr>
      <w:spacing w:after="120"/>
    </w:pPr>
  </w:style>
  <w:style w:type="paragraph" w:styleId="5">
    <w:name w:val="Body Text Indent"/>
    <w:basedOn w:val="1"/>
    <w:autoRedefine/>
    <w:qFormat/>
    <w:uiPriority w:val="99"/>
    <w:pPr>
      <w:spacing w:after="120"/>
      <w:ind w:left="420" w:leftChars="200"/>
    </w:pPr>
  </w:style>
  <w:style w:type="paragraph" w:styleId="6">
    <w:name w:val="Plain Text"/>
    <w:basedOn w:val="1"/>
    <w:autoRedefine/>
    <w:qFormat/>
    <w:uiPriority w:val="99"/>
    <w:rPr>
      <w:rFonts w:ascii="宋体" w:hAnsi="Courier New"/>
    </w:rPr>
  </w:style>
  <w:style w:type="paragraph" w:styleId="7">
    <w:name w:val="Balloon Text"/>
    <w:basedOn w:val="1"/>
    <w:link w:val="25"/>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autoRedefine/>
    <w:qFormat/>
    <w:uiPriority w:val="11"/>
    <w:pPr>
      <w:spacing w:before="240" w:after="60" w:line="312" w:lineRule="auto"/>
      <w:jc w:val="center"/>
      <w:outlineLvl w:val="1"/>
    </w:pPr>
    <w:rPr>
      <w:rFonts w:ascii="Calibri Light" w:hAnsi="Calibri Light"/>
      <w:b/>
      <w:bCs/>
      <w:kern w:val="28"/>
      <w:sz w:val="32"/>
      <w:szCs w:val="32"/>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Times New Roman"/>
      <w:kern w:val="0"/>
      <w:sz w:val="24"/>
    </w:rPr>
  </w:style>
  <w:style w:type="paragraph" w:styleId="12">
    <w:name w:val="Body Text First Indent"/>
    <w:basedOn w:val="4"/>
    <w:next w:val="1"/>
    <w:autoRedefine/>
    <w:qFormat/>
    <w:uiPriority w:val="0"/>
    <w:pPr>
      <w:ind w:firstLine="420" w:firstLineChars="100"/>
    </w:pPr>
    <w:rPr>
      <w:szCs w:val="24"/>
    </w:rPr>
  </w:style>
  <w:style w:type="paragraph" w:styleId="13">
    <w:name w:val="Body Text First Indent 2"/>
    <w:basedOn w:val="5"/>
    <w:next w:val="1"/>
    <w:autoRedefine/>
    <w:qFormat/>
    <w:uiPriority w:val="99"/>
    <w:pPr>
      <w:ind w:firstLine="420" w:firstLineChars="200"/>
    </w:p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autoRedefine/>
    <w:qFormat/>
    <w:uiPriority w:val="0"/>
    <w:rPr>
      <w:color w:val="0000FF"/>
      <w:u w:val="single"/>
    </w:rPr>
  </w:style>
  <w:style w:type="paragraph" w:customStyle="1" w:styleId="18">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paragraph" w:customStyle="1" w:styleId="19">
    <w:name w:val="Default"/>
    <w:next w:val="20"/>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大标题"/>
    <w:basedOn w:val="1"/>
    <w:next w:val="13"/>
    <w:autoRedefine/>
    <w:qFormat/>
    <w:uiPriority w:val="0"/>
    <w:pPr>
      <w:jc w:val="center"/>
    </w:pPr>
    <w:rPr>
      <w:rFonts w:ascii="Arial" w:hAnsi="Arial"/>
      <w:b/>
      <w:sz w:val="28"/>
    </w:rPr>
  </w:style>
  <w:style w:type="paragraph" w:customStyle="1" w:styleId="21">
    <w:name w:val="标题 5（有编号）（绿盟科技）"/>
    <w:basedOn w:val="1"/>
    <w:next w:val="22"/>
    <w:autoRedefine/>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2">
    <w:name w:val="正文（绿盟科技）"/>
    <w:next w:val="1"/>
    <w:autoRedefine/>
    <w:qFormat/>
    <w:uiPriority w:val="0"/>
    <w:pPr>
      <w:spacing w:line="300" w:lineRule="auto"/>
    </w:pPr>
    <w:rPr>
      <w:rFonts w:ascii="Arial" w:hAnsi="Arial" w:eastAsia="宋体" w:cs="黑体"/>
      <w:sz w:val="21"/>
      <w:szCs w:val="21"/>
      <w:lang w:val="en-US" w:eastAsia="zh-CN" w:bidi="ar-SA"/>
    </w:rPr>
  </w:style>
  <w:style w:type="paragraph" w:customStyle="1" w:styleId="23">
    <w:name w:val="01、普通正文"/>
    <w:basedOn w:val="1"/>
    <w:autoRedefine/>
    <w:qFormat/>
    <w:uiPriority w:val="0"/>
    <w:pPr>
      <w:tabs>
        <w:tab w:val="left" w:pos="0"/>
      </w:tabs>
      <w:wordWrap w:val="0"/>
      <w:topLinePunct/>
    </w:pPr>
    <w:rPr>
      <w:rFonts w:ascii="宋体" w:hAnsi="宋体" w:eastAsia="宋体"/>
      <w:snapToGrid w:val="0"/>
    </w:rPr>
  </w:style>
  <w:style w:type="paragraph" w:customStyle="1" w:styleId="24">
    <w:name w:val="12、表格内左对齐正文"/>
    <w:basedOn w:val="1"/>
    <w:autoRedefine/>
    <w:qFormat/>
    <w:uiPriority w:val="0"/>
    <w:pPr>
      <w:tabs>
        <w:tab w:val="left" w:pos="0"/>
      </w:tabs>
      <w:wordWrap w:val="0"/>
      <w:topLinePunct/>
      <w:spacing w:line="360" w:lineRule="exact"/>
      <w:ind w:left="48" w:leftChars="20"/>
    </w:pPr>
    <w:rPr>
      <w:rFonts w:ascii="宋体" w:hAnsi="宋体" w:eastAsia="宋体"/>
      <w:snapToGrid w:val="0"/>
    </w:rPr>
  </w:style>
  <w:style w:type="character" w:customStyle="1" w:styleId="25">
    <w:name w:val="批注框文本 Char"/>
    <w:basedOn w:val="16"/>
    <w:link w:val="7"/>
    <w:autoRedefine/>
    <w:qFormat/>
    <w:uiPriority w:val="0"/>
    <w:rPr>
      <w:rFonts w:asciiTheme="minorHAnsi" w:hAnsiTheme="minorHAnsi" w:eastAsiaTheme="minorEastAsia" w:cstheme="minorBidi"/>
      <w:kern w:val="2"/>
      <w:sz w:val="18"/>
      <w:szCs w:val="18"/>
    </w:rPr>
  </w:style>
  <w:style w:type="paragraph" w:styleId="26">
    <w:name w:val="List Paragraph"/>
    <w:basedOn w:val="1"/>
    <w:autoRedefine/>
    <w:qFormat/>
    <w:uiPriority w:val="99"/>
    <w:pPr>
      <w:ind w:firstLine="420" w:firstLineChars="200"/>
    </w:pPr>
    <w:rPr>
      <w:rFonts w:ascii="Calibri" w:hAnsi="Calibri" w:eastAsia="宋体" w:cs="Times New Roman"/>
      <w:szCs w:val="24"/>
    </w:rPr>
  </w:style>
  <w:style w:type="paragraph" w:customStyle="1" w:styleId="27">
    <w:name w:val="null3"/>
    <w:autoRedefine/>
    <w:hidden/>
    <w:qFormat/>
    <w:uiPriority w:val="0"/>
    <w:rPr>
      <w:rFonts w:hint="eastAsia" w:asciiTheme="minorHAnsi" w:hAnsiTheme="minorHAnsi" w:eastAsiaTheme="minorEastAsia" w:cstheme="minorBidi"/>
      <w:lang w:val="en-US" w:eastAsia="zh-Hans"/>
    </w:rPr>
  </w:style>
  <w:style w:type="paragraph" w:customStyle="1" w:styleId="28">
    <w:name w:val="正文首行缩进 21"/>
    <w:autoRedefine/>
    <w:qFormat/>
    <w:uiPriority w:val="0"/>
    <w:pPr>
      <w:widowControl w:val="0"/>
      <w:spacing w:after="120"/>
      <w:ind w:left="420" w:leftChars="200" w:firstLine="420"/>
      <w:jc w:val="both"/>
    </w:pPr>
    <w:rPr>
      <w:rFonts w:cs="宋体" w:asciiTheme="minorHAnsi" w:hAnsiTheme="minorHAnsi" w:eastAsiaTheme="minorEastAsia"/>
      <w:color w:val="000000"/>
      <w:kern w:val="2"/>
      <w:sz w:val="21"/>
      <w:szCs w:val="21"/>
      <w:lang w:val="en-US" w:eastAsia="zh-CN" w:bidi="ar-SA"/>
    </w:rPr>
  </w:style>
  <w:style w:type="character" w:customStyle="1" w:styleId="29">
    <w:name w:val="font21"/>
    <w:autoRedefine/>
    <w:qFormat/>
    <w:uiPriority w:val="0"/>
    <w:rPr>
      <w:rFonts w:hint="eastAsia" w:ascii="微软雅黑" w:hAnsi="微软雅黑" w:eastAsia="微软雅黑" w:cs="微软雅黑"/>
      <w:color w:val="000000"/>
      <w:sz w:val="21"/>
      <w:szCs w:val="21"/>
      <w:u w:val="none"/>
    </w:rPr>
  </w:style>
  <w:style w:type="character" w:customStyle="1" w:styleId="30">
    <w:name w:val="fontstyle01"/>
    <w:autoRedefine/>
    <w:qFormat/>
    <w:uiPriority w:val="0"/>
    <w:rPr>
      <w:rFonts w:hint="default" w:ascii="DejaVuSans" w:hAnsi="DejaVuSans"/>
      <w:color w:val="000000"/>
      <w:sz w:val="16"/>
      <w:szCs w:val="16"/>
    </w:rPr>
  </w:style>
  <w:style w:type="character" w:customStyle="1" w:styleId="31">
    <w:name w:val="fontstyle11"/>
    <w:autoRedefine/>
    <w:qFormat/>
    <w:uiPriority w:val="0"/>
    <w:rPr>
      <w:rFonts w:hint="eastAsia" w:ascii="宋体" w:hAnsi="宋体" w:eastAsia="宋体"/>
      <w:color w:val="00000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19</Pages>
  <Words>11364</Words>
  <Characters>12294</Characters>
  <Lines>115</Lines>
  <Paragraphs>32</Paragraphs>
  <TotalTime>11</TotalTime>
  <ScaleCrop>false</ScaleCrop>
  <LinksUpToDate>false</LinksUpToDate>
  <CharactersWithSpaces>12484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2022-07-12T08:30:00Z</dcterms:created>
  <dc:creator>Administrator</dc:creator>
  <cp:lastModifiedBy>水上一浮萍</cp:lastModifiedBy>
  <cp:lastPrinted>2022-07-13T06:07:00Z</cp:lastPrinted>
  <dcterms:modified xsi:type="dcterms:W3CDTF">2023-12-29T08:33:21Z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D6DB839A27A44846BBFE6B9A1412FD9A_13</vt:lpwstr>
  </property>
</Properties>
</file>