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left"/>
      </w:pPr>
      <w:r>
        <w:rPr/>
        <w:t>正文</w:t>
      </w: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绵阳市数字化发展三年实施方案编制服务费(三次)</w:t>
      </w:r>
    </w:p>
    <w:p>
      <w:pPr>
        <w:pStyle w:val="null3"/>
        <w:jc w:val="center"/>
        <w:outlineLvl w:val="2"/>
      </w:pPr>
      <w:r>
        <w:rPr>
          <w:b/>
          <w:sz w:val="28"/>
        </w:rPr>
        <w:t>采购项目编号：</w:t>
      </w:r>
      <w:r>
        <w:rPr>
          <w:b/>
          <w:sz w:val="28"/>
        </w:rPr>
        <w:t>N5107012023000553</w:t>
      </w:r>
      <w:r>
        <w:br/>
      </w:r>
      <w:r>
        <w:br/>
      </w:r>
      <w:r>
        <w:br/>
      </w:r>
    </w:p>
    <w:p>
      <w:pPr>
        <w:pStyle w:val="null3"/>
        <w:jc w:val="center"/>
        <w:outlineLvl w:val="2"/>
      </w:pPr>
      <w:r>
        <w:rPr>
          <w:b/>
          <w:sz w:val="28"/>
        </w:rPr>
        <w:t>绵阳市人民政府办公室</w:t>
      </w:r>
    </w:p>
    <w:p>
      <w:pPr>
        <w:pStyle w:val="null3"/>
        <w:jc w:val="center"/>
        <w:outlineLvl w:val="2"/>
      </w:pPr>
      <w:r>
        <w:rPr>
          <w:b/>
          <w:sz w:val="28"/>
        </w:rPr>
        <w:t>绵阳市政府采购中心</w:t>
      </w:r>
      <w:r>
        <w:rPr>
          <w:b/>
          <w:sz w:val="28"/>
        </w:rPr>
        <w:t>共同编制</w:t>
      </w:r>
    </w:p>
    <w:p>
      <w:pPr>
        <w:pStyle w:val="null3"/>
        <w:jc w:val="center"/>
        <w:outlineLvl w:val="2"/>
      </w:pPr>
      <w:r>
        <w:rPr>
          <w:b/>
          <w:sz w:val="28"/>
        </w:rPr>
        <w:t>2024年01月02日</w:t>
      </w:r>
    </w:p>
    <w:p>
      <w:pPr>
        <w:pStyle w:val="null3"/>
      </w:pPr>
    </w:p>
    <w:p>
      <w:pPr>
        <w:pStyle w:val="null3"/>
      </w:pPr>
      <w:r>
        <w:rPr/>
        <w:t xml:space="preserve"> </w:t>
      </w:r>
    </w:p>
    <w:p>
      <w:pPr>
        <w:pStyle w:val="null3"/>
        <w:jc w:val="center"/>
        <w:outlineLvl w:val="1"/>
      </w:pPr>
      <w:r>
        <w:rPr>
          <w:b/>
          <w:sz w:val="36"/>
        </w:rPr>
        <w:t>第一章 竞争性磋商邀请</w:t>
      </w:r>
    </w:p>
    <w:p>
      <w:pPr>
        <w:pStyle w:val="null3"/>
        <w:ind w:firstLine="480"/>
      </w:pPr>
      <w:r>
        <w:rPr/>
        <w:t>绵阳市政府采购中心</w:t>
      </w:r>
      <w:r>
        <w:rPr/>
        <w:t>（以下简称“代理机构”）受</w:t>
      </w:r>
      <w:r>
        <w:rPr/>
        <w:t>绵阳市人民政府办公室</w:t>
      </w:r>
      <w:r>
        <w:rPr/>
        <w:t>委托，拟对</w:t>
      </w:r>
      <w:r>
        <w:rPr/>
        <w:t>绵阳市数字化发展三年实施方案编制服务费(三次)</w:t>
      </w:r>
      <w:r>
        <w:rPr/>
        <w:t>采用竞争性磋商采购方式进行采购，兹邀请供应商参加本项目的竞争性磋商。</w:t>
      </w:r>
    </w:p>
    <w:p>
      <w:pPr>
        <w:pStyle w:val="null3"/>
        <w:outlineLvl w:val="2"/>
      </w:pPr>
      <w:r>
        <w:rPr>
          <w:b/>
          <w:sz w:val="28"/>
        </w:rPr>
        <w:t>一、项目编号：</w:t>
      </w:r>
      <w:r>
        <w:rPr>
          <w:b/>
          <w:sz w:val="28"/>
        </w:rPr>
        <w:t>N5107012023000553</w:t>
      </w:r>
    </w:p>
    <w:p>
      <w:pPr>
        <w:pStyle w:val="null3"/>
        <w:outlineLvl w:val="2"/>
      </w:pPr>
      <w:r>
        <w:rPr>
          <w:b/>
          <w:sz w:val="28"/>
        </w:rPr>
        <w:t>二、项目名称：</w:t>
      </w:r>
      <w:r>
        <w:rPr>
          <w:b/>
          <w:sz w:val="28"/>
        </w:rPr>
        <w:t>绵阳市数字化发展三年实施方案编制服务费(三次)</w:t>
      </w:r>
    </w:p>
    <w:p>
      <w:pPr>
        <w:pStyle w:val="null3"/>
        <w:outlineLvl w:val="2"/>
      </w:pPr>
      <w:r>
        <w:rPr>
          <w:b/>
          <w:sz w:val="28"/>
        </w:rPr>
        <w:t>三、磋商项目简介</w:t>
      </w:r>
    </w:p>
    <w:p>
      <w:pPr>
        <w:pStyle w:val="null3"/>
        <w:ind w:firstLine="480"/>
      </w:pPr>
      <w:r>
        <w:rPr/>
        <w:t>为贯彻落实国省市关于数字化发展的相关工作要求，切实做好我市数字化发展规划，推动我市数字化发展成势见效，拟通过聘请第三方信息化咨询服务机构编制我市数字化发展三年实施方案。本项目建设费用预算为43.94万元，主要内容为编制我市数字化发展三年实施方案，具体包括《绵阳市数字化发展现状调研报告》《绵阳市数字化发展三年实施方案（2024—2026年）》《绵阳市数字化重大项目清单》。</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 xml:space="preserve"> 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pPr>
      <w:r>
        <w:rPr/>
        <w:t xml:space="preserve"> 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绵阳市人民政府办公室</w:t>
      </w:r>
    </w:p>
    <w:p>
      <w:pPr>
        <w:pStyle w:val="null3"/>
      </w:pPr>
    </w:p>
    <w:p>
      <w:pPr>
        <w:pStyle w:val="null3"/>
      </w:pPr>
    </w:p>
    <w:p>
      <w:pPr>
        <w:pStyle w:val="null3"/>
      </w:pPr>
      <w:r>
        <w:rPr/>
        <w:t xml:space="preserve"> 地址： </w:t>
      </w:r>
      <w:r>
        <w:rPr/>
        <w:t>绵兴东路98号火炬大厦B栋</w:t>
      </w:r>
    </w:p>
    <w:p>
      <w:pPr>
        <w:pStyle w:val="null3"/>
      </w:pPr>
      <w:r>
        <w:rPr/>
        <w:t xml:space="preserve"> 邮编： </w:t>
      </w:r>
      <w:r>
        <w:rPr/>
        <w:t>621000</w:t>
      </w:r>
    </w:p>
    <w:p>
      <w:pPr>
        <w:pStyle w:val="null3"/>
      </w:pPr>
      <w:r>
        <w:rPr/>
        <w:t xml:space="preserve"> 联系人： </w:t>
      </w:r>
      <w:r>
        <w:rPr/>
        <w:t>杨丽静</w:t>
      </w:r>
    </w:p>
    <w:p>
      <w:pPr>
        <w:pStyle w:val="null3"/>
      </w:pPr>
      <w:r>
        <w:rPr/>
        <w:t xml:space="preserve"> 联系电话： </w:t>
      </w:r>
      <w:r>
        <w:rPr/>
        <w:t>18202878650</w:t>
      </w:r>
    </w:p>
    <w:p>
      <w:pPr>
        <w:pStyle w:val="null3"/>
        <w:outlineLvl w:val="3"/>
      </w:pPr>
      <w:r>
        <w:rPr>
          <w:b/>
          <w:sz w:val="24"/>
        </w:rPr>
        <w:t>代理机构：</w:t>
      </w:r>
      <w:r>
        <w:rPr>
          <w:b/>
          <w:sz w:val="24"/>
        </w:rPr>
        <w:t>绵阳市政府采购中心</w:t>
      </w:r>
    </w:p>
    <w:p>
      <w:pPr>
        <w:pStyle w:val="null3"/>
      </w:pPr>
    </w:p>
    <w:p>
      <w:pPr>
        <w:pStyle w:val="null3"/>
      </w:pPr>
    </w:p>
    <w:p>
      <w:pPr>
        <w:pStyle w:val="null3"/>
      </w:pPr>
      <w:r>
        <w:rPr/>
        <w:t xml:space="preserve"> 地址： </w:t>
      </w:r>
      <w:r>
        <w:rPr/>
        <w:t>绵阳市涪城区三江西路北段1号桃花岛商业街第4幢商业楼</w:t>
      </w:r>
    </w:p>
    <w:p>
      <w:pPr>
        <w:pStyle w:val="null3"/>
      </w:pPr>
      <w:r>
        <w:rPr/>
        <w:t xml:space="preserve"> 邮编： </w:t>
      </w:r>
      <w:r>
        <w:rPr/>
        <w:t>621000</w:t>
      </w:r>
    </w:p>
    <w:p>
      <w:pPr>
        <w:pStyle w:val="null3"/>
      </w:pPr>
      <w:r>
        <w:rPr/>
        <w:t xml:space="preserve"> 联系人： </w:t>
      </w:r>
      <w:r>
        <w:rPr/>
        <w:t>公告发布：易宇丰；文件编制：蒲俊休；开标及结果：评审科；</w:t>
      </w:r>
    </w:p>
    <w:p>
      <w:pPr>
        <w:pStyle w:val="null3"/>
      </w:pPr>
      <w:r>
        <w:rPr/>
        <w:t xml:space="preserve"> 联系电话： </w:t>
      </w:r>
      <w:r>
        <w:rPr/>
        <w:t>易宇丰0816-2735361；蒲俊休0816-2335356；评审科0816-2865208；</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p>
            <w:pPr>
              <w:pStyle w:val="null3"/>
            </w:pP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本项目不收取代理服务费</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绵阳市人民政府办公室</w:t>
      </w:r>
      <w:r>
        <w:rPr/>
        <w:t>和</w:t>
      </w:r>
      <w:r>
        <w:rPr/>
        <w:t>绵阳市政府采购中心</w:t>
      </w:r>
      <w:r>
        <w:rPr/>
        <w:t>享有。对磋商文件中供应商参加本次政府采购活动应当具备的条件，磋商项目技术、服务、商务及其他要求，评审细则及标准由</w:t>
      </w:r>
      <w:r>
        <w:rPr/>
        <w:t>绵阳市人民政府办公室</w:t>
      </w:r>
      <w:r>
        <w:rPr/>
        <w:t>负责解释。除上述磋商文件内容，其他内容由</w:t>
      </w:r>
      <w:r>
        <w:rPr/>
        <w:t>绵阳市政府采购中心</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绵阳市人民政府办公室</w:t>
      </w:r>
      <w:r>
        <w:rPr/>
        <w:t>。</w:t>
      </w:r>
    </w:p>
    <w:p>
      <w:pPr>
        <w:pStyle w:val="null3"/>
        <w:ind w:firstLine="480"/>
      </w:pPr>
      <w:r>
        <w:rPr/>
        <w:t xml:space="preserve"> 二、“供应商”是指在按照磋商公告规定获取磋商文件，拟参加响应和向采购人提供货物及相应服务的法人、其他组织或自然人。</w:t>
      </w:r>
    </w:p>
    <w:p>
      <w:pPr>
        <w:pStyle w:val="null3"/>
        <w:ind w:firstLine="480"/>
      </w:pPr>
      <w:r>
        <w:rPr/>
        <w:t xml:space="preserve"> 三、“代理机构”是指政府采购集中采购机构和从事政府采购代理业务的社会中介机构。本项目的代理机构是</w:t>
      </w:r>
      <w:r>
        <w:rPr/>
        <w:t>绵阳市政府采购中心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 xml:space="preserve"> 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一、响应文件应当根据磋商文件进行编制。供应商应通过四川政府采购网-办事指南下载响应客户端，使用客户端编制响应文件。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ind w:firstLine="480"/>
        <w:jc w:val="left"/>
      </w:pPr>
    </w:p>
    <w:p>
      <w:pPr>
        <w:pStyle w:val="null3"/>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详见磋商文件第五章。</w:t>
      </w:r>
    </w:p>
    <w:p>
      <w:pPr>
        <w:pStyle w:val="null3"/>
        <w:outlineLvl w:val="3"/>
      </w:pPr>
      <w:r>
        <w:rPr>
          <w:b/>
          <w:sz w:val="24"/>
        </w:rPr>
        <w:t>2.5.4磋商</w:t>
      </w:r>
    </w:p>
    <w:p>
      <w:pPr>
        <w:pStyle w:val="null3"/>
        <w:ind w:firstLine="480"/>
      </w:pPr>
      <w:r>
        <w:rPr/>
        <w:t>详见磋商文件第五章。</w:t>
      </w:r>
    </w:p>
    <w:p>
      <w:pPr>
        <w:pStyle w:val="null3"/>
        <w:outlineLvl w:val="3"/>
      </w:pPr>
      <w:r>
        <w:rPr>
          <w:b/>
          <w:sz w:val="24"/>
        </w:rPr>
        <w:t>2.5.5成交通知书</w:t>
      </w:r>
    </w:p>
    <w:p>
      <w:pPr>
        <w:pStyle w:val="null3"/>
        <w:ind w:firstLine="480"/>
      </w:pPr>
      <w:r>
        <w:rPr/>
        <w:t xml:space="preserve"> 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是</w:t>
      </w:r>
    </w:p>
    <w:p>
      <w:pPr>
        <w:pStyle w:val="null3"/>
        <w:ind w:firstLine="840"/>
      </w:pPr>
      <w:r>
        <w:rPr/>
        <w:t>4）是否邀请服务对象：</w:t>
      </w:r>
      <w:r>
        <w:rPr/>
        <w:t>是</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20</w:t>
      </w:r>
      <w:r>
        <w:rPr/>
        <w:t>日内组织验收</w:t>
      </w:r>
    </w:p>
    <w:p>
      <w:pPr>
        <w:pStyle w:val="null3"/>
        <w:ind w:firstLine="840"/>
      </w:pPr>
      <w:r>
        <w:rPr/>
        <w:t>8）验收组织的其他事项：</w:t>
      </w:r>
      <w:r>
        <w:rPr/>
        <w:t>无</w:t>
      </w:r>
    </w:p>
    <w:p>
      <w:pPr>
        <w:pStyle w:val="null3"/>
        <w:ind w:firstLine="840"/>
      </w:pPr>
      <w:r>
        <w:rPr/>
        <w:t>9）技术履约验收内容：</w:t>
      </w:r>
      <w:r>
        <w:rPr/>
        <w:t>按国家规定以及采购文件的服务要求和技术指标、供应商的响应文件及承诺与合同约定标准 进行技术条款逐项验收。验收时如发现服务要求和技术指标不符合标准及合同约定之情形者，采购人做出详尽的现场记录，或 由双方签署备忘录，此现场记录或备忘录可用作补充、整改的有效证据，由此产生的时间延误与有关费用由供应商承担，验收期限相应顺延。</w:t>
      </w:r>
    </w:p>
    <w:p>
      <w:pPr>
        <w:pStyle w:val="null3"/>
        <w:ind w:firstLine="840"/>
      </w:pPr>
      <w:r>
        <w:rPr/>
        <w:t>10）商务履约验收内容：</w:t>
      </w:r>
      <w:r>
        <w:rPr/>
        <w:t>按采购文件要求、成交人的响应文件及承诺、签订的合同、国家及行业相关规范标准进行商务条款逐条验收；如出现未在采购文件中明确规定的，以行业相关标准为准。</w:t>
      </w:r>
    </w:p>
    <w:p>
      <w:pPr>
        <w:pStyle w:val="null3"/>
        <w:ind w:firstLine="840"/>
      </w:pPr>
      <w:r>
        <w:rPr/>
        <w:t>11）履约验收标准：</w:t>
      </w:r>
    </w:p>
    <w:p>
      <w:pPr>
        <w:pStyle w:val="null3"/>
      </w:pPr>
    </w:p>
    <w:p>
      <w:pPr>
        <w:pStyle w:val="null3"/>
        <w:ind w:firstLine="1200"/>
      </w:pPr>
      <w:r>
        <w:rPr/>
        <w:t>符合国家、行业标准、四川省地方标准规定的验收标准。验收应以采购合同、采购文件及其补充文件、国家或行业相关标准为验收的主要依据。</w:t>
      </w:r>
    </w:p>
    <w:p>
      <w:pPr>
        <w:pStyle w:val="null3"/>
        <w:ind w:firstLine="840"/>
      </w:pPr>
      <w:r>
        <w:rPr/>
        <w:t>12）履约验收其他事项：</w:t>
      </w:r>
      <w:r>
        <w:rPr/>
        <w:t>无</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2.7响应纪律要求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绵阳市人民政府办公室</w:t>
      </w:r>
      <w:r>
        <w:rPr/>
        <w:t xml:space="preserve"> 负责答复；供应商对除采购需求外的采购文件的询问、质疑由</w:t>
      </w:r>
      <w:r>
        <w:rPr/>
        <w:t>绵阳市政府采购中心</w:t>
      </w:r>
      <w:r>
        <w:rPr/>
        <w:t xml:space="preserve"> 负责答复；供应商对采购过程、采购结果的询问、质疑由 </w:t>
      </w:r>
      <w:r>
        <w:rPr/>
        <w:t>绵阳市政府采购中心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p>
    <w:p>
      <w:pPr>
        <w:pStyle w:val="null3"/>
      </w:pPr>
    </w:p>
    <w:p>
      <w:pPr>
        <w:pStyle w:val="null3"/>
      </w:pPr>
      <w:r>
        <w:rPr/>
        <w:t>答复主体：代理机构</w:t>
      </w:r>
    </w:p>
    <w:p>
      <w:pPr>
        <w:pStyle w:val="null3"/>
      </w:pPr>
      <w:r>
        <w:rPr/>
        <w:t>联系人：田老师</w:t>
      </w:r>
    </w:p>
    <w:p>
      <w:pPr>
        <w:pStyle w:val="null3"/>
      </w:pPr>
      <w:r>
        <w:rPr/>
        <w:t>联系电话：0816-2216017</w:t>
      </w:r>
    </w:p>
    <w:p>
      <w:pPr>
        <w:pStyle w:val="null3"/>
      </w:pPr>
      <w:r>
        <w:rPr/>
        <w:t>地址：绵阳市涪城区三江西路北段1号桃花岛商业街第4幢商业楼</w:t>
      </w:r>
    </w:p>
    <w:p>
      <w:pPr>
        <w:pStyle w:val="null3"/>
      </w:pPr>
      <w:r>
        <w:rPr/>
        <w:t>邮编：621000</w:t>
      </w:r>
    </w:p>
    <w:p>
      <w:pPr>
        <w:pStyle w:val="null3"/>
      </w:pPr>
      <w:r>
        <w:rPr/>
        <w:t>答复主体：采购单位</w:t>
      </w:r>
    </w:p>
    <w:p>
      <w:pPr>
        <w:pStyle w:val="null3"/>
      </w:pPr>
      <w:r>
        <w:rPr/>
        <w:t>联系人：杨丽静</w:t>
      </w:r>
    </w:p>
    <w:p>
      <w:pPr>
        <w:pStyle w:val="null3"/>
      </w:pPr>
      <w:r>
        <w:rPr/>
        <w:t>联系电话：18202878650</w:t>
      </w:r>
    </w:p>
    <w:p>
      <w:pPr>
        <w:pStyle w:val="null3"/>
      </w:pPr>
      <w:r>
        <w:rPr/>
        <w:t>地址：绵兴东路98号火炬大厦B栋</w:t>
      </w:r>
    </w:p>
    <w:p>
      <w:pPr>
        <w:pStyle w:val="null3"/>
      </w:pPr>
      <w:r>
        <w:rPr/>
        <w:t>邮编：621000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p>
    <w:p>
      <w:pPr>
        <w:pStyle w:val="null3"/>
      </w:pPr>
    </w:p>
    <w:p>
      <w:pPr>
        <w:pStyle w:val="null3"/>
      </w:pPr>
      <w:r>
        <w:rPr/>
        <w:t>为贯彻落实国省市关于数字化发展的相关工作要求，切实做好我市数字化发展规划，推动我市数字化发展成势见效，拟通过聘请第三方信息化咨询服务机构编制我市数字化发展三年实施方案。本项目建设费用预算为43.94万元，主要内容为编制我市数字化发展三年实施方案，具体包括《绵阳市数字化发展现状调研报告》《绵阳市数字化发展三年实施方案（2024—2026年）》《绵阳市数字化重大项目清单》。</w:t>
      </w:r>
    </w:p>
    <w:p>
      <w:pPr>
        <w:pStyle w:val="null3"/>
        <w:outlineLvl w:val="2"/>
      </w:pPr>
      <w:r>
        <w:rPr>
          <w:b/>
          <w:sz w:val="28"/>
        </w:rPr>
        <w:t>3.2、服务内容及服务要求</w:t>
      </w:r>
    </w:p>
    <w:p>
      <w:pPr>
        <w:pStyle w:val="null3"/>
        <w:outlineLvl w:val="3"/>
      </w:pPr>
      <w:r>
        <w:rPr>
          <w:b/>
          <w:sz w:val="24"/>
        </w:rPr>
        <w:t>3.2.1服务内容</w:t>
      </w:r>
    </w:p>
    <w:p>
      <w:pPr>
        <w:pStyle w:val="null3"/>
      </w:pPr>
    </w:p>
    <w:p>
      <w:pPr>
        <w:pStyle w:val="null3"/>
      </w:pPr>
    </w:p>
    <w:p>
      <w:pPr>
        <w:pStyle w:val="null3"/>
      </w:pPr>
      <w:r>
        <w:rPr/>
        <w:t>采购包1：</w:t>
      </w:r>
    </w:p>
    <w:p>
      <w:pPr>
        <w:pStyle w:val="null3"/>
      </w:pPr>
      <w:r>
        <w:rPr/>
        <w:t>采购包预算金额（元）: 500,000.00</w:t>
      </w:r>
    </w:p>
    <w:p>
      <w:pPr>
        <w:pStyle w:val="null3"/>
      </w:pPr>
      <w:r>
        <w:rPr/>
        <w:t>采购包最高限价（元）: 439,400.00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绵阳市数字化发展三年实施方案编制服务</w:t>
            </w:r>
          </w:p>
        </w:tc>
        <w:tc>
          <w:tcPr>
            <w:tcW w:type="dxa" w:w="848"/>
          </w:tcPr>
          <w:p>
            <w:pPr>
              <w:pStyle w:val="null3"/>
              <w:jc w:val="right"/>
            </w:pPr>
            <w:r>
              <w:rPr/>
              <w:t>1.00</w:t>
            </w:r>
          </w:p>
        </w:tc>
        <w:tc>
          <w:tcPr>
            <w:tcW w:type="dxa" w:w="1356"/>
          </w:tcPr>
          <w:p>
            <w:pPr>
              <w:pStyle w:val="null3"/>
              <w:jc w:val="right"/>
            </w:pPr>
            <w:r>
              <w:rPr/>
              <w:t>439,400.00</w:t>
            </w:r>
          </w:p>
        </w:tc>
        <w:tc>
          <w:tcPr>
            <w:tcW w:type="dxa" w:w="678"/>
          </w:tcPr>
          <w:p>
            <w:pPr>
              <w:pStyle w:val="null3"/>
            </w:pPr>
            <w:r>
              <w:rPr/>
              <w:t>项</w:t>
            </w:r>
          </w:p>
        </w:tc>
        <w:tc>
          <w:tcPr>
            <w:tcW w:type="dxa" w:w="678"/>
          </w:tcPr>
          <w:p>
            <w:pPr>
              <w:pStyle w:val="null3"/>
            </w:pPr>
            <w:r>
              <w:rPr/>
              <w:t>其他未列明行业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3"/>
      </w:pPr>
      <w:r>
        <w:rPr>
          <w:b/>
          <w:sz w:val="24"/>
        </w:rPr>
        <w:t>3.2.2服务要求</w:t>
      </w:r>
    </w:p>
    <w:p>
      <w:pPr>
        <w:pStyle w:val="null3"/>
      </w:pPr>
    </w:p>
    <w:p>
      <w:pPr>
        <w:pStyle w:val="null3"/>
      </w:pPr>
    </w:p>
    <w:p>
      <w:pPr>
        <w:pStyle w:val="null3"/>
      </w:pPr>
    </w:p>
    <w:p>
      <w:pPr>
        <w:pStyle w:val="null3"/>
      </w:pPr>
      <w:r>
        <w:rPr/>
        <w:t>采购包1：</w:t>
      </w:r>
    </w:p>
    <w:p>
      <w:pPr>
        <w:pStyle w:val="null3"/>
      </w:pPr>
    </w:p>
    <w:p>
      <w:pPr>
        <w:pStyle w:val="null3"/>
      </w:pPr>
      <w:r>
        <w:rPr/>
        <w:t>标的名称：绵阳市数字化发展三年实施方案编制服务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pPr>
            <w:r>
              <w:rPr>
                <w:rFonts w:ascii="simsun" w:hAnsi="simsun" w:cs="simsun" w:eastAsia="simsun"/>
                <w:sz w:val="21"/>
              </w:rPr>
              <w:t>一、项目概述</w:t>
            </w:r>
            <w:r>
              <w:br/>
            </w:r>
            <w:r>
              <w:rPr>
                <w:rFonts w:ascii="simsun" w:hAnsi="simsun" w:cs="simsun" w:eastAsia="simsun"/>
                <w:sz w:val="21"/>
              </w:rPr>
              <w:t xml:space="preserve">  为贯彻落实国省市关于数字化发展的相关工作要求，切实做好我市数字化发展规划，推动我市数字化发展成势见效，拟通过聘请第三方信息化咨询服务机构编制我市数字化发展三年实施方案。本项目建设费用预算为50万元，主要内容为编制我市数字化发展三年实施方案，具体包括《绵阳市数字化发展现状调研报告》《绵阳市数字化发展三年实施方案（2024-2026年）》《绵阳市数字化重大项目清单》。</w:t>
            </w:r>
            <w:r>
              <w:br/>
            </w:r>
            <w:r>
              <w:rPr>
                <w:rFonts w:ascii="simsun" w:hAnsi="simsun" w:cs="simsun" w:eastAsia="simsun"/>
                <w:sz w:val="21"/>
              </w:rPr>
              <w:t xml:space="preserve">  二、服务内容</w:t>
            </w:r>
            <w:r>
              <w:br/>
            </w:r>
            <w:r>
              <w:rPr>
                <w:rFonts w:ascii="simsun" w:hAnsi="simsun" w:cs="simsun" w:eastAsia="simsun"/>
                <w:sz w:val="21"/>
              </w:rPr>
              <w:t xml:space="preserve">  （一）资料收集。按照《国务院关于加强数字政府建设的指导意见》《数字中国建设整体布局规划》《四川省“十四五”数字经济发展规划》《四川省“十四五”数字政府建设规划》等文件精神，收集绵阳市数字化发展相关政策、文件、各部门及重点企业数字化发展相关材料等。</w:t>
            </w:r>
            <w:r>
              <w:br/>
            </w:r>
            <w:r>
              <w:rPr>
                <w:rFonts w:ascii="simsun" w:hAnsi="simsun" w:cs="simsun" w:eastAsia="simsun"/>
                <w:sz w:val="21"/>
              </w:rPr>
              <w:t xml:space="preserve">  （二）调研访谈。调研绵阳市新基建、智慧城市、数字政府建设情况和绵阳核心产业、高新科技、电子制造等企业数字化建设等相关情况，形成调研报告。</w:t>
            </w:r>
            <w:r>
              <w:br/>
            </w:r>
            <w:r>
              <w:rPr>
                <w:rFonts w:ascii="simsun" w:hAnsi="simsun" w:cs="simsun" w:eastAsia="simsun"/>
                <w:sz w:val="21"/>
              </w:rPr>
              <w:t xml:space="preserve">  （三）架构设计。根据《数字中国建设整体布局规划》文件精神，对照数字中国“2522”整体架构，结合绵阳发展实际，设计绵阳数字化发展整体架构，即在数字时代背景下，如何加快建设数字经济、数字社会、数字政府、数字生态，以数字化转型驱动生产方式、生活方式和治理方式的变革，推动绵阳数字化发展。</w:t>
            </w:r>
            <w:r>
              <w:br/>
            </w:r>
            <w:r>
              <w:rPr>
                <w:rFonts w:ascii="simsun" w:hAnsi="simsun" w:cs="simsun" w:eastAsia="simsun"/>
                <w:sz w:val="21"/>
              </w:rPr>
              <w:t xml:space="preserve">  （四）编制方案。编制《绵阳市数字化发展三年实施方案（2024-2026年）》，对绵阳市数字政府、数字社会、数字经济开展分析研究，确立新时期绵阳市数字化发展的指导思想、基本原则和发展目标，提出系统完善的数字化发展各领域发展指标，科学谋划绵阳市在2024-2026年期间包含数字基础设施、数字政府、数字经济、数字社会等方面的建设发展任务，提出有力的保障措施。</w:t>
            </w:r>
            <w:r>
              <w:br/>
            </w:r>
            <w:r>
              <w:rPr>
                <w:rFonts w:ascii="simsun" w:hAnsi="simsun" w:cs="simsun" w:eastAsia="simsun"/>
                <w:sz w:val="21"/>
              </w:rPr>
              <w:t xml:space="preserve">  （五）方案评审。邀请相关部门负责人、专家组成咨询委员会，对方案文本进行论证、评审，并出具评审报告；根据评审报告对规划文本进行修改完善，形成正式文件发布。</w:t>
            </w:r>
            <w:r>
              <w:br/>
            </w:r>
            <w:r>
              <w:rPr>
                <w:rFonts w:ascii="simsun" w:hAnsi="simsun" w:cs="simsun" w:eastAsia="simsun"/>
                <w:sz w:val="21"/>
              </w:rPr>
              <w:t xml:space="preserve">  三、服务要求</w:t>
            </w:r>
            <w:r>
              <w:br/>
            </w:r>
            <w:r>
              <w:rPr>
                <w:rFonts w:ascii="simsun" w:hAnsi="simsun" w:cs="simsun" w:eastAsia="simsun"/>
                <w:sz w:val="21"/>
              </w:rPr>
              <w:t xml:space="preserve">  （一）项目要求。</w:t>
            </w:r>
            <w:r>
              <w:br/>
            </w:r>
            <w:r>
              <w:rPr>
                <w:rFonts w:ascii="simsun" w:hAnsi="simsun" w:cs="simsun" w:eastAsia="simsun"/>
                <w:sz w:val="21"/>
              </w:rPr>
              <w:t xml:space="preserve">  （1）技术要求：供应商应熟悉国家关于网络强国、数字中国等决策部署，熟悉国家、省、市有关数据资源、信息化、智慧城市、数字政府、数字经济等工作的方针政策和法律法规，熟悉“互联网+”、智慧城市、数字政府、数字经济等领域的最新发展动向和前沿技术。</w:t>
            </w:r>
            <w:r>
              <w:br/>
            </w:r>
            <w:r>
              <w:rPr>
                <w:rFonts w:ascii="simsun" w:hAnsi="simsun" w:cs="simsun" w:eastAsia="simsun"/>
                <w:sz w:val="21"/>
              </w:rPr>
              <w:t xml:space="preserve">  研究成果内容应深入贯彻网络强国、数字中国等重大战略及四川省委、省政府相关决策部署，立足绵阳市数字化发展实际情况，紧密结合绵阳市数字化发展的现实需求，合理清晰设置发展指标，科学谋划重点任务，针对性、指导性、可操作性强。</w:t>
            </w:r>
            <w:r>
              <w:br/>
            </w:r>
            <w:r>
              <w:rPr>
                <w:rFonts w:ascii="simsun" w:hAnsi="simsun" w:cs="simsun" w:eastAsia="simsun"/>
                <w:sz w:val="21"/>
              </w:rPr>
              <w:t xml:space="preserve">  （2）保密要求：因方案编制调研获得的数据、相关部门提供的素材和方案文本的知识产权均归我方所有，对方案编制过程中获得的各项信息有保守秘密的义务，未经事先书面允许不得对外发布或使用，此保密义务长期有效。</w:t>
            </w:r>
            <w:r>
              <w:br/>
            </w:r>
            <w:r>
              <w:rPr>
                <w:rFonts w:ascii="simsun" w:hAnsi="simsun" w:cs="simsun" w:eastAsia="simsun"/>
                <w:sz w:val="21"/>
              </w:rPr>
              <w:t xml:space="preserve">  （3）成果要求：提交《绵阳市数字化发展三年实施方案（2024-2026年）》,由采购人组织的专家评审验收后，经市政府相关会议审议通过，作为验收依据。具体包括：《绵阳市数字化发展现状调研报告》《绵阳市数字化发展三年实施方案》《绵阳市数字化重大项目清单》。</w:t>
            </w:r>
          </w:p>
          <w:p>
            <w:pPr>
              <w:pStyle w:val="null3"/>
              <w:numPr>
                <w:ilvl w:val="0"/>
                <w:numId w:val="1"/>
              </w:numPr>
            </w:pPr>
            <w:r>
              <w:rPr>
                <w:rFonts w:ascii="simsun" w:hAnsi="simsun" w:cs="simsun" w:eastAsia="simsun"/>
                <w:sz w:val="21"/>
              </w:rPr>
              <w:t xml:space="preserve"> （4）履约能力要求：供应商应具有信息化咨询规划相关的管理能力及必要的技术能力，熟悉咨询规划方案编制的方法及成熟的后续服务方案，具有满足本项目要求的技术人员，能够通过成熟的组织和管理能力，保证按照合同要求完成工作或提供服务。</w:t>
            </w:r>
          </w:p>
          <w:p>
            <w:pPr>
              <w:pStyle w:val="null3"/>
              <w:jc w:val="both"/>
            </w:pPr>
            <w:r>
              <w:rPr>
                <w:rFonts w:ascii="simsun" w:hAnsi="simsun" w:cs="simsun" w:eastAsia="simsun"/>
                <w:sz w:val="21"/>
              </w:rPr>
              <w:t xml:space="preserve"> （二）服务承诺。</w:t>
            </w:r>
            <w:r>
              <w:br/>
            </w:r>
            <w:r>
              <w:rPr>
                <w:rFonts w:ascii="simsun" w:hAnsi="simsun" w:cs="simsun" w:eastAsia="simsun"/>
                <w:sz w:val="21"/>
              </w:rPr>
              <w:t xml:space="preserve">  1.供应商需提供服务承诺（包含：供应商在事前、事中、事后乃至项目的衍生过程中提供长时间跟踪服务的承诺）。</w:t>
            </w:r>
            <w:r>
              <w:br/>
            </w:r>
            <w:r>
              <w:rPr>
                <w:rFonts w:ascii="simsun" w:hAnsi="simsun" w:cs="simsun" w:eastAsia="simsun"/>
                <w:sz w:val="21"/>
              </w:rPr>
              <w:t xml:space="preserve">  2.供应商提供成果内容材料的纸质件和电子版本，本项目所涉及的服务成果的知识产权归采购人所有，未经采购人同意不得对外提供。</w:t>
            </w:r>
            <w:r>
              <w:br/>
            </w:r>
            <w:r>
              <w:rPr>
                <w:rFonts w:ascii="simsun" w:hAnsi="simsun" w:cs="simsun" w:eastAsia="simsun"/>
                <w:sz w:val="21"/>
              </w:rPr>
              <w:t xml:space="preserve">  3.采购人除按该项目成交合同履行支付金额外，不再向成交供应商支付其他任何费用。</w:t>
            </w:r>
          </w:p>
        </w:tc>
      </w:tr>
    </w:tbl>
    <w:p>
      <w:pPr>
        <w:pStyle w:val="null3"/>
        <w:outlineLvl w:val="3"/>
      </w:pPr>
      <w:r>
        <w:rPr>
          <w:b/>
          <w:sz w:val="24"/>
        </w:rPr>
        <w:t>3.2.3人员配置要求</w:t>
      </w:r>
    </w:p>
    <w:p>
      <w:pPr>
        <w:pStyle w:val="null3"/>
      </w:pPr>
    </w:p>
    <w:p>
      <w:pPr>
        <w:pStyle w:val="null3"/>
      </w:pPr>
    </w:p>
    <w:p>
      <w:pPr>
        <w:pStyle w:val="null3"/>
      </w:pPr>
    </w:p>
    <w:p>
      <w:pPr>
        <w:pStyle w:val="null3"/>
      </w:pPr>
      <w:r>
        <w:rPr/>
        <w:t>采购包1：</w:t>
      </w:r>
    </w:p>
    <w:p>
      <w:pPr>
        <w:pStyle w:val="null3"/>
      </w:pPr>
      <w:r>
        <w:rPr/>
        <w:t>详见3.2.2服务要求</w:t>
      </w:r>
    </w:p>
    <w:p>
      <w:pPr>
        <w:pStyle w:val="null3"/>
        <w:outlineLvl w:val="3"/>
      </w:pPr>
      <w:r>
        <w:rPr>
          <w:b/>
          <w:sz w:val="24"/>
        </w:rPr>
        <w:t>3.2.4设施设备要求</w:t>
      </w:r>
    </w:p>
    <w:p>
      <w:pPr>
        <w:pStyle w:val="null3"/>
      </w:pPr>
    </w:p>
    <w:p>
      <w:pPr>
        <w:pStyle w:val="null3"/>
      </w:pPr>
    </w:p>
    <w:p>
      <w:pPr>
        <w:pStyle w:val="null3"/>
      </w:pPr>
    </w:p>
    <w:p>
      <w:pPr>
        <w:pStyle w:val="null3"/>
      </w:pPr>
      <w:r>
        <w:rPr/>
        <w:t>采购包1：</w:t>
      </w:r>
    </w:p>
    <w:p>
      <w:pPr>
        <w:pStyle w:val="null3"/>
      </w:pPr>
      <w:r>
        <w:rPr/>
        <w:t>无</w:t>
      </w:r>
    </w:p>
    <w:p>
      <w:pPr>
        <w:pStyle w:val="null3"/>
        <w:outlineLvl w:val="3"/>
      </w:pPr>
      <w:r>
        <w:rPr>
          <w:b/>
          <w:sz w:val="24"/>
        </w:rPr>
        <w:t>3.2.5其他要求</w:t>
      </w:r>
    </w:p>
    <w:p>
      <w:pPr>
        <w:pStyle w:val="null3"/>
      </w:pPr>
    </w:p>
    <w:p>
      <w:pPr>
        <w:pStyle w:val="null3"/>
      </w:pPr>
    </w:p>
    <w:p>
      <w:pPr>
        <w:pStyle w:val="null3"/>
      </w:pP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p>
    <w:p>
      <w:pPr>
        <w:pStyle w:val="null3"/>
      </w:pPr>
    </w:p>
    <w:p>
      <w:pPr>
        <w:pStyle w:val="null3"/>
      </w:pPr>
    </w:p>
    <w:p>
      <w:pPr>
        <w:pStyle w:val="null3"/>
      </w:pPr>
      <w:r>
        <w:rPr/>
        <w:t>采购包1：</w:t>
      </w:r>
    </w:p>
    <w:p>
      <w:pPr>
        <w:pStyle w:val="null3"/>
      </w:pPr>
      <w:r>
        <w:rPr/>
        <w:t xml:space="preserve"> 自合同签订之日起150日</w:t>
      </w:r>
    </w:p>
    <w:p>
      <w:pPr>
        <w:pStyle w:val="null3"/>
        <w:outlineLvl w:val="3"/>
      </w:pPr>
      <w:r>
        <w:rPr>
          <w:b/>
          <w:sz w:val="24"/>
        </w:rPr>
        <w:t>3.3.2服务地点</w:t>
      </w:r>
    </w:p>
    <w:p>
      <w:pPr>
        <w:pStyle w:val="null3"/>
      </w:pPr>
    </w:p>
    <w:p>
      <w:pPr>
        <w:pStyle w:val="null3"/>
      </w:pPr>
    </w:p>
    <w:p>
      <w:pPr>
        <w:pStyle w:val="null3"/>
      </w:pPr>
    </w:p>
    <w:p>
      <w:pPr>
        <w:pStyle w:val="null3"/>
      </w:pPr>
      <w:r>
        <w:rPr/>
        <w:t>采购包1：</w:t>
      </w:r>
    </w:p>
    <w:p>
      <w:pPr>
        <w:pStyle w:val="null3"/>
      </w:pPr>
      <w:r>
        <w:rPr/>
        <w:t>绵阳市涪城区绵兴东路98号</w:t>
      </w:r>
    </w:p>
    <w:p>
      <w:pPr>
        <w:pStyle w:val="null3"/>
        <w:outlineLvl w:val="3"/>
      </w:pPr>
      <w:r>
        <w:rPr>
          <w:b/>
          <w:sz w:val="24"/>
        </w:rPr>
        <w:t>3.3.3考核（验收）标准和方法</w:t>
      </w:r>
    </w:p>
    <w:p>
      <w:pPr>
        <w:pStyle w:val="null3"/>
      </w:pPr>
    </w:p>
    <w:p>
      <w:pPr>
        <w:pStyle w:val="null3"/>
      </w:pPr>
    </w:p>
    <w:p>
      <w:pPr>
        <w:pStyle w:val="null3"/>
      </w:pPr>
    </w:p>
    <w:p>
      <w:pPr>
        <w:pStyle w:val="null3"/>
      </w:pPr>
      <w:r>
        <w:rPr/>
        <w:t>采购包1：</w:t>
      </w:r>
    </w:p>
    <w:p>
      <w:pPr>
        <w:pStyle w:val="null3"/>
      </w:pPr>
      <w:r>
        <w:rPr/>
        <w:t>提交《绵阳市数字化发展三年实施方案2024—2026年）》，由采购人组织的专家评审验收后，经市政府相关会议审议通过，作为验收依据。具体包括：《绵阳市数字化发展现状调研报告》《绵阳市数字化发展三年实施方案》《绵阳市数字化重大项目清单》。</w:t>
      </w:r>
    </w:p>
    <w:p>
      <w:pPr>
        <w:pStyle w:val="null3"/>
        <w:jc w:val="left"/>
        <w:outlineLvl w:val="3"/>
      </w:pPr>
      <w:r>
        <w:rPr>
          <w:b/>
          <w:sz w:val="24"/>
        </w:rPr>
        <w:t>3.3.4支付方式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3.3.5支付约定</w:t>
      </w:r>
    </w:p>
    <w:p>
      <w:pPr>
        <w:pStyle w:val="null3"/>
      </w:pPr>
    </w:p>
    <w:p>
      <w:pPr>
        <w:pStyle w:val="null3"/>
      </w:pPr>
    </w:p>
    <w:p>
      <w:pPr>
        <w:pStyle w:val="null3"/>
      </w:pPr>
    </w:p>
    <w:p>
      <w:pPr>
        <w:pStyle w:val="null3"/>
      </w:pPr>
      <w:r>
        <w:rPr/>
        <w:t>采购包1：</w:t>
      </w:r>
      <w:r>
        <w:rPr/>
        <w:t xml:space="preserve"> 付款条件说明： </w:t>
      </w:r>
      <w:r>
        <w:rPr/>
        <w:t>合同签订完成，且财政资金下达后，中标人开具对应金额的发票</w:t>
      </w:r>
      <w:r>
        <w:rPr/>
        <w:t xml:space="preserve"> ，达到付款条件起 </w:t>
      </w:r>
      <w:r>
        <w:rPr/>
        <w:t>20</w:t>
      </w:r>
      <w:r>
        <w:rPr/>
        <w:t xml:space="preserve"> 日内，支付合同总金额的 </w:t>
      </w:r>
      <w:r>
        <w:rPr/>
        <w:t>40.00</w:t>
      </w:r>
      <w:r>
        <w:rPr/>
        <w:t>%。</w:t>
      </w:r>
    </w:p>
    <w:p>
      <w:pPr>
        <w:pStyle w:val="null3"/>
      </w:pPr>
      <w:r>
        <w:rPr/>
        <w:t>采购包1：</w:t>
      </w:r>
      <w:r>
        <w:rPr/>
        <w:t xml:space="preserve"> 付款条件说明： </w:t>
      </w:r>
      <w:r>
        <w:rPr/>
        <w:t>验收合格且财政资金下达后，中标人开具对应金额的发票</w:t>
      </w:r>
      <w:r>
        <w:rPr/>
        <w:t xml:space="preserve"> ，达到付款条件起 </w:t>
      </w:r>
      <w:r>
        <w:rPr/>
        <w:t>20</w:t>
      </w:r>
      <w:r>
        <w:rPr/>
        <w:t xml:space="preserve"> 日内，支付合同总金额的 </w:t>
      </w:r>
      <w:r>
        <w:rPr/>
        <w:t>60.00</w:t>
      </w:r>
      <w:r>
        <w:rPr/>
        <w:t>%。</w:t>
      </w:r>
    </w:p>
    <w:p>
      <w:pPr>
        <w:pStyle w:val="null3"/>
        <w:outlineLvl w:val="3"/>
      </w:pPr>
      <w:r>
        <w:rPr>
          <w:b/>
          <w:sz w:val="24"/>
        </w:rPr>
        <w:t>3.3.6违约责任及解决争议的方法</w:t>
      </w:r>
    </w:p>
    <w:p>
      <w:pPr>
        <w:pStyle w:val="null3"/>
      </w:pPr>
    </w:p>
    <w:p>
      <w:pPr>
        <w:pStyle w:val="null3"/>
      </w:pPr>
    </w:p>
    <w:p>
      <w:pPr>
        <w:pStyle w:val="null3"/>
      </w:pPr>
    </w:p>
    <w:p>
      <w:pPr>
        <w:pStyle w:val="null3"/>
      </w:pPr>
      <w:r>
        <w:rPr/>
        <w:t>采购包1：</w:t>
      </w:r>
    </w:p>
    <w:p>
      <w:pPr>
        <w:pStyle w:val="null3"/>
      </w:pPr>
      <w:r>
        <w:rPr/>
        <w:t>甲乙双方必须遵守本合同并执行合同中的各项规定，保证本合同的正常履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jc w:val="left"/>
        <w:outlineLvl w:val="2"/>
      </w:pPr>
      <w:r>
        <w:rPr>
          <w:b/>
          <w:sz w:val="28"/>
        </w:rPr>
        <w:t>3.4其他要求</w:t>
      </w:r>
    </w:p>
    <w:p>
      <w:pPr>
        <w:pStyle w:val="null3"/>
      </w:pPr>
    </w:p>
    <w:p>
      <w:pPr>
        <w:pStyle w:val="null3"/>
      </w:pPr>
    </w:p>
    <w:p>
      <w:pPr>
        <w:pStyle w:val="null3"/>
      </w:pPr>
      <w:r>
        <w:rPr/>
        <w:t>对于中小企业在资金支付方面的优惠措施： 1.付款条件说明： 合同签订完成，且财政资金下达后，中标人开具对应金额的发票 ，达到付款条件起 10 日内，支付合同总金额的 40.00%。 2. 付款条件说明： 验收合格且财政资金下达后，中标人开具对应金额的发票 ，达到付款条件起 10 日内，支付合同总金额的 60.00%。</w:t>
      </w:r>
    </w:p>
    <w:p>
      <w:pPr>
        <w:pStyle w:val="null3"/>
      </w:pPr>
    </w:p>
    <w:p>
      <w:pPr>
        <w:pStyle w:val="null3"/>
      </w:pPr>
      <w:r>
        <w:rPr/>
        <w:t xml:space="preserve"> </w:t>
      </w:r>
    </w:p>
    <w:p>
      <w:pPr>
        <w:pStyle w:val="null3"/>
        <w:jc w:val="center"/>
        <w:outlineLvl w:val="1"/>
      </w:pPr>
      <w:r>
        <w:rPr>
          <w:b/>
          <w:sz w:val="36"/>
        </w:rPr>
        <w:t>第四章 磋商过程中可实质性变动的内容</w:t>
      </w:r>
    </w:p>
    <w:p>
      <w:pPr>
        <w:pStyle w:val="null3"/>
        <w:ind w:firstLine="480"/>
      </w:pPr>
      <w:r>
        <w:rPr/>
        <w:t xml:space="preserve"> 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磋商办法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 磋商小组</w:t>
      </w:r>
    </w:p>
    <w:p>
      <w:pPr>
        <w:pStyle w:val="null3"/>
        <w:ind w:firstLine="480"/>
      </w:pPr>
      <w:r>
        <w:rPr/>
        <w:t xml:space="preserve"> 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四、磋商小组按照磋商文件规定的磋商程序、评分方法和标准进行评审，并独立履行下列职责：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outlineLvl w:val="3"/>
      </w:pPr>
      <w:r>
        <w:rPr>
          <w:b/>
          <w:sz w:val="24"/>
        </w:rPr>
        <w:t>5.3.2.1一般资格审查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需在项目电子化交易系统中按要求填写《投标（响应）函》完成承诺并进行电子签章。1.供应商为企业（包括合伙企业）、个体工商户的,应提供工商营业执照或提供由市场监管部门核发的法人或者其他组织统一社会信用代码的营业执照（扫描件）；2.供应商属于银行、保险、石油石化、电力、电信等有行业特殊情况的，提供企业分支机构营业执照或统一社会信用代码的营业执照（扫描件）；3.供应商为其他组织的，提供事业单位法人证书或执业许可证等证明文件（扫描件）；4.如为自然人的提供《中华人民共和国居民身份证》（扫描件）。</w:t>
            </w:r>
          </w:p>
        </w:tc>
        <w:tc>
          <w:tcPr>
            <w:tcW w:type="dxa" w:w="1661"/>
          </w:tcPr>
          <w:p>
            <w:pPr>
              <w:pStyle w:val="null3"/>
            </w:pPr>
            <w:r>
              <w:rPr/>
              <w:t>响应文件封面 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供应商提供近三年中任意一年的经审计的财务报告，至少包括“三表一注”，即资产负债表、利润表、现金流量表及其附注（复印件，加盖供应商鲜章）；属于银行、保险、石油石化、电力、电信等有行业特殊情况的，提供近三年中任意一年的财务报表（复印件，加盖供应商鲜章）；新成立的公司或非公司性质的供应商提供银行的资信证明（复印件，加盖供应商鲜章）。</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供应商应熟悉国家关于网络强国、数字中国等决策部署，熟悉国家、省、市有关数据资源、信息化、智慧城市、数字政府、数字经济等工作的方针政策和法律法规，熟悉“互联网+”、智慧城市、数字政府、数字经济等领域的最新发展动向和前沿技术。</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3"/>
      </w:pPr>
      <w:r>
        <w:rPr>
          <w:b/>
          <w:sz w:val="24"/>
        </w:rPr>
        <w:t>5.3.2.2特殊资格审查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5.3.2.3落实政府采购政策资格审查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5.3.3磋商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六章“拟签订的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pPr>
      <w:r>
        <w:rPr/>
        <w:t>五、 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七、 磋商过程中，磋商的任何一方不得透露与磋商有关的其他供应商的技术资料、价格和其他信息。</w:t>
      </w:r>
    </w:p>
    <w:p>
      <w:pPr>
        <w:pStyle w:val="null3"/>
        <w:ind w:firstLine="480"/>
      </w:pPr>
      <w:r>
        <w:rPr/>
        <w:t>八、 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 xml:space="preserve"> 5.3.4符合性审查</w:t>
      </w:r>
    </w:p>
    <w:p>
      <w:pPr>
        <w:pStyle w:val="null3"/>
        <w:ind w:firstLine="480"/>
      </w:pPr>
      <w:r>
        <w:rPr/>
        <w:t xml:space="preserve"> 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在符合性审查过程中，如果出现磋商小组成员意见不一致的情况，按照少数服从多数的原则确定，但不得违背政府采购基本原则和磋商文件规定。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磋商文件中的其他实质性要求</w:t>
            </w:r>
          </w:p>
        </w:tc>
        <w:tc>
          <w:tcPr>
            <w:tcW w:type="dxa" w:w="1661"/>
          </w:tcPr>
          <w:p>
            <w:pPr>
              <w:pStyle w:val="null3"/>
            </w:pPr>
            <w:r>
              <w:rPr/>
              <w:t>响应文件封面 无行贿犯罪记录的承诺函 商务应答表</w:t>
            </w:r>
          </w:p>
        </w:tc>
      </w:tr>
    </w:tbl>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或者需要扶持的科技成果转化项目，提交最后报价的供应商可以为2家。有效最后报价的供应商不足的，本次采购活动终止，并发布终止公告。</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jc w:val="left"/>
      </w:pPr>
      <w:r>
        <w:rPr/>
        <w:t xml:space="preserve"> 四.供应商未在响应文件提交截止时间内提交报价或未按要求进行报价的，视为无效响应，由供应商自行承担不利后果。</w:t>
      </w:r>
    </w:p>
    <w:p>
      <w:pPr>
        <w:pStyle w:val="null3"/>
        <w:ind w:firstLine="480"/>
      </w:pPr>
      <w:r>
        <w:rPr/>
        <w:t>五、供应商未按磋商小组要求在规定时间内提交最后报价的，视为其退出磋商。</w:t>
      </w:r>
    </w:p>
    <w:p>
      <w:pPr>
        <w:pStyle w:val="null3"/>
        <w:ind w:firstLine="480"/>
      </w:pPr>
      <w:r>
        <w:rPr/>
        <w:t>六、最后报价一旦提交后，供应商不得以任何理由撤回。</w:t>
      </w:r>
    </w:p>
    <w:p>
      <w:pPr>
        <w:pStyle w:val="null3"/>
        <w:ind w:firstLine="480"/>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5.3.7比较与评价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5.3.8复核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pPr>
      <w:r>
        <w:rPr/>
        <w:t>评审得分相同的，按照最后报价由低到高的顺序推荐。评审得分且最后报价相同的，按照技术指标优劣（本项目的技术指标为：</w:t>
      </w:r>
      <w:r>
        <w:rPr/>
        <w:t>实施方案</w:t>
      </w:r>
      <w:r>
        <w:rPr/>
        <w:t xml:space="preserve"> ，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outlineLvl w:val="3"/>
      </w:pPr>
      <w:r>
        <w:rPr>
          <w:b/>
          <w:sz w:val="24"/>
        </w:rPr>
        <w:t>5.3.10编写磋商报告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5.3.11评审争议处理规则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5.4评审办法及标准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5.4.1评分办法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5.4.2评分标准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供应商履约能力</w:t>
            </w:r>
          </w:p>
        </w:tc>
        <w:tc>
          <w:tcPr>
            <w:tcW w:type="dxa" w:w="2492"/>
          </w:tcPr>
          <w:p>
            <w:pPr>
              <w:pStyle w:val="null3"/>
            </w:pPr>
            <w:r>
              <w:rPr/>
              <w:t>具有在有效期内的质量管理体系认证证书、信息技术服务体系认证证书、信息安全管理体系认证证书，每提供一项得2分，最多得6分。须提供证书扫描件或者在全国认证认可信息公共服务平台上对证书的查询结果截图为证明材料。</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其他相关证明材料</w:t>
            </w:r>
          </w:p>
        </w:tc>
      </w:tr>
      <w:tr>
        <w:tc>
          <w:tcPr>
            <w:tcW w:type="dxa" w:w="831"/>
            <w:vMerge/>
          </w:tcPr>
          <w:p/>
        </w:tc>
        <w:tc>
          <w:tcPr>
            <w:tcW w:type="dxa" w:w="1661"/>
          </w:tcPr>
          <w:p>
            <w:pPr>
              <w:pStyle w:val="null3"/>
            </w:pPr>
            <w:r>
              <w:rPr/>
              <w:t>实施方案</w:t>
            </w:r>
          </w:p>
        </w:tc>
        <w:tc>
          <w:tcPr>
            <w:tcW w:type="dxa" w:w="2492"/>
          </w:tcPr>
          <w:p>
            <w:pPr>
              <w:pStyle w:val="null3"/>
            </w:pPr>
            <w:r>
              <w:rPr/>
              <w:t>根据供应商提供的实施方案【包含①数字化发展的项目背景；②绵阳数字化发展的目标解读；③数字化发展的重点难点分析；④绵阳数字化发展现状及存在问题分析；⑤咨询服务过程及方法；⑥方案编制思路及框架等方面】进行综合比较评审，其中①②③④每具有一项得3分，⑤⑥项每具有一项得5分，最高22分。在此基础上，方案中存在缺陷或不足的，每1项中有1处扣1分，扣完为止。 （缺陷或不足是指：内容凭空编造、方案中内容前后不一致、逻辑错误、涉及的规范及标准错误、地点区域错误的任意一种情形。）</w:t>
            </w:r>
          </w:p>
        </w:tc>
        <w:tc>
          <w:tcPr>
            <w:tcW w:type="dxa" w:w="831"/>
          </w:tcPr>
          <w:p>
            <w:pPr>
              <w:pStyle w:val="null3"/>
              <w:jc w:val="right"/>
            </w:pPr>
            <w:r>
              <w:rPr/>
              <w:t>22.00</w:t>
            </w:r>
          </w:p>
        </w:tc>
        <w:tc>
          <w:tcPr>
            <w:tcW w:type="dxa" w:w="831"/>
          </w:tcPr>
          <w:p>
            <w:pPr>
              <w:pStyle w:val="null3"/>
            </w:pPr>
            <w:r>
              <w:rPr/>
              <w:t>主观</w:t>
            </w:r>
          </w:p>
        </w:tc>
        <w:tc>
          <w:tcPr>
            <w:tcW w:type="dxa" w:w="1661"/>
          </w:tcPr>
          <w:p>
            <w:pPr>
              <w:pStyle w:val="null3"/>
            </w:pPr>
            <w:r>
              <w:rPr/>
              <w:t>需提供的方案</w:t>
            </w:r>
          </w:p>
        </w:tc>
      </w:tr>
      <w:tr>
        <w:tc>
          <w:tcPr>
            <w:tcW w:type="dxa" w:w="831"/>
            <w:vMerge/>
          </w:tcPr>
          <w:p/>
        </w:tc>
        <w:tc>
          <w:tcPr>
            <w:tcW w:type="dxa" w:w="1661"/>
          </w:tcPr>
          <w:p>
            <w:pPr>
              <w:pStyle w:val="null3"/>
            </w:pPr>
            <w:r>
              <w:rPr/>
              <w:t>质量及后续服务方案</w:t>
            </w:r>
          </w:p>
        </w:tc>
        <w:tc>
          <w:tcPr>
            <w:tcW w:type="dxa" w:w="2492"/>
          </w:tcPr>
          <w:p>
            <w:pPr>
              <w:pStyle w:val="null3"/>
            </w:pPr>
            <w:r>
              <w:rPr/>
              <w:t>1.根据供应商提供的项目保障措施【包含①进度保证措施；②安全保障措施；③质量保障措施】进行综合比较评审，每具有一项得5分，最高15分，在此基础上，方案中存在缺陷或不足的，每1项中有1处扣2.5分，每项最多扣5分；扣完为止。 2.根据供应商提供的后续服务方案【包含①有健全的后续服务机构、人员配置和明确的联系方式，得3分，存在缺陷或不足的，每有1处扣1分，扣完为止；②有明确的后续服务响应时间，24小时以内得3分，48小时以内得1分，其余不得分；③有明确的后续服务内容、项目范围、是否收费等事项，得2分，存在缺陷或不足的，每有1处扣1分，扣完为止；④有长时间跟踪服务承诺，明确的后续服务期限和在服务期限内的服务响应次数，长时间服务承诺超过1年且次数超过5次（含5次）的，得3分，长时间服务承诺超过6个月年小于1年且次数超过3次（含3次）小于5次的的，得2分，其余情况不得分】进行综合比较评审，最高11分。（缺陷或不足是指：凭空编造、方案中内容前后不一致、前后逻辑错误、涉及的规范及标准错误、地点区域错误的任意一种情形。）</w:t>
            </w:r>
          </w:p>
        </w:tc>
        <w:tc>
          <w:tcPr>
            <w:tcW w:type="dxa" w:w="831"/>
          </w:tcPr>
          <w:p>
            <w:pPr>
              <w:pStyle w:val="null3"/>
              <w:jc w:val="right"/>
            </w:pPr>
            <w:r>
              <w:rPr/>
              <w:t>26.00</w:t>
            </w:r>
          </w:p>
        </w:tc>
        <w:tc>
          <w:tcPr>
            <w:tcW w:type="dxa" w:w="831"/>
          </w:tcPr>
          <w:p>
            <w:pPr>
              <w:pStyle w:val="null3"/>
            </w:pPr>
            <w:r>
              <w:rPr/>
              <w:t>主观</w:t>
            </w:r>
          </w:p>
        </w:tc>
        <w:tc>
          <w:tcPr>
            <w:tcW w:type="dxa" w:w="1661"/>
          </w:tcPr>
          <w:p>
            <w:pPr>
              <w:pStyle w:val="null3"/>
            </w:pPr>
            <w:r>
              <w:rPr/>
              <w:t>需提供的方案</w:t>
            </w:r>
          </w:p>
        </w:tc>
      </w:tr>
      <w:tr>
        <w:tc>
          <w:tcPr>
            <w:tcW w:type="dxa" w:w="831"/>
            <w:vMerge/>
          </w:tcPr>
          <w:p/>
        </w:tc>
        <w:tc>
          <w:tcPr>
            <w:tcW w:type="dxa" w:w="1661"/>
          </w:tcPr>
          <w:p>
            <w:pPr>
              <w:pStyle w:val="null3"/>
            </w:pPr>
            <w:r>
              <w:rPr/>
              <w:t>人员配置方案</w:t>
            </w:r>
          </w:p>
        </w:tc>
        <w:tc>
          <w:tcPr>
            <w:tcW w:type="dxa" w:w="2492"/>
          </w:tcPr>
          <w:p>
            <w:pPr>
              <w:pStyle w:val="null3"/>
            </w:pPr>
            <w:r>
              <w:rPr/>
              <w:t>1.根据供应商提供的人员配置方案：至少包含 ①岗位设置； ②服务人员数量； ③服务人员具有类似项目工作经验； ④人员管理制度； 进行综合比较评审，每具有一项得3分，最高12分。在此基础上，方案中存在缺陷或不足的，每1项中有1处扣1.5分，每项最多扣3分；扣完为止。 （缺陷或不足是指：凭空编造、方案中内容前后不一致、前后逻辑错误、涉及的规范及标准错误、地点区域错误的任意一种情形。） 2.根据项目咨询设计特点，拟投入本项目的项目经理具有人社部及工信部颁发的计算机技术与软件专业技术资格“信息系统项目管理师”证书的得2分，同时具有电子、自动化、计算机、通信等相关专业正高级工程师证书再加3分，或者同时具有电子、自动化、计算机、通信等相关专业副高级工程师证书的再加2分，本项最多得5分。 3.供应商拟派本项目团队人员（不包括项目经理）中： 1）具有人社部及工信部颁发的计算机技术与软件专业技术资格“信息系统项目管理师”证书的，每具有1名得3分，最高3分； 2）具有电子、自动化、计算机、通信等相关专业高级工程师证书的，每具有1名得3分，最高3分； 3）具有注册信息安全专业人员（CISP）证书的，每具有1名得3分，最高3分； （以上同一人员具备多个证书不可重复得分，须提供人员相关证书及其与申请人劳动关系的证明材料）</w:t>
            </w:r>
          </w:p>
        </w:tc>
        <w:tc>
          <w:tcPr>
            <w:tcW w:type="dxa" w:w="831"/>
          </w:tcPr>
          <w:p>
            <w:pPr>
              <w:pStyle w:val="null3"/>
              <w:jc w:val="right"/>
            </w:pPr>
            <w:r>
              <w:rPr/>
              <w:t>26.00</w:t>
            </w:r>
          </w:p>
        </w:tc>
        <w:tc>
          <w:tcPr>
            <w:tcW w:type="dxa" w:w="831"/>
          </w:tcPr>
          <w:p>
            <w:pPr>
              <w:pStyle w:val="null3"/>
            </w:pPr>
            <w:r>
              <w:rPr/>
              <w:t>主观</w:t>
            </w:r>
          </w:p>
        </w:tc>
        <w:tc>
          <w:tcPr>
            <w:tcW w:type="dxa" w:w="1661"/>
          </w:tcPr>
          <w:p>
            <w:pPr>
              <w:pStyle w:val="null3"/>
            </w:pPr>
            <w:r>
              <w:rPr/>
              <w:t>需提供的方案</w:t>
            </w:r>
          </w:p>
          <w:p>
            <w:pPr>
              <w:pStyle w:val="null3"/>
            </w:pPr>
            <w:r>
              <w:rPr/>
              <w:t>其他相关证明材料</w:t>
            </w:r>
          </w:p>
        </w:tc>
      </w:tr>
      <w:tr>
        <w:tc>
          <w:tcPr>
            <w:tcW w:type="dxa" w:w="831"/>
            <w:vMerge/>
          </w:tcPr>
          <w:p/>
        </w:tc>
        <w:tc>
          <w:tcPr>
            <w:tcW w:type="dxa" w:w="1661"/>
          </w:tcPr>
          <w:p>
            <w:pPr>
              <w:pStyle w:val="null3"/>
            </w:pPr>
            <w:r>
              <w:rPr/>
              <w:t>业绩</w:t>
            </w:r>
          </w:p>
        </w:tc>
        <w:tc>
          <w:tcPr>
            <w:tcW w:type="dxa" w:w="2492"/>
          </w:tcPr>
          <w:p>
            <w:pPr>
              <w:pStyle w:val="null3"/>
            </w:pPr>
            <w:r>
              <w:rPr/>
              <w:t>根据供应商提供的自2020年1月1日（含）至今的类似信息化项目咨询、设计业绩合同，每提供一个得2分，最多得 10 分。 注：①时间以合同签订时间为准；②业绩证明材料须提供项目合同复印件；③以上案例不重复计分；④类似项目是指信息化相关的设计、咨询及规划项目。</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其他相关证明材料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以本次有效报价的最低价为基准价，评选报价得分=（基准价/评选报价）*10%*100%。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15.00%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报价表 监狱企业的证明文件</w:t>
            </w:r>
          </w:p>
        </w:tc>
      </w:tr>
    </w:tbl>
    <w:p>
      <w:pPr>
        <w:pStyle w:val="null3"/>
        <w:ind w:firstLine="480"/>
      </w:pPr>
      <w:r>
        <w:rPr/>
        <w:t>说明：</w:t>
      </w:r>
    </w:p>
    <w:p>
      <w:pPr>
        <w:pStyle w:val="null3"/>
        <w:ind w:firstLine="480"/>
      </w:pPr>
      <w:r>
        <w:rPr/>
        <w:t>1、所有的评分、价格等涉及小数计算，先四舍五入再计算；</w:t>
      </w:r>
    </w:p>
    <w:p>
      <w:pPr>
        <w:pStyle w:val="null3"/>
        <w:ind w:firstLine="480"/>
      </w:pPr>
      <w:r>
        <w:rPr/>
        <w:t>2、评分标准中要求提供的证明材料须清晰可辨。</w:t>
      </w:r>
    </w:p>
    <w:p>
      <w:pPr>
        <w:pStyle w:val="null3"/>
        <w:outlineLvl w:val="2"/>
      </w:pPr>
      <w:r>
        <w:rPr>
          <w:b/>
          <w:sz w:val="28"/>
        </w:rPr>
        <w:t>5.5终止采购活动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5.6确定成交供应商</w:t>
      </w:r>
    </w:p>
    <w:p>
      <w:pPr>
        <w:pStyle w:val="null3"/>
      </w:pPr>
    </w:p>
    <w:p>
      <w:pPr>
        <w:pStyle w:val="null3"/>
      </w:pPr>
    </w:p>
    <w:p>
      <w:pPr>
        <w:pStyle w:val="null3"/>
      </w:pPr>
      <w:r>
        <w:rPr/>
        <w:t>一、评审结束后，代理机构在评审结束后2个工作日内将磋商报告送采购人。</w:t>
      </w:r>
    </w:p>
    <w:p>
      <w:pPr>
        <w:pStyle w:val="null3"/>
      </w:pPr>
      <w:r>
        <w:rPr/>
        <w:t>二、采购人在收到磋商报告后5个工作日内，在磋商报告确定的成交候选供应商名单中按顺序确定1名成交供应商。采购人逾期未确定成交供应商且不提出异议的，视为确定磋商报告提出的排序第一的供应商为成交供应商。</w:t>
      </w:r>
    </w:p>
    <w:p>
      <w:pPr>
        <w:pStyle w:val="null3"/>
      </w:pPr>
      <w:r>
        <w:rPr/>
        <w:t>三、采购人或者代理机构应当自成交供应商确定之日起 2 个工作日内，在四川政府采购网上公告成交结果，磋商文件应当随成交结果同时公告。</w:t>
      </w:r>
    </w:p>
    <w:p>
      <w:pPr>
        <w:pStyle w:val="null3"/>
        <w:outlineLvl w:val="2"/>
      </w:pPr>
      <w:r>
        <w:rPr>
          <w:b/>
          <w:sz w:val="28"/>
        </w:rPr>
        <w:t>5.7评审专家在政府采购活动中承担以下义务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 应当在监督人员监督之下办理。</w:t>
      </w:r>
    </w:p>
    <w:p>
      <w:pPr>
        <w:pStyle w:val="null3"/>
        <w:ind w:firstLine="480"/>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详见附件：无行贿犯罪记录的承诺函</w:t>
      </w:r>
    </w:p>
    <w:p>
      <w:pPr>
        <w:pStyle w:val="null3"/>
        <w:ind w:firstLine="960"/>
      </w:pPr>
      <w:r>
        <w:rPr/>
        <w:t>详见附件：需提供的方案</w:t>
      </w:r>
    </w:p>
    <w:p>
      <w:pPr>
        <w:pStyle w:val="null3"/>
        <w:ind w:firstLine="960"/>
      </w:pPr>
      <w:r>
        <w:rPr/>
        <w:t>详见附件：其他相关证明材料</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政府采购合同（服务类）</w:t>
      </w:r>
      <w:r>
        <w:br/>
      </w:r>
    </w:p>
    <w:p>
      <w:pPr>
        <w:pStyle w:val="null3"/>
      </w:pPr>
      <w:r>
        <w:rPr/>
        <w:t xml:space="preserve"> 政府采购合同编号： __________________</w:t>
      </w:r>
    </w:p>
    <w:p>
      <w:pPr>
        <w:pStyle w:val="null3"/>
      </w:pPr>
      <w:r>
        <w:rPr/>
        <w:t xml:space="preserve"> 履约地点：__________________</w:t>
      </w:r>
    </w:p>
    <w:p>
      <w:pPr>
        <w:pStyle w:val="null3"/>
      </w:pPr>
      <w:r>
        <w:rPr/>
        <w:t xml:space="preserve"> 签订日期：20___年___月___日</w:t>
      </w:r>
    </w:p>
    <w:p>
      <w:pPr>
        <w:pStyle w:val="null3"/>
      </w:pPr>
      <w:r>
        <w:rPr/>
        <w:t xml:space="preserve"> 签订地点：__________________</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依据《中华人民共和国民法典》《中华人民共和国政府采购法》与项目行业有关的法律法规，以及XXX采购项目的 </w:t>
      </w:r>
      <w:r>
        <w:rPr/>
        <w:t>《磋商文件》</w:t>
      </w:r>
      <w:r>
        <w:rPr/>
        <w:t>，乙方的《投标（响应）文件》及《中标（成交）通知书》，甲乙双方同意签订本合同。具体情况及要求如下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二、服务要求</w:t>
      </w:r>
      <w:r>
        <w:br/>
      </w:r>
    </w:p>
    <w:p>
      <w:pPr>
        <w:pStyle w:val="null3"/>
        <w:outlineLvl w:val="3"/>
      </w:pPr>
      <w:r>
        <w:rPr>
          <w:b/>
          <w:sz w:val="24"/>
        </w:rPr>
        <w:t xml:space="preserve"> 三、合同定价方式、付款进度和支付方式</w:t>
      </w:r>
      <w:r>
        <w:br/>
      </w:r>
    </w:p>
    <w:p>
      <w:pPr>
        <w:pStyle w:val="null3"/>
        <w:outlineLvl w:val="3"/>
      </w:pPr>
      <w:r>
        <w:rPr>
          <w:b/>
          <w:sz w:val="24"/>
        </w:rPr>
        <w:t xml:space="preserve"> 四、履约保证金</w:t>
      </w:r>
      <w:r>
        <w:br/>
      </w:r>
    </w:p>
    <w:p>
      <w:pPr>
        <w:pStyle w:val="null3"/>
        <w:outlineLvl w:val="3"/>
      </w:pPr>
      <w:r>
        <w:rPr>
          <w:b/>
          <w:sz w:val="24"/>
        </w:rPr>
        <w:t xml:space="preserve"> 五、验收标准和方法</w:t>
      </w:r>
      <w:r>
        <w:br/>
      </w:r>
    </w:p>
    <w:p>
      <w:pPr>
        <w:pStyle w:val="null3"/>
        <w:outlineLvl w:val="3"/>
      </w:pPr>
      <w:r>
        <w:rPr>
          <w:b/>
          <w:sz w:val="24"/>
        </w:rPr>
        <w:t xml:space="preserve"> 六、甲方的权利和义务</w:t>
      </w:r>
    </w:p>
    <w:p>
      <w:pPr>
        <w:pStyle w:val="null3"/>
      </w:pPr>
      <w:r>
        <w:rPr/>
        <w:t>1.甲方有权对合同规定范围内乙方的服务行为进行监督和检查，拥有监管权。有权定期核对乙方提供服务所配备的人员数量。对甲方认为不合理的部分XXX。</w:t>
      </w:r>
    </w:p>
    <w:p>
      <w:pPr>
        <w:pStyle w:val="null3"/>
      </w:pPr>
      <w:r>
        <w:rPr/>
        <w:t>2.根据本合同规定，按时向乙方支付应付服务费用。</w:t>
      </w:r>
    </w:p>
    <w:p>
      <w:pPr>
        <w:pStyle w:val="null3"/>
      </w:pPr>
      <w:r>
        <w:rPr/>
        <w:t>3.国家法律、法规所规定由甲方承担的其它责任。</w:t>
      </w:r>
    </w:p>
    <w:p>
      <w:pPr>
        <w:pStyle w:val="null3"/>
      </w:pPr>
      <w:r>
        <w:rPr/>
        <w:t>......</w:t>
      </w:r>
    </w:p>
    <w:p>
      <w:pPr>
        <w:pStyle w:val="null3"/>
        <w:outlineLvl w:val="3"/>
      </w:pPr>
      <w:r>
        <w:rPr>
          <w:b/>
          <w:sz w:val="24"/>
        </w:rPr>
        <w:t xml:space="preserve"> 七、乙方的权利和义务</w:t>
      </w:r>
    </w:p>
    <w:p>
      <w:pPr>
        <w:pStyle w:val="null3"/>
      </w:pPr>
      <w:r>
        <w:rPr/>
        <w:t>1.根据本合同的约定向甲方收取相关服务费用。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pPr>
      <w:r>
        <w:rPr/>
        <w:t>......</w:t>
      </w:r>
    </w:p>
    <w:p>
      <w:pPr>
        <w:pStyle w:val="null3"/>
        <w:outlineLvl w:val="3"/>
      </w:pPr>
      <w:r>
        <w:rPr>
          <w:b/>
          <w:sz w:val="24"/>
        </w:rPr>
        <w:t xml:space="preserve"> 八、违约责任</w:t>
      </w: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pPr>
      <w:r>
        <w:rPr/>
        <w:t>......</w:t>
      </w:r>
    </w:p>
    <w:p>
      <w:pPr>
        <w:pStyle w:val="null3"/>
        <w:outlineLvl w:val="3"/>
      </w:pPr>
      <w:r>
        <w:rPr>
          <w:b/>
          <w:sz w:val="24"/>
        </w:rPr>
        <w:t xml:space="preserve"> 九、不可抗事件处理</w:t>
      </w:r>
    </w:p>
    <w:p>
      <w:pPr>
        <w:pStyle w:val="null3"/>
      </w:pPr>
      <w:r>
        <w:rPr/>
        <w:t>1.在合同有效期内，任何一方因战争、洪灾、台风、地震等不可抗力事件导致不能履行合同，则合同履行期可延长，其延长期与不可抗力事件影响期相同。</w:t>
      </w:r>
    </w:p>
    <w:p>
      <w:pPr>
        <w:pStyle w:val="null3"/>
      </w:pPr>
      <w:r>
        <w:rPr/>
        <w:t>2.受阻一方应在不可抗力事件发生后尽快用电话通知对方并于事故发生后XX天内将有关部门出具的证明文件等用特快专递或挂号信寄给对方审阅确认。</w:t>
      </w:r>
    </w:p>
    <w:p>
      <w:pPr>
        <w:pStyle w:val="null3"/>
      </w:pPr>
      <w:r>
        <w:rPr/>
        <w:t>3.不可抗力事件延续XX天以上，双方应通过友好协商，确定是否继续履行合同</w:t>
      </w:r>
    </w:p>
    <w:p>
      <w:pPr>
        <w:pStyle w:val="null3"/>
      </w:pPr>
      <w:r>
        <w:rPr/>
        <w:t>......</w:t>
      </w:r>
    </w:p>
    <w:p>
      <w:pPr>
        <w:pStyle w:val="null3"/>
        <w:outlineLvl w:val="3"/>
      </w:pPr>
      <w:r>
        <w:rPr>
          <w:b/>
          <w:sz w:val="24"/>
        </w:rPr>
        <w:t xml:space="preserve"> 十、解决合同纠纷的方式</w:t>
      </w:r>
      <w:r>
        <w:br/>
      </w:r>
    </w:p>
    <w:p>
      <w:pPr>
        <w:pStyle w:val="null3"/>
        <w:outlineLvl w:val="3"/>
      </w:pPr>
      <w:r>
        <w:rPr>
          <w:b/>
          <w:sz w:val="24"/>
        </w:rPr>
        <w:t xml:space="preserve"> 十一、合同生效及其他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