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竞 争 性 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2024年春节采购慰问物品及配送服务</w:t>
      </w:r>
    </w:p>
    <w:p>
      <w:pPr>
        <w:pStyle w:val="null3"/>
        <w:jc w:val="center"/>
        <w:outlineLvl w:val="2"/>
      </w:pPr>
      <w:r>
        <w:rPr>
          <w:b/>
          <w:sz w:val="28"/>
        </w:rPr>
        <w:t>采购项目编号：</w:t>
      </w:r>
      <w:r>
        <w:rPr>
          <w:b/>
          <w:sz w:val="28"/>
        </w:rPr>
        <w:t>N5107042024000017</w:t>
      </w:r>
      <w:r>
        <w:br/>
      </w:r>
      <w:r>
        <w:br/>
      </w:r>
      <w:r>
        <w:br/>
      </w:r>
    </w:p>
    <w:p>
      <w:pPr>
        <w:pStyle w:val="null3"/>
        <w:jc w:val="center"/>
        <w:outlineLvl w:val="2"/>
      </w:pPr>
      <w:r>
        <w:rPr>
          <w:b/>
          <w:sz w:val="28"/>
        </w:rPr>
        <w:t>绵阳市游仙区退役军人事务局</w:t>
      </w:r>
    </w:p>
    <w:p>
      <w:pPr>
        <w:pStyle w:val="null3"/>
        <w:jc w:val="center"/>
        <w:outlineLvl w:val="2"/>
      </w:pPr>
      <w:r>
        <w:rPr>
          <w:b/>
          <w:sz w:val="28"/>
        </w:rPr>
        <w:t>四川九夷招标代理有限公司</w:t>
      </w:r>
      <w:r>
        <w:rPr>
          <w:b/>
          <w:sz w:val="28"/>
        </w:rPr>
        <w:t>共同编制</w:t>
      </w:r>
    </w:p>
    <w:p>
      <w:pPr>
        <w:pStyle w:val="null3"/>
        <w:jc w:val="center"/>
        <w:outlineLvl w:val="2"/>
      </w:pPr>
      <w:r>
        <w:rPr>
          <w:b/>
          <w:sz w:val="28"/>
        </w:rPr>
        <w:t>2024年01月22日</w:t>
      </w:r>
    </w:p>
    <w:p>
      <w:pPr>
        <w:pStyle w:val="null3"/>
        <w:jc w:val="center"/>
        <w:outlineLvl w:val="1"/>
      </w:pPr>
      <w:r>
        <w:rPr>
          <w:b/>
          <w:sz w:val="36"/>
        </w:rPr>
        <w:t>第一章 竞争性谈判邀请</w:t>
      </w:r>
    </w:p>
    <w:p>
      <w:pPr>
        <w:pStyle w:val="null3"/>
        <w:ind w:firstLine="480"/>
      </w:pPr>
      <w:r>
        <w:rPr/>
        <w:t>四川九夷招标代理有限公司</w:t>
      </w:r>
      <w:r>
        <w:rPr/>
        <w:t>（以下简称“代理机构”）受</w:t>
      </w:r>
      <w:r>
        <w:rPr/>
        <w:t>绵阳市游仙区退役军人事务局</w:t>
      </w:r>
      <w:r>
        <w:rPr/>
        <w:t>委托，拟对</w:t>
      </w:r>
      <w:r>
        <w:rPr/>
        <w:t>2024年春节采购慰问物品及配送服务</w:t>
      </w:r>
      <w:r>
        <w:rPr/>
        <w:t>采用竞争性谈判采购方式进行采购，兹邀请供应商参加本项目的竞争性谈判。</w:t>
      </w:r>
    </w:p>
    <w:p>
      <w:pPr>
        <w:pStyle w:val="null3"/>
        <w:outlineLvl w:val="2"/>
      </w:pPr>
      <w:r>
        <w:rPr>
          <w:b/>
          <w:sz w:val="28"/>
        </w:rPr>
        <w:t>一、项目编号：</w:t>
      </w:r>
      <w:r>
        <w:rPr>
          <w:b/>
          <w:sz w:val="28"/>
        </w:rPr>
        <w:t>N5107042024000017</w:t>
      </w:r>
    </w:p>
    <w:p>
      <w:pPr>
        <w:pStyle w:val="null3"/>
        <w:outlineLvl w:val="2"/>
      </w:pPr>
      <w:r>
        <w:rPr>
          <w:b/>
          <w:sz w:val="28"/>
        </w:rPr>
        <w:t>二、项目名称：</w:t>
      </w:r>
      <w:r>
        <w:rPr>
          <w:b/>
          <w:sz w:val="28"/>
        </w:rPr>
        <w:t>2024年春节采购慰问物品及配送服务</w:t>
      </w:r>
    </w:p>
    <w:p>
      <w:pPr>
        <w:pStyle w:val="null3"/>
        <w:outlineLvl w:val="2"/>
      </w:pPr>
      <w:r>
        <w:rPr>
          <w:b/>
          <w:sz w:val="28"/>
        </w:rPr>
        <w:t>三、谈判项目简介：</w:t>
      </w:r>
    </w:p>
    <w:p>
      <w:pPr>
        <w:pStyle w:val="null3"/>
        <w:ind w:firstLine="480"/>
      </w:pPr>
      <w:r>
        <w:rPr/>
        <w:t>2024年春节将至绵阳市游仙区退役军人事务局拟采购一批慰问品。</w:t>
      </w:r>
    </w:p>
    <w:p>
      <w:pPr>
        <w:pStyle w:val="null3"/>
        <w:outlineLvl w:val="2"/>
      </w:pPr>
      <w:r>
        <w:rPr>
          <w:b/>
          <w:sz w:val="28"/>
        </w:rPr>
        <w:t>四、邀请供应商：</w:t>
      </w:r>
    </w:p>
    <w:p>
      <w:pPr>
        <w:pStyle w:val="null3"/>
      </w:pPr>
    </w:p>
    <w:p>
      <w:pPr>
        <w:pStyle w:val="null3"/>
      </w:pPr>
    </w:p>
    <w:p>
      <w:pPr>
        <w:pStyle w:val="null3"/>
      </w:pPr>
      <w:r>
        <w:rPr/>
        <w:t>本次采购采取公告征集邀请谈判的供应商。</w:t>
      </w:r>
    </w:p>
    <w:p>
      <w:pPr>
        <w:pStyle w:val="null3"/>
      </w:pPr>
      <w:r>
        <w:rPr/>
        <w:t xml:space="preserve"> 公告征集：本次竞争性谈判邀请在四川政府采购网（www.ccgp-sichuan.gov.cn）上以公告形式发布，公告期限自公告发布之日起3个工作日。</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截至投标截止日未被列入失信被执行人、重大税收违法案件当事人名单、政府采购严重违法失信行为记录名单（描述：截至投标截止日未被列入失信被执行人、重大税收违法案件当事人名单、政府采购严重违法失信行为记录名单）</w:t>
      </w:r>
    </w:p>
    <w:p>
      <w:pPr>
        <w:pStyle w:val="null3"/>
      </w:pPr>
      <w:r>
        <w:rPr/>
        <w:t>2、投标人单位及其现任法定代表人/主要负责人不得具有行贿犯罪记录（描述：投标人单位及其现任法定代表人/主要负责人不得具有行贿犯罪记录）</w:t>
      </w:r>
    </w:p>
    <w:p>
      <w:pPr>
        <w:pStyle w:val="null3"/>
        <w:outlineLvl w:val="2"/>
      </w:pPr>
      <w:r>
        <w:rPr>
          <w:b/>
          <w:sz w:val="28"/>
        </w:rPr>
        <w:t>六、电子化采购相关事项</w:t>
      </w:r>
    </w:p>
    <w:p>
      <w:pPr>
        <w:pStyle w:val="null3"/>
        <w:ind w:firstLine="480"/>
      </w:pPr>
      <w:r>
        <w:rPr/>
        <w:t xml:space="preserve"> 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 xml:space="preserve"> （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 xml:space="preserve"> （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免费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绵阳市游仙区退役军人事务局</w:t>
      </w:r>
    </w:p>
    <w:p>
      <w:pPr>
        <w:pStyle w:val="null3"/>
      </w:pPr>
    </w:p>
    <w:p>
      <w:pPr>
        <w:pStyle w:val="null3"/>
      </w:pPr>
    </w:p>
    <w:p>
      <w:pPr>
        <w:pStyle w:val="null3"/>
      </w:pPr>
      <w:r>
        <w:rPr/>
        <w:t xml:space="preserve"> 地址： </w:t>
      </w:r>
      <w:r>
        <w:rPr/>
        <w:t>四川省绵阳市游仙区驿亭路10号</w:t>
      </w:r>
    </w:p>
    <w:p>
      <w:pPr>
        <w:pStyle w:val="null3"/>
      </w:pPr>
      <w:r>
        <w:rPr/>
        <w:t xml:space="preserve"> 邮编： </w:t>
      </w:r>
      <w:r>
        <w:rPr/>
        <w:t>621000</w:t>
      </w:r>
    </w:p>
    <w:p>
      <w:pPr>
        <w:pStyle w:val="null3"/>
      </w:pPr>
      <w:r>
        <w:rPr/>
        <w:t xml:space="preserve"> 联系人： </w:t>
      </w:r>
      <w:r>
        <w:rPr/>
        <w:t>王刚</w:t>
      </w:r>
    </w:p>
    <w:p>
      <w:pPr>
        <w:pStyle w:val="null3"/>
      </w:pPr>
      <w:r>
        <w:rPr/>
        <w:t xml:space="preserve"> 联系电话： </w:t>
      </w:r>
      <w:r>
        <w:rPr/>
        <w:t>13908111889</w:t>
      </w:r>
    </w:p>
    <w:p>
      <w:pPr>
        <w:pStyle w:val="null3"/>
        <w:outlineLvl w:val="3"/>
      </w:pPr>
      <w:r>
        <w:rPr>
          <w:b/>
          <w:sz w:val="24"/>
        </w:rPr>
        <w:t>代理机构：</w:t>
      </w:r>
      <w:r>
        <w:rPr>
          <w:b/>
          <w:sz w:val="24"/>
        </w:rPr>
        <w:t>四川九夷招标代理有限公司</w:t>
      </w:r>
    </w:p>
    <w:p>
      <w:pPr>
        <w:pStyle w:val="null3"/>
      </w:pPr>
    </w:p>
    <w:p>
      <w:pPr>
        <w:pStyle w:val="null3"/>
      </w:pPr>
    </w:p>
    <w:p>
      <w:pPr>
        <w:pStyle w:val="null3"/>
      </w:pPr>
      <w:r>
        <w:rPr/>
        <w:t xml:space="preserve"> 地址： </w:t>
      </w:r>
      <w:r>
        <w:rPr/>
        <w:t>绵阳市科创园区元通路家园盛景31附4号</w:t>
      </w:r>
    </w:p>
    <w:p>
      <w:pPr>
        <w:pStyle w:val="null3"/>
      </w:pPr>
      <w:r>
        <w:rPr/>
        <w:t xml:space="preserve"> 邮编： </w:t>
      </w:r>
      <w:r>
        <w:rPr/>
        <w:t>621000</w:t>
      </w:r>
    </w:p>
    <w:p>
      <w:pPr>
        <w:pStyle w:val="null3"/>
      </w:pPr>
      <w:r>
        <w:rPr/>
        <w:t xml:space="preserve"> 联系人： </w:t>
      </w:r>
      <w:r>
        <w:rPr/>
        <w:t>杨莎</w:t>
      </w:r>
    </w:p>
    <w:p>
      <w:pPr>
        <w:pStyle w:val="null3"/>
      </w:pPr>
      <w:r>
        <w:rPr/>
        <w:t xml:space="preserve"> 联系电话： </w:t>
      </w:r>
      <w:r>
        <w:rPr/>
        <w:t>13568420022</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p>
          <w:p>
            <w:pPr>
              <w:pStyle w:val="null3"/>
            </w:pPr>
            <w:r>
              <w:rPr/>
              <w:t>采购包1：488,750.00元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采购包1：不接受联合体</w:t>
            </w:r>
          </w:p>
        </w:tc>
      </w:tr>
      <w:tr>
        <w:tc>
          <w:tcPr>
            <w:tcW w:type="dxa" w:w="1051"/>
          </w:tcPr>
          <w:p>
            <w:pPr>
              <w:pStyle w:val="null3"/>
            </w:pPr>
            <w:r>
              <w:rPr/>
              <w:t>5</w:t>
            </w:r>
          </w:p>
        </w:tc>
        <w:tc>
          <w:tcPr>
            <w:tcW w:type="dxa" w:w="2252"/>
          </w:tcPr>
          <w:p>
            <w:pPr>
              <w:pStyle w:val="null3"/>
            </w:pPr>
            <w:r>
              <w:rPr/>
              <w:t>落实节能、环保、无线局域网</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 xml:space="preserve"> 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注：供应商报价低于最高限价50%或者低于其他有效供应商报价算术平均价40%的，谈判小组可以认为该供应商“报价明显低于其他实质性响应的供应商报价”。）</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本项目不收取谈判保证金。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采购包1：不收取</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12</w:t>
            </w:r>
          </w:p>
        </w:tc>
        <w:tc>
          <w:tcPr>
            <w:tcW w:type="dxa" w:w="2252"/>
          </w:tcPr>
          <w:p>
            <w:pPr>
              <w:pStyle w:val="null3"/>
            </w:pPr>
            <w:r>
              <w:rPr/>
              <w:t>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招标代理费参照《招标代理服务收费管理暂行办法》（计价格[2002]1980号）向中标（成交）供应商收取。由中标（成交）供应商在领取中标（成交）通知书前一次性支付给四川九夷招标代理有限公司。</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成交通知书领取</w:t>
            </w:r>
          </w:p>
        </w:tc>
        <w:tc>
          <w:tcPr>
            <w:tcW w:type="dxa" w:w="5004"/>
          </w:tcPr>
          <w:p>
            <w:pPr>
              <w:pStyle w:val="null3"/>
            </w:pPr>
            <w:r>
              <w:rPr/>
              <w:t xml:space="preserve"> 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p>
          <w:p>
            <w:pPr>
              <w:pStyle w:val="null3"/>
            </w:pPr>
            <w:r>
              <w:rPr/>
              <w:t>不允许（实质性要求）</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 xml:space="preserve"> 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ind w:firstLine="480"/>
      </w:pPr>
      <w:r>
        <w:rPr/>
        <w:t>（一）适用范围</w:t>
      </w:r>
    </w:p>
    <w:p>
      <w:pPr>
        <w:pStyle w:val="null3"/>
        <w:ind w:firstLine="480"/>
      </w:pPr>
      <w:r>
        <w:rPr/>
        <w:t>1.本竞争性谈判文件仅适用于本次竞争性谈判采购项目。</w:t>
      </w:r>
    </w:p>
    <w:p>
      <w:pPr>
        <w:pStyle w:val="null3"/>
        <w:ind w:firstLine="480"/>
      </w:pPr>
      <w:r>
        <w:rPr/>
        <w:t xml:space="preserve"> 2.本竞争性谈判文件的最终解释权由</w:t>
      </w:r>
      <w:r>
        <w:rPr/>
        <w:t>绵阳市游仙区退役军人事务局</w:t>
      </w:r>
      <w:r>
        <w:rPr/>
        <w:t>和</w:t>
      </w:r>
      <w:r>
        <w:rPr/>
        <w:t>四川九夷招标代理有限公司</w:t>
      </w:r>
      <w:r>
        <w:rPr/>
        <w:t>享有。竞争性谈判文件中供应商参加本次政府采购活动应当具备的条件、技术清单、参数、商务及其他要求由</w:t>
      </w:r>
      <w:r>
        <w:rPr/>
        <w:t>绵阳市游仙区退役军人事务局</w:t>
      </w:r>
      <w:r>
        <w:rPr/>
        <w:t>负责解释。除上述竞争性谈判文件内容，其他内容由</w:t>
      </w:r>
      <w:r>
        <w:rPr/>
        <w:t>四川九夷招标代理有限公司</w:t>
      </w:r>
      <w:r>
        <w:rPr/>
        <w:t>负责解释。</w:t>
      </w:r>
    </w:p>
    <w:p>
      <w:pPr>
        <w:pStyle w:val="null3"/>
        <w:ind w:firstLine="480"/>
      </w:pPr>
      <w:r>
        <w:rPr/>
        <w:t>（二）有关定义</w:t>
      </w:r>
    </w:p>
    <w:p>
      <w:pPr>
        <w:pStyle w:val="null3"/>
        <w:ind w:firstLine="480"/>
      </w:pPr>
      <w:r>
        <w:rPr/>
        <w:t xml:space="preserve"> 1.“采购人”是指依法进行政府采购的各级国家机关、事业单位、团体组织。本次谈判的采购人是</w:t>
      </w:r>
      <w:r>
        <w:rPr/>
        <w:t>绵阳市游仙区退役军人事务局</w:t>
      </w:r>
      <w:r>
        <w:rPr/>
        <w:t>。</w:t>
      </w:r>
    </w:p>
    <w:p>
      <w:pPr>
        <w:pStyle w:val="null3"/>
        <w:ind w:firstLine="480"/>
      </w:pPr>
      <w:r>
        <w:rPr/>
        <w:t xml:space="preserve"> 2.“供应商”是指在按照采购公告规定获取谈判文件，拟参加响应和向采购人提供货物的法人、其他组织或自然人。</w:t>
      </w:r>
    </w:p>
    <w:p>
      <w:pPr>
        <w:pStyle w:val="null3"/>
        <w:ind w:firstLine="480"/>
      </w:pPr>
      <w:r>
        <w:rPr/>
        <w:t xml:space="preserve"> 3.“代理机构”是指集中采购机构和集中采购机构以外的代理机构。本项目的代理机构是</w:t>
      </w:r>
      <w:r>
        <w:rPr/>
        <w:t>四川九夷招标代理有限公司</w:t>
      </w:r>
    </w:p>
    <w:p>
      <w:pPr>
        <w:pStyle w:val="null3"/>
        <w:ind w:firstLine="480"/>
      </w:pPr>
      <w:r>
        <w:rPr/>
        <w:t xml:space="preserve"> 4.“网上开启”是指供应商通过项目电子化交易系统在线完成签到、响应文件解密后，采购人或者采购代理机构通过项目电子化交易系统在线完成已解密响应文件的开启工作。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5.“电子评审”是指通过项目电子化交易系统在线完成谈判小组组建，开展资格和符合性审查、出具谈判报告、推荐成交候选供应商等活动。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（四）谈判过程中可实质性变动的内容；</w:t>
      </w:r>
    </w:p>
    <w:p>
      <w:pPr>
        <w:pStyle w:val="null3"/>
        <w:ind w:firstLine="480"/>
      </w:pPr>
      <w:r>
        <w:rPr/>
        <w:t>（五）谈判办法；</w:t>
      </w:r>
    </w:p>
    <w:p>
      <w:pPr>
        <w:pStyle w:val="null3"/>
        <w:ind w:firstLine="480"/>
      </w:pPr>
      <w:r>
        <w:rPr/>
        <w:t>（六）响应文件格式；</w:t>
      </w:r>
    </w:p>
    <w:p>
      <w:pPr>
        <w:pStyle w:val="null3"/>
        <w:ind w:firstLine="480"/>
      </w:pPr>
      <w:r>
        <w:rPr/>
        <w:t>（七）拟签订采购合同文本。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ind w:firstLine="480"/>
        <w:jc w:val="left"/>
      </w:pPr>
      <w:r>
        <w:rPr/>
        <w:t xml:space="preserve"> 二、澄清或者修改的内容为谈判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除谈判文件中另有规定外，本项目均采用国家法定的计量单位。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 xml:space="preserve"> 2.4.4知识产权（实质性要求）</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响应文件具体内容详见第六章。</w:t>
      </w:r>
    </w:p>
    <w:p>
      <w:pPr>
        <w:pStyle w:val="null3"/>
        <w:outlineLvl w:val="3"/>
      </w:pPr>
      <w:r>
        <w:rPr>
          <w:b/>
          <w:sz w:val="24"/>
        </w:rPr>
        <w:t>2.4.6响应文件格式</w:t>
      </w:r>
    </w:p>
    <w:p>
      <w:pPr>
        <w:pStyle w:val="null3"/>
        <w:ind w:firstLine="480"/>
      </w:pPr>
      <w:r>
        <w:rPr/>
        <w:t>1.供应商应按照谈判文件第六章中提供的“响应文件格式”填写相关内容。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一、供应商的报价是供应商响应谈判项目要求的全部工作内容的价格体现，包括供应商完成本项目所需的一切费用。</w:t>
      </w:r>
    </w:p>
    <w:p>
      <w:pPr>
        <w:pStyle w:val="null3"/>
        <w:ind w:firstLine="480"/>
      </w:pPr>
      <w:r>
        <w:rPr/>
        <w:t xml:space="preserve"> 二、响应文件报价出现前后不一致的，按照谈判文件第五章谈判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2.4.8响应文件有效期</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一、响应文件应当根据谈判通知书进行编制。供应商应通过四川政府采购网-办事指南下载响应客户端，使用客户端编制响应文件。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2.4.11响应文件的补充、修改和撤回（实质性要求）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一、本项目为竞争性谈判项目。网上开启的开始时间为响应文件提交截止时间。成功提交或成功提交和解密电子响应文件的供应商不足3家的，不予开启，采购人或代理机构将终止采购活动。</w:t>
      </w:r>
    </w:p>
    <w:p>
      <w:pPr>
        <w:pStyle w:val="null3"/>
        <w:ind w:firstLine="480"/>
      </w:pPr>
      <w:r>
        <w:rPr/>
        <w:t>二、谈判开启准备工作</w:t>
      </w:r>
    </w:p>
    <w:p>
      <w:pPr>
        <w:pStyle w:val="null3"/>
        <w:ind w:firstLine="480"/>
      </w:pPr>
      <w:r>
        <w:rPr/>
        <w:t>响应文件开启时间前，供应商登录项目电子化交易系统-“开标/开启大厅”，等待代理机构开启谈判。</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详见谈判文件第五章。</w:t>
      </w:r>
    </w:p>
    <w:p>
      <w:pPr>
        <w:pStyle w:val="null3"/>
        <w:outlineLvl w:val="3"/>
      </w:pPr>
      <w:r>
        <w:rPr>
          <w:b/>
          <w:sz w:val="24"/>
        </w:rPr>
        <w:t>2.5.5、成交通知书</w:t>
      </w:r>
    </w:p>
    <w:p>
      <w:pPr>
        <w:pStyle w:val="null3"/>
        <w:ind w:firstLine="480"/>
      </w:pPr>
      <w:r>
        <w:rPr/>
        <w:t xml:space="preserve"> 一、采购人或者谈判小组确认成交供应商后，代理机构在四川政府采购网发布成交结果公告、通过项目电子化交易系统发出成交通知书，成交供应商通过项目电子化交易系统获取成交通知书。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p>
    <w:p>
      <w:pPr>
        <w:pStyle w:val="null3"/>
      </w:pPr>
    </w:p>
    <w:p>
      <w:pPr>
        <w:pStyle w:val="null3"/>
      </w:pP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b/>
          <w:sz w:val="28"/>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由采购人组织相关人员参与验收。</w:t>
      </w:r>
    </w:p>
    <w:p>
      <w:pPr>
        <w:pStyle w:val="null3"/>
        <w:ind w:firstLine="840"/>
      </w:pPr>
      <w:r>
        <w:rPr/>
        <w:t>9）技术履约验收内容：</w:t>
      </w:r>
      <w:r>
        <w:rPr/>
        <w:t>验收内容要包括每一项技术要求的履约情况，验收标准要包括所有客观、量化指标。</w:t>
      </w:r>
    </w:p>
    <w:p>
      <w:pPr>
        <w:pStyle w:val="null3"/>
        <w:ind w:firstLine="840"/>
      </w:pPr>
      <w:r>
        <w:rPr/>
        <w:t>10）商务履约验收内容：</w:t>
      </w:r>
      <w:r>
        <w:rPr/>
        <w:t>验收内容要包括每一项商务要求的履约情况，验收标准要包括所有客观、量化指标。</w:t>
      </w:r>
    </w:p>
    <w:p>
      <w:pPr>
        <w:pStyle w:val="null3"/>
        <w:ind w:firstLine="840"/>
      </w:pPr>
      <w:r>
        <w:rPr/>
        <w:t>11）履约验收标准：</w:t>
      </w:r>
    </w:p>
    <w:p>
      <w:pPr>
        <w:pStyle w:val="null3"/>
      </w:pPr>
    </w:p>
    <w:p>
      <w:pPr>
        <w:pStyle w:val="null3"/>
        <w:ind w:firstLine="1200"/>
      </w:pPr>
      <w:r>
        <w:rPr/>
        <w:t>成交供应商与采购人严格按照《财政部关于进一步加强政府采购需求和履约验收管理的指导意见》（财库〔2016〕205号）和《绵阳市财政局关于进一步 做好政府采购项目履约验收工作的通知》(绵财采〔2021〕15号)文件的要求进行验收；政府采购项目履约验收工作由采购单位负责。</w:t>
      </w:r>
    </w:p>
    <w:p>
      <w:pPr>
        <w:pStyle w:val="null3"/>
        <w:ind w:firstLine="840"/>
      </w:pPr>
      <w:r>
        <w:rPr/>
        <w:t>12）履约验收其他事项：</w:t>
      </w:r>
      <w:r>
        <w:rPr/>
        <w:t>具体以双方合同约定为准。</w:t>
      </w:r>
    </w:p>
    <w:p>
      <w:pPr>
        <w:pStyle w:val="null3"/>
        <w:outlineLvl w:val="2"/>
      </w:pPr>
      <w:r>
        <w:rPr>
          <w:b/>
          <w:sz w:val="28"/>
        </w:rPr>
        <w:t>2.6.6资金支付</w:t>
      </w:r>
    </w:p>
    <w:p>
      <w:pPr>
        <w:pStyle w:val="null3"/>
        <w:ind w:firstLine="480"/>
      </w:pPr>
      <w:r>
        <w:rPr/>
        <w:t>采购人按财政部门的相关规定及采购合同的约定进行支付。</w:t>
      </w:r>
    </w:p>
    <w:p>
      <w:pPr>
        <w:pStyle w:val="null3"/>
        <w:outlineLvl w:val="2"/>
      </w:pPr>
      <w:r>
        <w:rPr>
          <w:b/>
          <w:sz w:val="28"/>
        </w:rPr>
        <w:t>2.7、竞争性谈判工作纪律及要求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四川九夷招标代理有限公司</w:t>
      </w:r>
      <w:r>
        <w:rPr/>
        <w:t xml:space="preserve"> 负责答复；供应商对除采购需求外的采购文件的询问、质疑由</w:t>
      </w:r>
      <w:r>
        <w:rPr/>
        <w:t>四川九夷招标代理有限公司</w:t>
      </w:r>
      <w:r>
        <w:rPr/>
        <w:t xml:space="preserve"> 负责答复；供应商对采购过程、采购结果的询问、质疑由 </w:t>
      </w:r>
      <w:r>
        <w:rPr/>
        <w:t>四川九夷招标代理有限公司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pPr>
    </w:p>
    <w:p>
      <w:pPr>
        <w:pStyle w:val="null3"/>
      </w:pPr>
    </w:p>
    <w:p>
      <w:pPr>
        <w:pStyle w:val="null3"/>
      </w:pPr>
      <w:r>
        <w:rPr/>
        <w:t>答复主体：代理机构</w:t>
      </w:r>
    </w:p>
    <w:p>
      <w:pPr>
        <w:pStyle w:val="null3"/>
      </w:pPr>
      <w:r>
        <w:rPr/>
        <w:t>联系人：杨莎</w:t>
      </w:r>
    </w:p>
    <w:p>
      <w:pPr>
        <w:pStyle w:val="null3"/>
      </w:pPr>
      <w:r>
        <w:rPr/>
        <w:t>联系电话：13568420022</w:t>
      </w:r>
    </w:p>
    <w:p>
      <w:pPr>
        <w:pStyle w:val="null3"/>
      </w:pPr>
      <w:r>
        <w:rPr/>
        <w:t>地址：绵阳市科技城科教创业园区元通路31附4号（家园盛景）</w:t>
      </w:r>
    </w:p>
    <w:p>
      <w:pPr>
        <w:pStyle w:val="null3"/>
      </w:pPr>
      <w:r>
        <w:rPr/>
        <w:t>邮编：621000</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p>
    <w:p>
      <w:pPr>
        <w:pStyle w:val="null3"/>
      </w:pPr>
    </w:p>
    <w:p>
      <w:pPr>
        <w:pStyle w:val="null3"/>
      </w:pPr>
      <w:r>
        <w:rPr/>
        <w:t>2024年春节将至绵阳市游仙区退役军人事务局拟采购一批慰问品。</w:t>
      </w:r>
    </w:p>
    <w:p>
      <w:pPr>
        <w:pStyle w:val="null3"/>
        <w:outlineLvl w:val="2"/>
      </w:pPr>
      <w:r>
        <w:rPr>
          <w:b/>
          <w:sz w:val="28"/>
        </w:rPr>
        <w:t>3.2、采购内容</w:t>
      </w:r>
    </w:p>
    <w:p>
      <w:pPr>
        <w:pStyle w:val="null3"/>
        <w:outlineLvl w:val="3"/>
      </w:pPr>
      <w:r>
        <w:rPr>
          <w:b/>
          <w:sz w:val="24"/>
        </w:rPr>
        <w:t>3.2.1标的清单</w:t>
      </w:r>
    </w:p>
    <w:p>
      <w:pPr>
        <w:pStyle w:val="null3"/>
      </w:pPr>
    </w:p>
    <w:p>
      <w:pPr>
        <w:pStyle w:val="null3"/>
      </w:pPr>
    </w:p>
    <w:p>
      <w:pPr>
        <w:pStyle w:val="null3"/>
      </w:pPr>
      <w:r>
        <w:rPr/>
        <w:t>采购包1：</w:t>
      </w:r>
    </w:p>
    <w:p>
      <w:pPr>
        <w:pStyle w:val="null3"/>
      </w:pPr>
      <w:r>
        <w:rPr/>
        <w:t>采购包预算金额（元）: 488,750.00</w:t>
      </w:r>
    </w:p>
    <w:p>
      <w:pPr>
        <w:pStyle w:val="null3"/>
      </w:pPr>
      <w:r>
        <w:rPr/>
        <w:t>采购包最高限价（元）: 488,750.00</w:t>
      </w:r>
    </w:p>
    <w:tbl>
      <w:tblPr>
        <w:tblW w:w="0" w:type="auto"/>
        <w:tblBorders>
          <w:top w:val="single"/>
          <w:left w:val="single"/>
          <w:bottom w:val="single"/>
          <w:right w:val="single"/>
          <w:insideH w:val="single"/>
          <w:insideV w:val="single"/>
        </w:tblBorders>
      </w:tblPr>
      <w:tblGrid>
        <w:gridCol w:w="678"/>
        <w:gridCol w:w="1271"/>
        <w:gridCol w:w="848"/>
        <w:gridCol w:w="1356"/>
        <w:gridCol w:w="678"/>
        <w:gridCol w:w="678"/>
        <w:gridCol w:w="593"/>
        <w:gridCol w:w="678"/>
        <w:gridCol w:w="678"/>
        <w:gridCol w:w="848"/>
      </w:tblGrid>
      <w:tr>
        <w:tc>
          <w:tcPr>
            <w:tcW w:type="dxa" w:w="678"/>
          </w:tcPr>
          <w:p>
            <w:pPr>
              <w:pStyle w:val="null3"/>
            </w:pPr>
            <w:r>
              <w:rPr/>
              <w:t>序号</w:t>
            </w:r>
          </w:p>
        </w:tc>
        <w:tc>
          <w:tcPr>
            <w:tcW w:type="dxa" w:w="1271"/>
          </w:tcPr>
          <w:p>
            <w:pPr>
              <w:pStyle w:val="null3"/>
            </w:pPr>
            <w:r>
              <w:rPr/>
              <w:t>标的名称</w:t>
            </w:r>
          </w:p>
        </w:tc>
        <w:tc>
          <w:tcPr>
            <w:tcW w:type="dxa" w:w="848"/>
          </w:tcPr>
          <w:p>
            <w:pPr>
              <w:pStyle w:val="null3"/>
            </w:pPr>
            <w:r>
              <w:rPr/>
              <w:t>数量</w:t>
            </w:r>
          </w:p>
        </w:tc>
        <w:tc>
          <w:tcPr>
            <w:tcW w:type="dxa" w:w="1356"/>
          </w:tcPr>
          <w:p>
            <w:pPr>
              <w:pStyle w:val="null3"/>
            </w:pPr>
            <w:r>
              <w:rPr/>
              <w:t>标的金额 （元）</w:t>
            </w:r>
          </w:p>
        </w:tc>
        <w:tc>
          <w:tcPr>
            <w:tcW w:type="dxa" w:w="678"/>
          </w:tcPr>
          <w:p>
            <w:pPr>
              <w:pStyle w:val="null3"/>
            </w:pPr>
            <w:r>
              <w:rPr/>
              <w:t>计量单位</w:t>
            </w:r>
          </w:p>
        </w:tc>
        <w:tc>
          <w:tcPr>
            <w:tcW w:type="dxa" w:w="678"/>
          </w:tcPr>
          <w:p>
            <w:pPr>
              <w:pStyle w:val="null3"/>
            </w:pPr>
            <w:r>
              <w:rPr/>
              <w:t>所属行业</w:t>
            </w:r>
          </w:p>
        </w:tc>
        <w:tc>
          <w:tcPr>
            <w:tcW w:type="dxa" w:w="593"/>
          </w:tcPr>
          <w:p>
            <w:pPr>
              <w:pStyle w:val="null3"/>
            </w:pPr>
            <w:r>
              <w:rPr/>
              <w:t>是否涉及核心产品</w:t>
            </w:r>
          </w:p>
        </w:tc>
        <w:tc>
          <w:tcPr>
            <w:tcW w:type="dxa" w:w="678"/>
          </w:tcPr>
          <w:p>
            <w:pPr>
              <w:pStyle w:val="null3"/>
            </w:pPr>
            <w:r>
              <w:rPr/>
              <w:t>是否涉及采购进口产品</w:t>
            </w:r>
          </w:p>
        </w:tc>
        <w:tc>
          <w:tcPr>
            <w:tcW w:type="dxa" w:w="678"/>
          </w:tcPr>
          <w:p>
            <w:pPr>
              <w:pStyle w:val="null3"/>
            </w:pPr>
            <w:r>
              <w:rPr/>
              <w:t>是否涉及采购节能产品</w:t>
            </w:r>
          </w:p>
        </w:tc>
        <w:tc>
          <w:tcPr>
            <w:tcW w:type="dxa" w:w="848"/>
          </w:tcPr>
          <w:p>
            <w:pPr>
              <w:pStyle w:val="null3"/>
            </w:pPr>
            <w:r>
              <w:rPr/>
              <w:t>是否涉及采购环境标志产品</w:t>
            </w:r>
          </w:p>
        </w:tc>
      </w:tr>
      <w:tr>
        <w:tc>
          <w:tcPr>
            <w:tcW w:type="dxa" w:w="678"/>
          </w:tcPr>
          <w:p>
            <w:pPr>
              <w:pStyle w:val="null3"/>
            </w:pPr>
            <w:r>
              <w:rPr/>
              <w:t>1</w:t>
            </w:r>
          </w:p>
        </w:tc>
        <w:tc>
          <w:tcPr>
            <w:tcW w:type="dxa" w:w="1271"/>
          </w:tcPr>
          <w:p>
            <w:pPr>
              <w:pStyle w:val="null3"/>
            </w:pPr>
            <w:r>
              <w:rPr/>
              <w:t>长粒香</w:t>
            </w:r>
          </w:p>
        </w:tc>
        <w:tc>
          <w:tcPr>
            <w:tcW w:type="dxa" w:w="848"/>
          </w:tcPr>
          <w:p>
            <w:pPr>
              <w:pStyle w:val="null3"/>
              <w:jc w:val="right"/>
            </w:pPr>
            <w:r>
              <w:rPr/>
              <w:t>2,125.00</w:t>
            </w:r>
          </w:p>
        </w:tc>
        <w:tc>
          <w:tcPr>
            <w:tcW w:type="dxa" w:w="1356"/>
          </w:tcPr>
          <w:p>
            <w:pPr>
              <w:pStyle w:val="null3"/>
              <w:jc w:val="right"/>
            </w:pPr>
            <w:r>
              <w:rPr/>
              <w:t>93,500.00</w:t>
            </w:r>
          </w:p>
        </w:tc>
        <w:tc>
          <w:tcPr>
            <w:tcW w:type="dxa" w:w="678"/>
          </w:tcPr>
          <w:p>
            <w:pPr>
              <w:pStyle w:val="null3"/>
            </w:pPr>
            <w:r>
              <w:rPr/>
              <w:t>包</w:t>
            </w:r>
          </w:p>
        </w:tc>
        <w:tc>
          <w:tcPr>
            <w:tcW w:type="dxa" w:w="678"/>
          </w:tcPr>
          <w:p>
            <w:pPr>
              <w:pStyle w:val="null3"/>
            </w:pPr>
            <w:r>
              <w:rPr/>
              <w:t>批发业</w:t>
            </w:r>
          </w:p>
        </w:tc>
        <w:tc>
          <w:tcPr>
            <w:tcW w:type="dxa" w:w="593"/>
          </w:tcPr>
          <w:p>
            <w:pPr>
              <w:pStyle w:val="null3"/>
            </w:pPr>
            <w:r>
              <w:rPr/>
              <w:t>是</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2</w:t>
            </w:r>
          </w:p>
        </w:tc>
        <w:tc>
          <w:tcPr>
            <w:tcW w:type="dxa" w:w="1271"/>
          </w:tcPr>
          <w:p>
            <w:pPr>
              <w:pStyle w:val="null3"/>
            </w:pPr>
            <w:r>
              <w:rPr/>
              <w:t>菜籽油</w:t>
            </w:r>
          </w:p>
        </w:tc>
        <w:tc>
          <w:tcPr>
            <w:tcW w:type="dxa" w:w="848"/>
          </w:tcPr>
          <w:p>
            <w:pPr>
              <w:pStyle w:val="null3"/>
              <w:jc w:val="right"/>
            </w:pPr>
            <w:r>
              <w:rPr/>
              <w:t>2,125.00</w:t>
            </w:r>
          </w:p>
        </w:tc>
        <w:tc>
          <w:tcPr>
            <w:tcW w:type="dxa" w:w="1356"/>
          </w:tcPr>
          <w:p>
            <w:pPr>
              <w:pStyle w:val="null3"/>
              <w:jc w:val="right"/>
            </w:pPr>
            <w:r>
              <w:rPr/>
              <w:t>89,250.00</w:t>
            </w:r>
          </w:p>
        </w:tc>
        <w:tc>
          <w:tcPr>
            <w:tcW w:type="dxa" w:w="678"/>
          </w:tcPr>
          <w:p>
            <w:pPr>
              <w:pStyle w:val="null3"/>
            </w:pPr>
            <w:r>
              <w:rPr/>
              <w:t>件</w:t>
            </w:r>
          </w:p>
        </w:tc>
        <w:tc>
          <w:tcPr>
            <w:tcW w:type="dxa" w:w="678"/>
          </w:tcPr>
          <w:p>
            <w:pPr>
              <w:pStyle w:val="null3"/>
            </w:pPr>
            <w:r>
              <w:rPr/>
              <w:t>批发业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3</w:t>
            </w:r>
          </w:p>
        </w:tc>
        <w:tc>
          <w:tcPr>
            <w:tcW w:type="dxa" w:w="1271"/>
          </w:tcPr>
          <w:p>
            <w:pPr>
              <w:pStyle w:val="null3"/>
            </w:pPr>
            <w:r>
              <w:rPr/>
              <w:t>雪饼</w:t>
            </w:r>
          </w:p>
        </w:tc>
        <w:tc>
          <w:tcPr>
            <w:tcW w:type="dxa" w:w="848"/>
          </w:tcPr>
          <w:p>
            <w:pPr>
              <w:pStyle w:val="null3"/>
              <w:jc w:val="right"/>
            </w:pPr>
            <w:r>
              <w:rPr/>
              <w:t>2,125.00</w:t>
            </w:r>
          </w:p>
        </w:tc>
        <w:tc>
          <w:tcPr>
            <w:tcW w:type="dxa" w:w="1356"/>
          </w:tcPr>
          <w:p>
            <w:pPr>
              <w:pStyle w:val="null3"/>
              <w:jc w:val="right"/>
            </w:pPr>
            <w:r>
              <w:rPr/>
              <w:t>48,875.00</w:t>
            </w:r>
          </w:p>
        </w:tc>
        <w:tc>
          <w:tcPr>
            <w:tcW w:type="dxa" w:w="678"/>
          </w:tcPr>
          <w:p>
            <w:pPr>
              <w:pStyle w:val="null3"/>
            </w:pPr>
            <w:r>
              <w:rPr/>
              <w:t>包</w:t>
            </w:r>
          </w:p>
        </w:tc>
        <w:tc>
          <w:tcPr>
            <w:tcW w:type="dxa" w:w="678"/>
          </w:tcPr>
          <w:p>
            <w:pPr>
              <w:pStyle w:val="null3"/>
            </w:pPr>
            <w:r>
              <w:rPr/>
              <w:t>批发业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4</w:t>
            </w:r>
          </w:p>
        </w:tc>
        <w:tc>
          <w:tcPr>
            <w:tcW w:type="dxa" w:w="1271"/>
          </w:tcPr>
          <w:p>
            <w:pPr>
              <w:pStyle w:val="null3"/>
            </w:pPr>
            <w:r>
              <w:rPr/>
              <w:t>麦片</w:t>
            </w:r>
          </w:p>
        </w:tc>
        <w:tc>
          <w:tcPr>
            <w:tcW w:type="dxa" w:w="848"/>
          </w:tcPr>
          <w:p>
            <w:pPr>
              <w:pStyle w:val="null3"/>
              <w:jc w:val="right"/>
            </w:pPr>
            <w:r>
              <w:rPr/>
              <w:t>2,125.00</w:t>
            </w:r>
          </w:p>
        </w:tc>
        <w:tc>
          <w:tcPr>
            <w:tcW w:type="dxa" w:w="1356"/>
          </w:tcPr>
          <w:p>
            <w:pPr>
              <w:pStyle w:val="null3"/>
              <w:jc w:val="right"/>
            </w:pPr>
            <w:r>
              <w:rPr/>
              <w:t>46,750.00</w:t>
            </w:r>
          </w:p>
        </w:tc>
        <w:tc>
          <w:tcPr>
            <w:tcW w:type="dxa" w:w="678"/>
          </w:tcPr>
          <w:p>
            <w:pPr>
              <w:pStyle w:val="null3"/>
            </w:pPr>
            <w:r>
              <w:rPr/>
              <w:t>包</w:t>
            </w:r>
          </w:p>
        </w:tc>
        <w:tc>
          <w:tcPr>
            <w:tcW w:type="dxa" w:w="678"/>
          </w:tcPr>
          <w:p>
            <w:pPr>
              <w:pStyle w:val="null3"/>
            </w:pPr>
            <w:r>
              <w:rPr/>
              <w:t>批发业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5</w:t>
            </w:r>
          </w:p>
        </w:tc>
        <w:tc>
          <w:tcPr>
            <w:tcW w:type="dxa" w:w="1271"/>
          </w:tcPr>
          <w:p>
            <w:pPr>
              <w:pStyle w:val="null3"/>
            </w:pPr>
            <w:r>
              <w:rPr/>
              <w:t>坚果礼盒</w:t>
            </w:r>
          </w:p>
        </w:tc>
        <w:tc>
          <w:tcPr>
            <w:tcW w:type="dxa" w:w="848"/>
          </w:tcPr>
          <w:p>
            <w:pPr>
              <w:pStyle w:val="null3"/>
              <w:jc w:val="right"/>
            </w:pPr>
            <w:r>
              <w:rPr/>
              <w:t>2,125.00</w:t>
            </w:r>
          </w:p>
        </w:tc>
        <w:tc>
          <w:tcPr>
            <w:tcW w:type="dxa" w:w="1356"/>
          </w:tcPr>
          <w:p>
            <w:pPr>
              <w:pStyle w:val="null3"/>
              <w:jc w:val="right"/>
            </w:pPr>
            <w:r>
              <w:rPr/>
              <w:t>159,375.00</w:t>
            </w:r>
          </w:p>
        </w:tc>
        <w:tc>
          <w:tcPr>
            <w:tcW w:type="dxa" w:w="678"/>
          </w:tcPr>
          <w:p>
            <w:pPr>
              <w:pStyle w:val="null3"/>
            </w:pPr>
            <w:r>
              <w:rPr/>
              <w:t>盒</w:t>
            </w:r>
          </w:p>
        </w:tc>
        <w:tc>
          <w:tcPr>
            <w:tcW w:type="dxa" w:w="678"/>
          </w:tcPr>
          <w:p>
            <w:pPr>
              <w:pStyle w:val="null3"/>
            </w:pPr>
            <w:r>
              <w:rPr/>
              <w:t>批发业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r>
        <w:tc>
          <w:tcPr>
            <w:tcW w:type="dxa" w:w="678"/>
          </w:tcPr>
          <w:p>
            <w:pPr>
              <w:pStyle w:val="null3"/>
            </w:pPr>
            <w:r>
              <w:rPr/>
              <w:t>6</w:t>
            </w:r>
          </w:p>
        </w:tc>
        <w:tc>
          <w:tcPr>
            <w:tcW w:type="dxa" w:w="1271"/>
          </w:tcPr>
          <w:p>
            <w:pPr>
              <w:pStyle w:val="null3"/>
            </w:pPr>
            <w:r>
              <w:rPr/>
              <w:t>组合糖果包</w:t>
            </w:r>
          </w:p>
        </w:tc>
        <w:tc>
          <w:tcPr>
            <w:tcW w:type="dxa" w:w="848"/>
          </w:tcPr>
          <w:p>
            <w:pPr>
              <w:pStyle w:val="null3"/>
              <w:jc w:val="right"/>
            </w:pPr>
            <w:r>
              <w:rPr/>
              <w:t>2,125.00</w:t>
            </w:r>
          </w:p>
        </w:tc>
        <w:tc>
          <w:tcPr>
            <w:tcW w:type="dxa" w:w="1356"/>
          </w:tcPr>
          <w:p>
            <w:pPr>
              <w:pStyle w:val="null3"/>
              <w:jc w:val="right"/>
            </w:pPr>
            <w:r>
              <w:rPr/>
              <w:t>51,000.00</w:t>
            </w:r>
          </w:p>
        </w:tc>
        <w:tc>
          <w:tcPr>
            <w:tcW w:type="dxa" w:w="678"/>
          </w:tcPr>
          <w:p>
            <w:pPr>
              <w:pStyle w:val="null3"/>
            </w:pPr>
            <w:r>
              <w:rPr/>
              <w:t>包</w:t>
            </w:r>
          </w:p>
        </w:tc>
        <w:tc>
          <w:tcPr>
            <w:tcW w:type="dxa" w:w="678"/>
          </w:tcPr>
          <w:p>
            <w:pPr>
              <w:pStyle w:val="null3"/>
            </w:pPr>
            <w:r>
              <w:rPr/>
              <w:t>批发业</w:t>
            </w:r>
          </w:p>
        </w:tc>
        <w:tc>
          <w:tcPr>
            <w:tcW w:type="dxa" w:w="593"/>
          </w:tcPr>
          <w:p>
            <w:pPr>
              <w:pStyle w:val="null3"/>
            </w:pPr>
            <w:r>
              <w:rPr/>
              <w:t>否</w:t>
            </w:r>
          </w:p>
        </w:tc>
        <w:tc>
          <w:tcPr>
            <w:tcW w:type="dxa" w:w="678"/>
          </w:tcPr>
          <w:p>
            <w:pPr>
              <w:pStyle w:val="null3"/>
            </w:pPr>
            <w:r>
              <w:rPr/>
              <w:t>否</w:t>
            </w:r>
          </w:p>
        </w:tc>
        <w:tc>
          <w:tcPr>
            <w:tcW w:type="dxa" w:w="678"/>
          </w:tcPr>
          <w:p>
            <w:pPr>
              <w:pStyle w:val="null3"/>
            </w:pPr>
            <w:r>
              <w:rPr/>
              <w:t>否</w:t>
            </w:r>
          </w:p>
        </w:tc>
        <w:tc>
          <w:tcPr>
            <w:tcW w:type="dxa" w:w="848"/>
          </w:tcPr>
          <w:p>
            <w:pPr>
              <w:pStyle w:val="null3"/>
            </w:pPr>
            <w:r>
              <w:rPr/>
              <w:t>否</w:t>
            </w:r>
          </w:p>
        </w:tc>
      </w:tr>
    </w:tbl>
    <w:p>
      <w:pPr>
        <w:pStyle w:val="null3"/>
        <w:outlineLvl w:val="2"/>
      </w:pPr>
      <w:r>
        <w:rPr>
          <w:b/>
          <w:sz w:val="28"/>
        </w:rPr>
        <w:t>3.3、技术参数及要求</w:t>
      </w:r>
    </w:p>
    <w:p>
      <w:pPr>
        <w:pStyle w:val="null3"/>
      </w:pPr>
    </w:p>
    <w:p>
      <w:pPr>
        <w:pStyle w:val="null3"/>
      </w:pPr>
    </w:p>
    <w:p>
      <w:pPr>
        <w:pStyle w:val="null3"/>
      </w:pPr>
    </w:p>
    <w:p>
      <w:pPr>
        <w:pStyle w:val="null3"/>
      </w:pPr>
      <w:r>
        <w:rPr/>
        <w:t>采购包1：</w:t>
      </w:r>
    </w:p>
    <w:p>
      <w:pPr>
        <w:pStyle w:val="null3"/>
      </w:pPr>
    </w:p>
    <w:p>
      <w:pPr>
        <w:pStyle w:val="null3"/>
      </w:pPr>
      <w:r>
        <w:rPr/>
        <w:t>标的名称：长粒香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1、所提供长粒香大米为202</w:t>
                  </w:r>
                  <w:r>
                    <w:rPr>
                      <w:rFonts w:ascii="宋体" w:hAnsi="宋体" w:cs="宋体" w:eastAsia="宋体"/>
                      <w:sz w:val="24"/>
                    </w:rPr>
                    <w:t>3</w:t>
                  </w:r>
                  <w:r>
                    <w:rPr>
                      <w:rFonts w:ascii="宋体" w:hAnsi="宋体" w:cs="宋体" w:eastAsia="宋体"/>
                      <w:sz w:val="24"/>
                    </w:rPr>
                    <w:t>年</w:t>
                  </w:r>
                  <w:r>
                    <w:rPr>
                      <w:rFonts w:ascii="宋体" w:hAnsi="宋体" w:cs="宋体" w:eastAsia="宋体"/>
                      <w:sz w:val="24"/>
                    </w:rPr>
                    <w:t>6月份后生产，且为非转基因质量安全无害,并必须符合国家GB/T 1354（一级）要求。</w:t>
                  </w:r>
                </w:p>
                <w:p>
                  <w:pPr>
                    <w:pStyle w:val="null3"/>
                    <w:ind w:firstLine="240"/>
                    <w:jc w:val="both"/>
                  </w:pPr>
                  <w:r>
                    <w:rPr>
                      <w:rFonts w:ascii="宋体" w:hAnsi="宋体" w:cs="宋体" w:eastAsia="宋体"/>
                      <w:sz w:val="24"/>
                    </w:rPr>
                    <w:t>2、包装要求：符合GB7718-2011标签标识标准，同时标识清楚，应印有生产日期、保质期、生产厂家、地址、电话等，每袋净含量为≥5公斤；</w:t>
                  </w:r>
                </w:p>
                <w:p>
                  <w:pPr>
                    <w:pStyle w:val="null3"/>
                    <w:spacing w:before="105" w:after="120"/>
                    <w:jc w:val="both"/>
                  </w:pPr>
                  <w:r>
                    <w:rPr>
                      <w:rFonts w:ascii="宋体" w:hAnsi="宋体" w:cs="宋体" w:eastAsia="宋体"/>
                      <w:sz w:val="24"/>
                    </w:rPr>
                    <w:t xml:space="preserve"> </w:t>
                  </w:r>
                  <w:r>
                    <w:rPr>
                      <w:rFonts w:ascii="宋体" w:hAnsi="宋体" w:cs="宋体" w:eastAsia="宋体"/>
                      <w:sz w:val="24"/>
                    </w:rPr>
                    <w:t>3、每批货均具有《出厂检验合格报告》；</w:t>
                  </w:r>
                </w:p>
                <w:p>
                  <w:pPr>
                    <w:pStyle w:val="null3"/>
                    <w:ind w:firstLine="240"/>
                    <w:jc w:val="both"/>
                  </w:pPr>
                  <w:r>
                    <w:rPr>
                      <w:rFonts w:ascii="宋体" w:hAnsi="宋体" w:cs="宋体" w:eastAsia="宋体"/>
                      <w:sz w:val="24"/>
                    </w:rPr>
                    <w:t>4、每批货物必须与投标时提供的样品质量一致或优于样品；</w:t>
                  </w:r>
                </w:p>
                <w:p>
                  <w:pPr>
                    <w:pStyle w:val="null3"/>
                    <w:ind w:firstLine="240"/>
                    <w:jc w:val="both"/>
                  </w:pPr>
                  <w:r>
                    <w:rPr>
                      <w:rFonts w:ascii="宋体" w:hAnsi="宋体" w:cs="宋体" w:eastAsia="宋体"/>
                      <w:sz w:val="24"/>
                    </w:rPr>
                    <w:t>5、每袋大米必须为真空包装；</w:t>
                  </w:r>
                </w:p>
                <w:p>
                  <w:pPr>
                    <w:pStyle w:val="null3"/>
                    <w:spacing w:before="105" w:after="120"/>
                    <w:ind w:firstLine="240"/>
                    <w:jc w:val="both"/>
                  </w:pPr>
                  <w:r>
                    <w:rPr>
                      <w:rFonts w:ascii="宋体" w:hAnsi="宋体" w:cs="宋体" w:eastAsia="宋体"/>
                      <w:sz w:val="24"/>
                    </w:rPr>
                    <w:t>6、所送</w:t>
                  </w:r>
                  <w:r>
                    <w:rPr>
                      <w:rFonts w:ascii="宋体" w:hAnsi="宋体" w:cs="宋体" w:eastAsia="宋体"/>
                      <w:sz w:val="24"/>
                    </w:rPr>
                    <w:t>长粒香</w:t>
                  </w:r>
                  <w:r>
                    <w:rPr>
                      <w:rFonts w:ascii="宋体" w:hAnsi="宋体" w:cs="宋体" w:eastAsia="宋体"/>
                      <w:sz w:val="24"/>
                    </w:rPr>
                    <w:t>大米的检验报告与样品的检验报告一致。</w:t>
                  </w:r>
                </w:p>
                <w:p>
                  <w:pPr>
                    <w:pStyle w:val="null3"/>
                    <w:ind w:firstLine="240"/>
                    <w:jc w:val="both"/>
                  </w:pPr>
                  <w:r>
                    <w:rPr>
                      <w:rFonts w:ascii="宋体" w:hAnsi="宋体" w:cs="宋体" w:eastAsia="宋体"/>
                      <w:sz w:val="24"/>
                    </w:rPr>
                    <w:t>备注：需提供第三方检测机构出具的检测报告复印件加盖供应商鲜章。</w:t>
                  </w:r>
                </w:p>
              </w:tc>
            </w:tr>
          </w:tbl>
          <w:p/>
        </w:tc>
      </w:tr>
    </w:tbl>
    <w:p>
      <w:pPr>
        <w:pStyle w:val="null3"/>
      </w:pPr>
    </w:p>
    <w:p>
      <w:pPr>
        <w:pStyle w:val="null3"/>
      </w:pPr>
      <w:r>
        <w:rPr/>
        <w:t>标的名称：菜籽油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color w:val="000000"/>
                      <w:sz w:val="24"/>
                    </w:rPr>
                    <w:t>1、为202</w:t>
                  </w:r>
                  <w:r>
                    <w:rPr>
                      <w:rFonts w:ascii="宋体" w:hAnsi="宋体" w:cs="宋体" w:eastAsia="宋体"/>
                      <w:color w:val="000000"/>
                      <w:sz w:val="24"/>
                    </w:rPr>
                    <w:t>3</w:t>
                  </w:r>
                  <w:r>
                    <w:rPr>
                      <w:rFonts w:ascii="宋体" w:hAnsi="宋体" w:cs="宋体" w:eastAsia="宋体"/>
                      <w:color w:val="000000"/>
                      <w:sz w:val="24"/>
                    </w:rPr>
                    <w:t>年</w:t>
                  </w:r>
                  <w:r>
                    <w:rPr>
                      <w:rFonts w:ascii="宋体" w:hAnsi="宋体" w:cs="宋体" w:eastAsia="宋体"/>
                      <w:color w:val="000000"/>
                      <w:sz w:val="24"/>
                    </w:rPr>
                    <w:t>8月份以后生产非转基因压榨</w:t>
                  </w:r>
                  <w:r>
                    <w:rPr>
                      <w:rFonts w:ascii="宋体" w:hAnsi="宋体" w:cs="宋体" w:eastAsia="宋体"/>
                      <w:color w:val="000000"/>
                      <w:sz w:val="24"/>
                    </w:rPr>
                    <w:t>二</w:t>
                  </w:r>
                  <w:r>
                    <w:rPr>
                      <w:rFonts w:ascii="宋体" w:hAnsi="宋体" w:cs="宋体" w:eastAsia="宋体"/>
                      <w:color w:val="000000"/>
                      <w:sz w:val="24"/>
                    </w:rPr>
                    <w:t>级及以上成品菜籽油，符合</w:t>
                  </w:r>
                  <w:r>
                    <w:rPr>
                      <w:rFonts w:ascii="宋体" w:hAnsi="宋体" w:cs="宋体" w:eastAsia="宋体"/>
                      <w:color w:val="000000"/>
                      <w:sz w:val="24"/>
                    </w:rPr>
                    <w:t>GB1536-2021国家标准。</w:t>
                  </w:r>
                </w:p>
                <w:p>
                  <w:pPr>
                    <w:pStyle w:val="null3"/>
                    <w:ind w:firstLine="240"/>
                    <w:jc w:val="both"/>
                  </w:pPr>
                  <w:r>
                    <w:rPr>
                      <w:rFonts w:ascii="宋体" w:hAnsi="宋体" w:cs="宋体" w:eastAsia="宋体"/>
                      <w:sz w:val="24"/>
                    </w:rPr>
                    <w:t>2、包装材料采用无毒无害材料制作，包装为一次性桶装，每桶净含量</w:t>
                  </w:r>
                  <w:r>
                    <w:rPr>
                      <w:rFonts w:ascii="宋体" w:hAnsi="宋体" w:cs="宋体" w:eastAsia="宋体"/>
                      <w:sz w:val="24"/>
                    </w:rPr>
                    <w:t>≥2.5L</w:t>
                  </w:r>
                  <w:r>
                    <w:rPr>
                      <w:rFonts w:ascii="宋体" w:hAnsi="宋体" w:cs="宋体" w:eastAsia="宋体"/>
                      <w:sz w:val="24"/>
                    </w:rPr>
                    <w:t>。</w:t>
                  </w:r>
                </w:p>
                <w:p>
                  <w:pPr>
                    <w:pStyle w:val="null3"/>
                    <w:spacing w:before="105" w:after="120"/>
                    <w:ind w:firstLine="240"/>
                    <w:jc w:val="both"/>
                  </w:pPr>
                  <w:r>
                    <w:rPr>
                      <w:rFonts w:ascii="宋体" w:hAnsi="宋体" w:cs="宋体" w:eastAsia="宋体"/>
                      <w:sz w:val="24"/>
                    </w:rPr>
                    <w:t>3、每批货物必须与投标时提供的样品质量一致或优于样品且</w:t>
                  </w:r>
                  <w:r>
                    <w:rPr>
                      <w:rFonts w:ascii="宋体" w:hAnsi="宋体" w:cs="宋体" w:eastAsia="宋体"/>
                      <w:sz w:val="24"/>
                    </w:rPr>
                    <w:t>所送油的检验报告与样品的检验报告一致</w:t>
                  </w:r>
                  <w:r>
                    <w:rPr>
                      <w:rFonts w:ascii="宋体" w:hAnsi="宋体" w:cs="宋体" w:eastAsia="宋体"/>
                      <w:sz w:val="24"/>
                    </w:rPr>
                    <w:t>。</w:t>
                  </w:r>
                </w:p>
                <w:p>
                  <w:pPr>
                    <w:pStyle w:val="null3"/>
                    <w:spacing w:before="105" w:after="120"/>
                    <w:ind w:firstLine="240"/>
                    <w:jc w:val="both"/>
                  </w:pPr>
                  <w:r>
                    <w:rPr>
                      <w:rFonts w:ascii="宋体" w:hAnsi="宋体" w:cs="宋体" w:eastAsia="宋体"/>
                      <w:sz w:val="24"/>
                    </w:rPr>
                    <w:t>注：需提供第三方检测机构出具的检测报告复印件加盖供应商鲜章。</w:t>
                  </w:r>
                </w:p>
              </w:tc>
            </w:tr>
          </w:tbl>
          <w:p/>
        </w:tc>
      </w:tr>
    </w:tbl>
    <w:p>
      <w:pPr>
        <w:pStyle w:val="null3"/>
      </w:pPr>
    </w:p>
    <w:p>
      <w:pPr>
        <w:pStyle w:val="null3"/>
      </w:pPr>
      <w:r>
        <w:rPr/>
        <w:t>标的名称：雪饼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20"/>
                    <w:ind w:firstLine="240"/>
                    <w:jc w:val="both"/>
                  </w:pPr>
                  <w:r>
                    <w:rPr>
                      <w:rFonts w:ascii="宋体" w:hAnsi="宋体" w:cs="宋体" w:eastAsia="宋体"/>
                      <w:sz w:val="24"/>
                    </w:rPr>
                    <w:t>1、</w:t>
                  </w:r>
                  <w:r>
                    <w:rPr>
                      <w:rFonts w:ascii="宋体" w:hAnsi="宋体" w:cs="宋体" w:eastAsia="宋体"/>
                      <w:sz w:val="24"/>
                    </w:rPr>
                    <w:t>GB 2762食品安全国家标准食品中污染物限量的规定；</w:t>
                  </w:r>
                </w:p>
                <w:p>
                  <w:pPr>
                    <w:pStyle w:val="null3"/>
                    <w:ind w:firstLine="240"/>
                    <w:jc w:val="both"/>
                  </w:pPr>
                  <w:r>
                    <w:rPr>
                      <w:rFonts w:ascii="宋体" w:hAnsi="宋体" w:cs="宋体" w:eastAsia="宋体"/>
                      <w:sz w:val="24"/>
                    </w:rPr>
                    <w:t>2、符合GB 29921-</w:t>
                  </w:r>
                  <w:r>
                    <w:rPr>
                      <w:rFonts w:ascii="宋体" w:hAnsi="宋体" w:cs="宋体" w:eastAsia="宋体"/>
                      <w:sz w:val="24"/>
                    </w:rPr>
                    <w:t>2021</w:t>
                  </w:r>
                  <w:r>
                    <w:rPr>
                      <w:rFonts w:ascii="宋体" w:hAnsi="宋体" w:cs="宋体" w:eastAsia="宋体"/>
                      <w:sz w:val="24"/>
                    </w:rPr>
                    <w:t>食品安全国家标准</w:t>
                  </w:r>
                  <w:r>
                    <w:rPr>
                      <w:rFonts w:ascii="宋体" w:hAnsi="宋体" w:cs="宋体" w:eastAsia="宋体"/>
                      <w:sz w:val="24"/>
                    </w:rPr>
                    <w:t>食品中致病菌限量；</w:t>
                  </w:r>
                </w:p>
                <w:p>
                  <w:pPr>
                    <w:pStyle w:val="null3"/>
                    <w:ind w:firstLine="240"/>
                    <w:jc w:val="both"/>
                  </w:pPr>
                  <w:r>
                    <w:rPr>
                      <w:rFonts w:ascii="宋体" w:hAnsi="宋体" w:cs="宋体" w:eastAsia="宋体"/>
                      <w:sz w:val="24"/>
                    </w:rPr>
                    <w:t>3、</w:t>
                  </w:r>
                  <w:r>
                    <w:rPr>
                      <w:rFonts w:ascii="宋体" w:hAnsi="宋体" w:cs="宋体" w:eastAsia="宋体"/>
                      <w:sz w:val="24"/>
                    </w:rPr>
                    <w:t>符合</w:t>
                  </w:r>
                  <w:r>
                    <w:rPr>
                      <w:rFonts w:ascii="宋体" w:hAnsi="宋体" w:cs="宋体" w:eastAsia="宋体"/>
                      <w:sz w:val="24"/>
                    </w:rPr>
                    <w:t>GB/T22699-2008膨化食品标准；</w:t>
                  </w:r>
                </w:p>
                <w:p>
                  <w:pPr>
                    <w:pStyle w:val="null3"/>
                    <w:ind w:firstLine="240"/>
                    <w:jc w:val="both"/>
                  </w:pPr>
                  <w:r>
                    <w:rPr>
                      <w:rFonts w:ascii="宋体" w:hAnsi="宋体" w:cs="宋体" w:eastAsia="宋体"/>
                      <w:sz w:val="24"/>
                    </w:rPr>
                    <w:t>4、GB7718-2011食品安全国家标准。预包装食品标签通则；</w:t>
                  </w:r>
                </w:p>
                <w:p>
                  <w:pPr>
                    <w:pStyle w:val="null3"/>
                    <w:spacing w:before="105" w:after="120"/>
                    <w:ind w:firstLine="240"/>
                    <w:jc w:val="both"/>
                  </w:pPr>
                  <w:r>
                    <w:rPr>
                      <w:rFonts w:ascii="宋体" w:hAnsi="宋体" w:cs="宋体" w:eastAsia="宋体"/>
                      <w:sz w:val="24"/>
                    </w:rPr>
                    <w:t>5、所送雪饼的检验报告与样品的检验报告一致；</w:t>
                  </w:r>
                </w:p>
                <w:p>
                  <w:pPr>
                    <w:pStyle w:val="null3"/>
                    <w:spacing w:before="105" w:after="120"/>
                    <w:ind w:firstLine="240"/>
                    <w:jc w:val="both"/>
                  </w:pPr>
                  <w:r>
                    <w:rPr>
                      <w:rFonts w:ascii="宋体" w:hAnsi="宋体" w:cs="宋体" w:eastAsia="宋体"/>
                      <w:sz w:val="24"/>
                    </w:rPr>
                    <w:t>6、每袋净含量</w:t>
                  </w:r>
                  <w:r>
                    <w:rPr>
                      <w:rFonts w:ascii="宋体" w:hAnsi="宋体" w:cs="宋体" w:eastAsia="宋体"/>
                      <w:sz w:val="24"/>
                    </w:rPr>
                    <w:t>≥520g。</w:t>
                  </w:r>
                </w:p>
                <w:p>
                  <w:pPr>
                    <w:pStyle w:val="null3"/>
                    <w:spacing w:before="105" w:after="120"/>
                    <w:ind w:firstLine="240"/>
                    <w:jc w:val="both"/>
                  </w:pPr>
                  <w:r>
                    <w:rPr>
                      <w:rFonts w:ascii="宋体" w:hAnsi="宋体" w:cs="宋体" w:eastAsia="宋体"/>
                      <w:sz w:val="24"/>
                    </w:rPr>
                    <w:t>注：需提供第三方检测机构出具的检测报告复印件加盖供应商鲜章。</w:t>
                  </w:r>
                </w:p>
              </w:tc>
            </w:tr>
          </w:tbl>
          <w:p>
            <w:pPr>
              <w:pStyle w:val="null3"/>
            </w:pPr>
            <w:r>
              <w:rPr/>
              <w:t xml:space="preserve"> </w:t>
            </w:r>
          </w:p>
        </w:tc>
      </w:tr>
    </w:tbl>
    <w:p>
      <w:pPr>
        <w:pStyle w:val="null3"/>
      </w:pPr>
    </w:p>
    <w:p>
      <w:pPr>
        <w:pStyle w:val="null3"/>
      </w:pPr>
      <w:r>
        <w:rPr/>
        <w:t>标的名称：麦片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20"/>
                    <w:ind w:firstLine="240"/>
                    <w:jc w:val="both"/>
                  </w:pPr>
                  <w:r>
                    <w:rPr>
                      <w:rFonts w:ascii="宋体" w:hAnsi="宋体" w:cs="宋体" w:eastAsia="宋体"/>
                      <w:sz w:val="24"/>
                    </w:rPr>
                    <w:t>1、生产企业通过ISO22000食品安全管理认证；</w:t>
                  </w:r>
                </w:p>
                <w:p>
                  <w:pPr>
                    <w:pStyle w:val="null3"/>
                    <w:spacing w:before="105" w:after="120"/>
                    <w:ind w:firstLine="240"/>
                    <w:jc w:val="both"/>
                  </w:pPr>
                  <w:r>
                    <w:rPr>
                      <w:rFonts w:ascii="宋体" w:hAnsi="宋体" w:cs="宋体" w:eastAsia="宋体"/>
                      <w:sz w:val="24"/>
                    </w:rPr>
                    <w:t>2、符合GB/T18738-2006标准规定；</w:t>
                  </w:r>
                </w:p>
                <w:p>
                  <w:pPr>
                    <w:pStyle w:val="null3"/>
                    <w:spacing w:before="105" w:after="120"/>
                    <w:ind w:firstLine="240"/>
                    <w:jc w:val="both"/>
                  </w:pPr>
                  <w:r>
                    <w:rPr>
                      <w:rFonts w:ascii="宋体" w:hAnsi="宋体" w:cs="宋体" w:eastAsia="宋体"/>
                      <w:sz w:val="24"/>
                    </w:rPr>
                    <w:t>3、符合GB22921-</w:t>
                  </w:r>
                  <w:r>
                    <w:rPr>
                      <w:rFonts w:ascii="宋体" w:hAnsi="宋体" w:cs="宋体" w:eastAsia="宋体"/>
                      <w:sz w:val="24"/>
                    </w:rPr>
                    <w:t>2021</w:t>
                  </w:r>
                  <w:r>
                    <w:rPr>
                      <w:rFonts w:ascii="宋体" w:hAnsi="宋体" w:cs="宋体" w:eastAsia="宋体"/>
                      <w:sz w:val="24"/>
                    </w:rPr>
                    <w:t>食品国家安全标准</w:t>
                  </w:r>
                  <w:r>
                    <w:rPr>
                      <w:rFonts w:ascii="宋体" w:hAnsi="宋体" w:cs="宋体" w:eastAsia="宋体"/>
                      <w:sz w:val="24"/>
                    </w:rPr>
                    <w:t>食品中致病菌限量；</w:t>
                  </w:r>
                </w:p>
                <w:p>
                  <w:pPr>
                    <w:pStyle w:val="null3"/>
                    <w:spacing w:before="105" w:after="120"/>
                    <w:ind w:firstLine="240"/>
                    <w:jc w:val="both"/>
                  </w:pPr>
                  <w:r>
                    <w:rPr>
                      <w:rFonts w:ascii="宋体" w:hAnsi="宋体" w:cs="宋体" w:eastAsia="宋体"/>
                      <w:sz w:val="24"/>
                    </w:rPr>
                    <w:t>4、</w:t>
                  </w:r>
                  <w:r>
                    <w:rPr>
                      <w:rFonts w:ascii="宋体" w:hAnsi="宋体" w:cs="宋体" w:eastAsia="宋体"/>
                      <w:sz w:val="24"/>
                    </w:rPr>
                    <w:t>符合</w:t>
                  </w:r>
                  <w:r>
                    <w:rPr>
                      <w:rFonts w:ascii="宋体" w:hAnsi="宋体" w:cs="宋体" w:eastAsia="宋体"/>
                      <w:sz w:val="24"/>
                    </w:rPr>
                    <w:t>GB7718-2011食品安全国家标准预包装食品标签通则</w:t>
                  </w:r>
                  <w:r>
                    <w:rPr>
                      <w:rFonts w:ascii="宋体" w:hAnsi="宋体" w:cs="宋体" w:eastAsia="宋体"/>
                      <w:sz w:val="24"/>
                    </w:rPr>
                    <w:t>；</w:t>
                  </w:r>
                </w:p>
                <w:p>
                  <w:pPr>
                    <w:pStyle w:val="null3"/>
                    <w:ind w:firstLine="240"/>
                    <w:jc w:val="both"/>
                  </w:pPr>
                  <w:r>
                    <w:rPr>
                      <w:rFonts w:ascii="宋体" w:hAnsi="宋体" w:cs="宋体" w:eastAsia="宋体"/>
                      <w:sz w:val="24"/>
                    </w:rPr>
                    <w:t>5、符合GB4789.2-</w:t>
                  </w:r>
                  <w:r>
                    <w:rPr>
                      <w:rFonts w:ascii="宋体" w:hAnsi="宋体" w:cs="宋体" w:eastAsia="宋体"/>
                      <w:sz w:val="24"/>
                    </w:rPr>
                    <w:t>2022</w:t>
                  </w:r>
                  <w:r>
                    <w:rPr>
                      <w:rFonts w:ascii="宋体" w:hAnsi="宋体" w:cs="宋体" w:eastAsia="宋体"/>
                      <w:sz w:val="24"/>
                    </w:rPr>
                    <w:t>菌落总数指标微生物限量；</w:t>
                  </w:r>
                </w:p>
                <w:p>
                  <w:pPr>
                    <w:pStyle w:val="null3"/>
                    <w:ind w:firstLine="240"/>
                    <w:jc w:val="both"/>
                  </w:pPr>
                  <w:r>
                    <w:rPr>
                      <w:rFonts w:ascii="宋体" w:hAnsi="宋体" w:cs="宋体" w:eastAsia="宋体"/>
                      <w:sz w:val="24"/>
                    </w:rPr>
                    <w:t>6、所送麦片的检验报告与样品的检验报告一致</w:t>
                  </w:r>
                  <w:r>
                    <w:rPr>
                      <w:rFonts w:ascii="宋体" w:hAnsi="宋体" w:cs="宋体" w:eastAsia="宋体"/>
                      <w:sz w:val="24"/>
                    </w:rPr>
                    <w:t>；</w:t>
                  </w:r>
                </w:p>
                <w:p>
                  <w:pPr>
                    <w:pStyle w:val="null3"/>
                    <w:ind w:firstLine="240"/>
                    <w:jc w:val="both"/>
                  </w:pPr>
                  <w:r>
                    <w:rPr>
                      <w:rFonts w:ascii="宋体" w:hAnsi="宋体" w:cs="宋体" w:eastAsia="宋体"/>
                      <w:sz w:val="24"/>
                    </w:rPr>
                    <w:t>7、每袋净含量</w:t>
                  </w:r>
                  <w:r>
                    <w:rPr>
                      <w:rFonts w:ascii="宋体" w:hAnsi="宋体" w:cs="宋体" w:eastAsia="宋体"/>
                      <w:sz w:val="24"/>
                    </w:rPr>
                    <w:t>≥</w:t>
                  </w:r>
                  <w:r>
                    <w:rPr>
                      <w:rFonts w:ascii="宋体" w:hAnsi="宋体" w:cs="宋体" w:eastAsia="宋体"/>
                      <w:sz w:val="24"/>
                    </w:rPr>
                    <w:t>800</w:t>
                  </w:r>
                  <w:r>
                    <w:rPr>
                      <w:rFonts w:ascii="宋体" w:hAnsi="宋体" w:cs="宋体" w:eastAsia="宋体"/>
                      <w:sz w:val="24"/>
                    </w:rPr>
                    <w:t>g</w:t>
                  </w:r>
                  <w:r>
                    <w:rPr>
                      <w:rFonts w:ascii="宋体" w:hAnsi="宋体" w:cs="宋体" w:eastAsia="宋体"/>
                      <w:sz w:val="24"/>
                    </w:rPr>
                    <w:t>。</w:t>
                  </w:r>
                </w:p>
                <w:p>
                  <w:pPr>
                    <w:pStyle w:val="null3"/>
                    <w:ind w:firstLine="240"/>
                    <w:jc w:val="both"/>
                  </w:pPr>
                  <w:r>
                    <w:rPr>
                      <w:rFonts w:ascii="宋体" w:hAnsi="宋体" w:cs="宋体" w:eastAsia="宋体"/>
                      <w:sz w:val="24"/>
                    </w:rPr>
                    <w:t>注：需提供第三方检测机构出具的检测报告复印件加盖供应商鲜章。</w:t>
                  </w:r>
                </w:p>
              </w:tc>
            </w:tr>
          </w:tbl>
          <w:p/>
        </w:tc>
      </w:tr>
    </w:tbl>
    <w:p>
      <w:pPr>
        <w:pStyle w:val="null3"/>
      </w:pPr>
    </w:p>
    <w:p>
      <w:pPr>
        <w:pStyle w:val="null3"/>
      </w:pPr>
      <w:r>
        <w:rPr/>
        <w:t>标的名称：坚果礼盒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20"/>
                    <w:ind w:firstLine="240"/>
                    <w:jc w:val="both"/>
                  </w:pPr>
                  <w:r>
                    <w:rPr>
                      <w:rFonts w:ascii="宋体" w:hAnsi="宋体" w:cs="宋体" w:eastAsia="宋体"/>
                      <w:sz w:val="24"/>
                    </w:rPr>
                    <w:t>1、符合GB/T22165-2022标准规定；</w:t>
                  </w:r>
                </w:p>
                <w:p>
                  <w:pPr>
                    <w:pStyle w:val="null3"/>
                    <w:spacing w:before="105" w:after="120"/>
                    <w:ind w:firstLine="240"/>
                    <w:jc w:val="both"/>
                  </w:pPr>
                  <w:r>
                    <w:rPr>
                      <w:rFonts w:ascii="宋体" w:hAnsi="宋体" w:cs="宋体" w:eastAsia="宋体"/>
                      <w:sz w:val="24"/>
                    </w:rPr>
                    <w:t>2、符合GB/T191包装储运图示标志；</w:t>
                  </w:r>
                </w:p>
                <w:p>
                  <w:pPr>
                    <w:pStyle w:val="null3"/>
                    <w:spacing w:before="105" w:after="120"/>
                    <w:ind w:firstLine="240"/>
                    <w:jc w:val="both"/>
                  </w:pPr>
                  <w:r>
                    <w:rPr>
                      <w:rFonts w:ascii="宋体" w:hAnsi="宋体" w:cs="宋体" w:eastAsia="宋体"/>
                      <w:sz w:val="24"/>
                    </w:rPr>
                    <w:t>3、符合GB2760-2011食品添加剂使用标准；</w:t>
                  </w:r>
                </w:p>
                <w:p>
                  <w:pPr>
                    <w:pStyle w:val="null3"/>
                    <w:ind w:firstLine="240"/>
                    <w:jc w:val="both"/>
                  </w:pPr>
                  <w:r>
                    <w:rPr>
                      <w:rFonts w:ascii="宋体" w:hAnsi="宋体" w:cs="宋体" w:eastAsia="宋体"/>
                      <w:sz w:val="24"/>
                    </w:rPr>
                    <w:t>4、符合GB/T4789</w:t>
                  </w:r>
                  <w:r>
                    <w:rPr>
                      <w:rFonts w:ascii="宋体" w:hAnsi="宋体" w:cs="宋体" w:eastAsia="宋体"/>
                      <w:sz w:val="24"/>
                    </w:rPr>
                    <w:t>.2-2022</w:t>
                  </w:r>
                  <w:r>
                    <w:rPr>
                      <w:rFonts w:ascii="宋体" w:hAnsi="宋体" w:cs="宋体" w:eastAsia="宋体"/>
                      <w:sz w:val="24"/>
                    </w:rPr>
                    <w:t>食品卫生微生物学检验；</w:t>
                  </w:r>
                </w:p>
                <w:p>
                  <w:pPr>
                    <w:pStyle w:val="null3"/>
                    <w:spacing w:before="105" w:after="120"/>
                    <w:ind w:firstLine="240"/>
                    <w:jc w:val="both"/>
                  </w:pPr>
                  <w:r>
                    <w:rPr>
                      <w:rFonts w:ascii="宋体" w:hAnsi="宋体" w:cs="宋体" w:eastAsia="宋体"/>
                      <w:sz w:val="24"/>
                    </w:rPr>
                    <w:t>5、包装内至少含如下品种：</w:t>
                  </w:r>
                  <w:r>
                    <w:rPr>
                      <w:rFonts w:ascii="宋体" w:hAnsi="宋体" w:cs="宋体" w:eastAsia="宋体"/>
                      <w:sz w:val="24"/>
                    </w:rPr>
                    <w:t>开心果</w:t>
                  </w:r>
                  <w:r>
                    <w:rPr>
                      <w:rFonts w:ascii="宋体" w:hAnsi="宋体" w:cs="宋体" w:eastAsia="宋体"/>
                      <w:sz w:val="24"/>
                    </w:rPr>
                    <w:t>≥180g，巴旦木≥1</w:t>
                  </w:r>
                  <w:r>
                    <w:rPr>
                      <w:rFonts w:ascii="宋体" w:hAnsi="宋体" w:cs="宋体" w:eastAsia="宋体"/>
                      <w:sz w:val="24"/>
                    </w:rPr>
                    <w:t>1</w:t>
                  </w:r>
                  <w:r>
                    <w:rPr>
                      <w:rFonts w:ascii="宋体" w:hAnsi="宋体" w:cs="宋体" w:eastAsia="宋体"/>
                      <w:sz w:val="24"/>
                    </w:rPr>
                    <w:t>0g，碧根果≥120g，鱼皮花生≥200g，夏威夷果≥200g，五香瓜子≥150g，纸皮核桃≥200g，葡萄干≥150g</w:t>
                  </w:r>
                  <w:r>
                    <w:rPr>
                      <w:rFonts w:ascii="宋体" w:hAnsi="宋体" w:cs="宋体" w:eastAsia="宋体"/>
                      <w:sz w:val="24"/>
                    </w:rPr>
                    <w:t>。</w:t>
                  </w:r>
                </w:p>
                <w:p>
                  <w:pPr>
                    <w:pStyle w:val="null3"/>
                    <w:spacing w:before="105" w:after="120"/>
                    <w:ind w:firstLine="240"/>
                    <w:jc w:val="both"/>
                  </w:pPr>
                  <w:r>
                    <w:rPr>
                      <w:rFonts w:ascii="宋体" w:hAnsi="宋体" w:cs="宋体" w:eastAsia="宋体"/>
                      <w:sz w:val="24"/>
                    </w:rPr>
                    <w:t>注：需</w:t>
                  </w:r>
                  <w:r>
                    <w:rPr>
                      <w:rFonts w:ascii="宋体" w:hAnsi="宋体" w:cs="宋体" w:eastAsia="宋体"/>
                      <w:sz w:val="24"/>
                    </w:rPr>
                    <w:t>提供</w:t>
                  </w:r>
                  <w:r>
                    <w:rPr>
                      <w:rFonts w:ascii="宋体" w:hAnsi="宋体" w:cs="宋体" w:eastAsia="宋体"/>
                      <w:sz w:val="24"/>
                    </w:rPr>
                    <w:t>坚果礼盒</w:t>
                  </w:r>
                  <w:r>
                    <w:rPr>
                      <w:rFonts w:ascii="宋体" w:hAnsi="宋体" w:cs="宋体" w:eastAsia="宋体"/>
                      <w:sz w:val="24"/>
                    </w:rPr>
                    <w:t>中所涉及产品的第三方检测机构出具的检测报告复印件加盖供应商鲜章。</w:t>
                  </w:r>
                </w:p>
              </w:tc>
            </w:tr>
          </w:tbl>
          <w:p/>
        </w:tc>
      </w:tr>
    </w:tbl>
    <w:p>
      <w:pPr>
        <w:pStyle w:val="null3"/>
      </w:pPr>
    </w:p>
    <w:p>
      <w:pPr>
        <w:pStyle w:val="null3"/>
      </w:pPr>
      <w:r>
        <w:rPr/>
        <w:t>标的名称：组合糖果包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1、外观色泽：符合相应产品的外观特性，具有正常产品的色泽。滋味、气味：具有产品应有的滋味和气味，无异嗅，无异味。状态：符合相应产品的特性，无霉变，无正常视力可见外来异物；</w:t>
                  </w:r>
                </w:p>
                <w:p>
                  <w:pPr>
                    <w:pStyle w:val="null3"/>
                    <w:ind w:firstLine="240"/>
                    <w:jc w:val="both"/>
                  </w:pPr>
                  <w:r>
                    <w:rPr>
                      <w:rFonts w:ascii="宋体" w:hAnsi="宋体" w:cs="宋体" w:eastAsia="宋体"/>
                      <w:sz w:val="24"/>
                    </w:rPr>
                    <w:t>2、巧克力及巧克力制品标准：GB/T 19343-2016 ；</w:t>
                  </w:r>
                </w:p>
                <w:p>
                  <w:pPr>
                    <w:pStyle w:val="null3"/>
                    <w:ind w:firstLine="240"/>
                    <w:jc w:val="both"/>
                  </w:pPr>
                  <w:r>
                    <w:rPr>
                      <w:rFonts w:ascii="宋体" w:hAnsi="宋体" w:cs="宋体" w:eastAsia="宋体"/>
                      <w:sz w:val="24"/>
                    </w:rPr>
                    <w:t>3、糖果硬质糖果标准：SB/T 10018-2017 ；</w:t>
                  </w:r>
                </w:p>
                <w:p>
                  <w:pPr>
                    <w:pStyle w:val="null3"/>
                    <w:ind w:firstLine="240"/>
                    <w:jc w:val="both"/>
                  </w:pPr>
                  <w:r>
                    <w:rPr>
                      <w:rFonts w:ascii="宋体" w:hAnsi="宋体" w:cs="宋体" w:eastAsia="宋体"/>
                      <w:sz w:val="24"/>
                    </w:rPr>
                    <w:t>4、充气糖果标准：SB/T 10104-2017 ；</w:t>
                  </w:r>
                </w:p>
                <w:p>
                  <w:pPr>
                    <w:pStyle w:val="null3"/>
                    <w:ind w:firstLine="240"/>
                    <w:jc w:val="both"/>
                  </w:pPr>
                  <w:r>
                    <w:rPr>
                      <w:rFonts w:ascii="宋体" w:hAnsi="宋体" w:cs="宋体" w:eastAsia="宋体"/>
                      <w:sz w:val="24"/>
                    </w:rPr>
                    <w:t>5、SB/T 10022-2017 糖果奶糖糖果；</w:t>
                  </w:r>
                </w:p>
                <w:p>
                  <w:pPr>
                    <w:pStyle w:val="null3"/>
                    <w:ind w:firstLine="240"/>
                    <w:jc w:val="both"/>
                  </w:pPr>
                  <w:r>
                    <w:rPr>
                      <w:rFonts w:ascii="宋体" w:hAnsi="宋体" w:cs="宋体" w:eastAsia="宋体"/>
                      <w:sz w:val="24"/>
                    </w:rPr>
                    <w:t>6、SB/T 10019-2017 糖果酥质糖果；</w:t>
                  </w:r>
                </w:p>
                <w:p>
                  <w:pPr>
                    <w:pStyle w:val="null3"/>
                    <w:spacing w:before="105" w:after="120"/>
                    <w:ind w:firstLine="240"/>
                    <w:jc w:val="both"/>
                  </w:pPr>
                  <w:r>
                    <w:rPr>
                      <w:rFonts w:ascii="宋体" w:hAnsi="宋体" w:cs="宋体" w:eastAsia="宋体"/>
                      <w:sz w:val="24"/>
                    </w:rPr>
                    <w:t>（根据糖果包内容符合相应规定）</w:t>
                  </w:r>
                </w:p>
                <w:p>
                  <w:pPr>
                    <w:pStyle w:val="null3"/>
                    <w:ind w:firstLine="240"/>
                    <w:jc w:val="both"/>
                  </w:pPr>
                  <w:r>
                    <w:rPr>
                      <w:rFonts w:ascii="宋体" w:hAnsi="宋体" w:cs="宋体" w:eastAsia="宋体"/>
                      <w:sz w:val="24"/>
                    </w:rPr>
                    <w:t>7、GB 2762-</w:t>
                  </w:r>
                  <w:r>
                    <w:rPr>
                      <w:rFonts w:ascii="宋体" w:hAnsi="宋体" w:cs="宋体" w:eastAsia="宋体"/>
                      <w:sz w:val="24"/>
                    </w:rPr>
                    <w:t>2022</w:t>
                  </w:r>
                  <w:r>
                    <w:rPr>
                      <w:rFonts w:ascii="宋体" w:hAnsi="宋体" w:cs="宋体" w:eastAsia="宋体"/>
                      <w:sz w:val="24"/>
                    </w:rPr>
                    <w:t xml:space="preserve"> </w:t>
                  </w:r>
                  <w:r>
                    <w:rPr>
                      <w:rFonts w:ascii="宋体" w:hAnsi="宋体" w:cs="宋体" w:eastAsia="宋体"/>
                      <w:sz w:val="24"/>
                    </w:rPr>
                    <w:t>食品安全国家标准食品中污染物限量的规定；</w:t>
                  </w:r>
                </w:p>
                <w:p>
                  <w:pPr>
                    <w:pStyle w:val="null3"/>
                    <w:ind w:firstLine="240"/>
                    <w:jc w:val="both"/>
                  </w:pPr>
                  <w:r>
                    <w:rPr>
                      <w:rFonts w:ascii="宋体" w:hAnsi="宋体" w:cs="宋体" w:eastAsia="宋体"/>
                      <w:sz w:val="24"/>
                    </w:rPr>
                    <w:t>8、GB7718-2011食品安全国家标准预包装食品标签通则。</w:t>
                  </w:r>
                </w:p>
                <w:p>
                  <w:pPr>
                    <w:pStyle w:val="null3"/>
                    <w:ind w:firstLine="240"/>
                    <w:jc w:val="both"/>
                  </w:pPr>
                  <w:r>
                    <w:rPr>
                      <w:rFonts w:ascii="宋体" w:hAnsi="宋体" w:cs="宋体" w:eastAsia="宋体"/>
                      <w:sz w:val="24"/>
                    </w:rPr>
                    <w:t>9、符合GB 29921-20</w:t>
                  </w:r>
                  <w:r>
                    <w:rPr>
                      <w:rFonts w:ascii="宋体" w:hAnsi="宋体" w:cs="宋体" w:eastAsia="宋体"/>
                      <w:sz w:val="24"/>
                    </w:rPr>
                    <w:t>21</w:t>
                  </w:r>
                  <w:r>
                    <w:rPr>
                      <w:rFonts w:ascii="宋体" w:hAnsi="宋体" w:cs="宋体" w:eastAsia="宋体"/>
                      <w:sz w:val="24"/>
                    </w:rPr>
                    <w:t>食品安全国家标准食品中致病菌限量；</w:t>
                  </w:r>
                </w:p>
                <w:p>
                  <w:pPr>
                    <w:pStyle w:val="null3"/>
                    <w:spacing w:before="105" w:after="120"/>
                    <w:ind w:firstLine="240"/>
                    <w:jc w:val="both"/>
                  </w:pPr>
                  <w:r>
                    <w:rPr>
                      <w:rFonts w:ascii="宋体" w:hAnsi="宋体" w:cs="宋体" w:eastAsia="宋体"/>
                      <w:sz w:val="24"/>
                    </w:rPr>
                    <w:t>10、</w:t>
                  </w:r>
                  <w:r>
                    <w:rPr>
                      <w:rFonts w:ascii="宋体" w:hAnsi="宋体" w:cs="宋体" w:eastAsia="宋体"/>
                      <w:sz w:val="24"/>
                    </w:rPr>
                    <w:t>所送糖果的检验报告与样品的检验报告一致</w:t>
                  </w:r>
                  <w:r>
                    <w:rPr>
                      <w:rFonts w:ascii="宋体" w:hAnsi="宋体" w:cs="宋体" w:eastAsia="宋体"/>
                      <w:sz w:val="24"/>
                    </w:rPr>
                    <w:t>；</w:t>
                  </w:r>
                </w:p>
                <w:p>
                  <w:pPr>
                    <w:pStyle w:val="null3"/>
                    <w:spacing w:before="105" w:after="120"/>
                    <w:ind w:firstLine="240"/>
                    <w:jc w:val="both"/>
                  </w:pPr>
                  <w:r>
                    <w:rPr>
                      <w:rFonts w:ascii="宋体" w:hAnsi="宋体" w:cs="宋体" w:eastAsia="宋体"/>
                      <w:sz w:val="24"/>
                    </w:rPr>
                    <w:t>11、每袋净含量</w:t>
                  </w:r>
                  <w:r>
                    <w:rPr>
                      <w:rFonts w:ascii="宋体" w:hAnsi="宋体" w:cs="宋体" w:eastAsia="宋体"/>
                      <w:sz w:val="24"/>
                    </w:rPr>
                    <w:t>≥</w:t>
                  </w:r>
                  <w:r>
                    <w:rPr>
                      <w:rFonts w:ascii="宋体" w:hAnsi="宋体" w:cs="宋体" w:eastAsia="宋体"/>
                      <w:sz w:val="24"/>
                    </w:rPr>
                    <w:t>750</w:t>
                  </w:r>
                  <w:r>
                    <w:rPr>
                      <w:rFonts w:ascii="宋体" w:hAnsi="宋体" w:cs="宋体" w:eastAsia="宋体"/>
                      <w:sz w:val="24"/>
                    </w:rPr>
                    <w:t>g</w:t>
                  </w:r>
                  <w:r>
                    <w:rPr>
                      <w:rFonts w:ascii="宋体" w:hAnsi="宋体" w:cs="宋体" w:eastAsia="宋体"/>
                      <w:sz w:val="24"/>
                    </w:rPr>
                    <w:t>。</w:t>
                  </w:r>
                </w:p>
                <w:p>
                  <w:pPr>
                    <w:pStyle w:val="null3"/>
                    <w:spacing w:before="105" w:after="120"/>
                    <w:jc w:val="both"/>
                  </w:pPr>
                  <w:r>
                    <w:rPr>
                      <w:rFonts w:ascii="宋体" w:hAnsi="宋体" w:cs="宋体" w:eastAsia="宋体"/>
                      <w:sz w:val="24"/>
                    </w:rPr>
                    <w:t>注：需</w:t>
                  </w:r>
                  <w:r>
                    <w:rPr>
                      <w:rFonts w:ascii="宋体" w:hAnsi="宋体" w:cs="宋体" w:eastAsia="宋体"/>
                      <w:sz w:val="24"/>
                    </w:rPr>
                    <w:t>提供组合糖果包中所涉及产品的第三方检测机构出具的检测报告复印件加盖供应商鲜章。</w:t>
                  </w:r>
                </w:p>
              </w:tc>
            </w:tr>
          </w:tbl>
          <w:p/>
        </w:tc>
      </w:tr>
    </w:tbl>
    <w:p>
      <w:pPr>
        <w:pStyle w:val="null3"/>
        <w:outlineLvl w:val="2"/>
      </w:pPr>
      <w:r>
        <w:rPr>
          <w:b/>
          <w:sz w:val="28"/>
        </w:rPr>
        <w:t>3.4、商务要求</w:t>
      </w:r>
    </w:p>
    <w:p>
      <w:pPr>
        <w:pStyle w:val="null3"/>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 xml:space="preserve"> 自合同签订之日起5日</w:t>
      </w:r>
    </w:p>
    <w:p>
      <w:pPr>
        <w:pStyle w:val="null3"/>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供应商按照采购人要求，将物品配送至采购人要求所在地。</w:t>
      </w:r>
    </w:p>
    <w:p>
      <w:pPr>
        <w:pStyle w:val="null3"/>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一次付清</w:t>
      </w:r>
    </w:p>
    <w:p>
      <w:pPr>
        <w:pStyle w:val="null3"/>
        <w:outlineLvl w:val="3"/>
      </w:pPr>
      <w:r>
        <w:rPr>
          <w:b/>
          <w:sz w:val="24"/>
        </w:rPr>
        <w:t>3.4.4支付约定</w:t>
      </w:r>
    </w:p>
    <w:p>
      <w:pPr>
        <w:pStyle w:val="null3"/>
      </w:pPr>
    </w:p>
    <w:p>
      <w:pPr>
        <w:pStyle w:val="null3"/>
      </w:pPr>
    </w:p>
    <w:p>
      <w:pPr>
        <w:pStyle w:val="null3"/>
      </w:pPr>
    </w:p>
    <w:p>
      <w:pPr>
        <w:pStyle w:val="null3"/>
      </w:pPr>
      <w:r>
        <w:rPr/>
        <w:t>采购包1：</w:t>
      </w:r>
      <w:r>
        <w:rPr/>
        <w:t xml:space="preserve"> 付款条件说明： </w:t>
      </w:r>
      <w:r>
        <w:rPr/>
        <w:t>供应商向采购人出具合格的检测报告和合法有效完整的完税发票及凭证资料</w:t>
      </w:r>
      <w:r>
        <w:rPr/>
        <w:t xml:space="preserve"> ，达到付款条件起 </w:t>
      </w:r>
      <w:r>
        <w:rPr/>
        <w:t>20</w:t>
      </w:r>
      <w:r>
        <w:rPr/>
        <w:t xml:space="preserve"> 日内，支付合同总金额的 </w:t>
      </w:r>
      <w:r>
        <w:rPr/>
        <w:t>100.00</w:t>
      </w:r>
      <w:r>
        <w:rPr/>
        <w:t>%。</w:t>
      </w:r>
    </w:p>
    <w:p>
      <w:pPr>
        <w:pStyle w:val="null3"/>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成交供应商与采购人严格按照《财政部关于进一步加强政府采购需求和履约验收管理的指导意见》（财库〔2016〕205号）和《绵阳市财政局关于进一步 做好政府采购项目履约验收工作的通知》(绵财采〔2021〕15号)文件的要求进行验收；政府采购项目履约验收工作由采购单位负责。</w:t>
      </w:r>
    </w:p>
    <w:p>
      <w:pPr>
        <w:pStyle w:val="null3"/>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具体以双方合同约定为准。</w:t>
      </w:r>
    </w:p>
    <w:p>
      <w:pPr>
        <w:pStyle w:val="null3"/>
        <w:outlineLvl w:val="3"/>
      </w:pPr>
      <w:r>
        <w:rPr>
          <w:b/>
          <w:sz w:val="24"/>
        </w:rPr>
        <w:t>3.4.8违约责任及解决争议的方法</w:t>
      </w:r>
    </w:p>
    <w:p>
      <w:pPr>
        <w:pStyle w:val="null3"/>
      </w:pPr>
    </w:p>
    <w:p>
      <w:pPr>
        <w:pStyle w:val="null3"/>
      </w:pPr>
    </w:p>
    <w:p>
      <w:pPr>
        <w:pStyle w:val="null3"/>
      </w:pPr>
    </w:p>
    <w:p>
      <w:pPr>
        <w:pStyle w:val="null3"/>
      </w:pPr>
      <w:r>
        <w:rPr/>
        <w:t>采购包1：</w:t>
      </w:r>
    </w:p>
    <w:p>
      <w:pPr>
        <w:pStyle w:val="null3"/>
      </w:pPr>
      <w:r>
        <w:rPr/>
        <w:t>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解决合同纠纷的方式 1．在执行本合同中发生的或与本合同有关的争端，双方应通过友好协商解决，经协商在XX天内不能达成协议时，应提交合同履行地人民法院诉讼解决。 2．仲裁裁决应为最终决定，并对双方具有约束力。 3．除另有裁决外，仲裁费应由败诉方负担。 4．在仲裁期间，除正在进行仲裁部分外，合同其他部分继续执行。</w:t>
      </w:r>
    </w:p>
    <w:p>
      <w:pPr>
        <w:pStyle w:val="null3"/>
        <w:jc w:val="left"/>
        <w:outlineLvl w:val="3"/>
      </w:pPr>
      <w:r>
        <w:rPr>
          <w:b/>
          <w:sz w:val="24"/>
        </w:rPr>
        <w:t>3.5其他要求</w:t>
      </w:r>
    </w:p>
    <w:p>
      <w:pPr>
        <w:pStyle w:val="null3"/>
      </w:pPr>
    </w:p>
    <w:p>
      <w:pPr>
        <w:pStyle w:val="null3"/>
      </w:pPr>
    </w:p>
    <w:p>
      <w:pPr>
        <w:pStyle w:val="null3"/>
      </w:pPr>
    </w:p>
    <w:p>
      <w:pPr>
        <w:pStyle w:val="null3"/>
      </w:pPr>
      <w:r>
        <w:rPr/>
        <w:t>采购包1：</w:t>
      </w:r>
    </w:p>
    <w:p>
      <w:pPr>
        <w:pStyle w:val="null3"/>
      </w:pPr>
      <w:r>
        <w:rPr/>
        <w:t>1、配送完成时间：2024年2月2日前完成所有货品配送。 2、供应商按照采购人要求，将物品配送至采购人要求所在地。 ★3、产品运输、搬运、配送等过程中的安全责任由供应商自行承担（实质性要求，投标供应商应在响应文件中单独提供承诺函，格式自拟）。 4、供货过程中，采购方对所供货物进行抽检，抽检合格后才能发放到慰问对象手中。 ★5、项目组织实施方案的编制要求（实质性要求） 5.1进度计划包含但不限于：①总进度计划安排；②涉及内容进度计划安排的横道图或网络图；③所涉及慰问物资的交货（含配送）计划；④进度控制流程；⑤影响交货的因素及赶工措施等五个方面。 5.2质量保证措施包含但不限于本项目的：①技术组织措施；②质量保证体系；③质量目标及质量控制的保证措施；④质量管理制度及检查制度；⑤所有产品质保期服务方案五个方面。 5.3安全保证措施包含但不限于：①安全管理体系；②安全教育及培训计划；③安全技术措施；④应急预案的方针与原则；⑤重点难点环节控制措施；⑥应急保证措施；⑦应急响应小组结构；⑧应急事故发生处理流程；⑨应急设备配置等九个方面。 ★6、供应商所提供的大米、食用油等所剩质保期均不低于保质期的三分之二（实质性要求，投标供应商应在响应文件中单独提供承诺函，格式自拟）。 ★7、产品质保要求：质保期内出现有产品质量或食品安全责任由供应商自行承担（实质性要求，投标供应商应在响应文件中单独提供承诺函，格式自拟）。 ★8、供应商在中标后必须按招标文件要求与甲方签订合同，如因拒不签订合同放弃中标，因此产生的一切经济及法律责任全部由中标供应商承担。（实质性要求，投标供应商应在响应文件中单独提供承诺函，格式自拟）。 注：1.供应商须满足招标项目的技术规格和服务要求（服务等于或高于本招标文件要求的，都视作满足招标文件的要求）。 2.本项目的实质性要求投标人必须满足，否则视为无效投标。 ★样品要求（实质性要求） 1、样品要求： 1.样品清单一套：长粒香一袋（≥5kg）、菜籽油一桶（≥2.5L）、雪饼一袋（≥520g）、麦片一袋（≥800g）、坚果礼盒一份（≥1310g）、组合糖果包一份（≥750g）。 2.送样时间：供应商递交响应文件截止时间前。 3.送样地点：四川九夷招标代理有限公司指定地点。 4.样品检验标准：①称重，样品重量与采购文件要求要一致；②供应商提供的样品与投标产品的品牌、型号、规格、重量要一致；③每个所投产品的有效期（质保期）不低于6个月。（所涉及使用工具，供应商自备） 5.其他事项：①所送样品本身为盲样，不能有可以识别供应商的任何标记（现场随机编号，以便评审）。②中标供应商的样品作为验收依据，交货时如货物质量低于样品质量，采购单位有权利拒收。③样品的生产、安装、运输费、保管费等一切费用由供应商自理。④评审结束以后成交供应商自行将样品运送至采购人指定地点，作为履约验收的参考依据，样品由采购人验收完成后将样品退还于成交供应商。未成交供应商的样品由评标小组决定是否交采购人封存，待无质疑后予以退还。⑤所有样品须提供第三方检测机构出具的检测报告复印件加盖供应商鲜章。 注：1、以上带★为实质性要求，不允许有负偏离，否则做无效处理。 2、供应商中标后，必须在规定时间内与采购单位签订合同，否则将取消中标资格。</w:t>
      </w:r>
    </w:p>
    <w:p>
      <w:pPr>
        <w:pStyle w:val="null3"/>
      </w:pPr>
    </w:p>
    <w:p>
      <w:pPr>
        <w:pStyle w:val="null3"/>
      </w:pPr>
      <w:r>
        <w:rPr/>
        <w:t xml:space="preserve"> </w:t>
      </w:r>
    </w:p>
    <w:p>
      <w:pPr>
        <w:pStyle w:val="null3"/>
        <w:jc w:val="center"/>
        <w:outlineLvl w:val="1"/>
      </w:pPr>
      <w:r>
        <w:rPr>
          <w:b/>
          <w:sz w:val="36"/>
        </w:rPr>
        <w:t>第四章 谈判过程中可实质性变动的内容</w:t>
      </w:r>
    </w:p>
    <w:p>
      <w:pPr>
        <w:pStyle w:val="null3"/>
        <w:ind w:firstLine="480"/>
      </w:pPr>
      <w:r>
        <w:rPr/>
        <w:t xml:space="preserve"> 谈判小组可以根据谈判文件和谈判情况实质性变动第三章“谈判项目技术、服务、商务及其他要求”、第七章“拟签订采购合同文本”，但不得变动谈判文件中的其他内容。实质性变动的内容，须经采购人代表确认。</w:t>
      </w:r>
    </w:p>
    <w:p>
      <w:pPr>
        <w:pStyle w:val="null3"/>
      </w:pPr>
    </w:p>
    <w:p>
      <w:pPr>
        <w:pStyle w:val="null3"/>
      </w:pPr>
      <w:r>
        <w:rPr/>
        <w:t xml:space="preserve"> </w:t>
      </w:r>
    </w:p>
    <w:p>
      <w:pPr>
        <w:pStyle w:val="null3"/>
        <w:jc w:val="center"/>
        <w:outlineLvl w:val="1"/>
      </w:pPr>
      <w:r>
        <w:rPr>
          <w:b/>
          <w:sz w:val="36"/>
        </w:rPr>
        <w:t>第五章 谈判办法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5.2、谈判小组</w:t>
      </w:r>
    </w:p>
    <w:p>
      <w:pPr>
        <w:pStyle w:val="null3"/>
        <w:ind w:firstLine="480"/>
      </w:pPr>
      <w:r>
        <w:rPr/>
        <w:t xml:space="preserve"> 一、本项目谈判小组成员人数应为三人以上单数，其中评审专家不得少于成员总数的三分之二。采购预算金额达到公开招标数额标准的货物和服务采购项目，或者达到招标规模标准的政府采购工程，谈判小组成员人数应为五人以上单数。评审专家是采取随机方式在采购一体化平台的专家库系统（以下简称专家库系统）抽取。技术复杂、专业性较强的采购项目，评审专家中应当包含1名法律专家。</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5.3评审程序</w:t>
      </w:r>
    </w:p>
    <w:p>
      <w:pPr>
        <w:pStyle w:val="null3"/>
        <w:outlineLvl w:val="3"/>
      </w:pPr>
      <w:r>
        <w:rPr>
          <w:b/>
          <w:sz w:val="24"/>
        </w:rPr>
        <w:t xml:space="preserve"> 5.3.1审查谈判文件和停止评审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四川政府采购网公告。采购组织单位认为谈判小组不应当停止评审的的，可以书面报告采购项目同级财政部门依法处理，并提供相关证明材料。</w:t>
      </w:r>
    </w:p>
    <w:p>
      <w:pPr>
        <w:pStyle w:val="null3"/>
        <w:outlineLvl w:val="3"/>
      </w:pPr>
      <w:r>
        <w:rPr>
          <w:b/>
          <w:sz w:val="24"/>
        </w:rPr>
        <w:t>5.3.2资格审查</w:t>
      </w:r>
    </w:p>
    <w:p>
      <w:pPr>
        <w:pStyle w:val="null3"/>
      </w:pPr>
    </w:p>
    <w:p>
      <w:pPr>
        <w:pStyle w:val="null3"/>
      </w:pPr>
    </w:p>
    <w:p>
      <w:pPr>
        <w:pStyle w:val="null3"/>
        <w:ind w:firstLine="480"/>
      </w:pPr>
      <w:r>
        <w:rPr/>
        <w:t xml:space="preserve"> 响应文件解密完成后，由谈判小组对提交响应文件的供应商进行资格审查。谈判小组在资格审查过程中，谈判小组成员对供应商资格是否符合规定存在争议的，应当以少数服从多数的原则处理，但不得违反政府采购法和竞争性谈判文件规定。</w:t>
      </w:r>
    </w:p>
    <w:p>
      <w:pPr>
        <w:pStyle w:val="null3"/>
        <w:outlineLvl w:val="3"/>
      </w:pPr>
      <w:r>
        <w:rPr>
          <w:b/>
          <w:sz w:val="24"/>
        </w:rPr>
        <w:t>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持原件备查）。</w:t>
            </w:r>
          </w:p>
        </w:tc>
        <w:tc>
          <w:tcPr>
            <w:tcW w:type="dxa" w:w="1661"/>
          </w:tcPr>
          <w:p>
            <w:pPr>
              <w:pStyle w:val="null3"/>
            </w:pPr>
            <w:r>
              <w:rPr/>
              <w:t>响应文件封面 供应商应提交的相关资格证明材料 投标（响应）函 供应商基本情况表</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供应商需在项目电子化交易系统中按要求填写《具有良好的商业信誉》完成承诺并进行电子签章。</w:t>
            </w:r>
          </w:p>
        </w:tc>
        <w:tc>
          <w:tcPr>
            <w:tcW w:type="dxa" w:w="1661"/>
          </w:tcPr>
          <w:p>
            <w:pPr>
              <w:pStyle w:val="null3"/>
            </w:pPr>
            <w:r>
              <w:rPr/>
              <w:t>商业信誉承诺书</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供应商是否有健全的财务会计制度：供应商提供2021年至2022年中任意一年的经审计的财务报告，至少包括“三表一注”，即资产负债表、利润表、现金流量表及其附注（复印件，加盖供应商鲜章）或单独提供具有健全的财务会计制度的承诺函（原件扫描件、格式自拟）；属于银行、保险、石油石化、电力、电信等有行业特殊情况的，提供2021年至2022年中任意一年的财务报表（复印件，加盖供应商鲜章）或单独提供具有健全的财务会计制度的承诺函（原件扫描件、格式自拟）；新成立的公司不足1年或非公司性质的供应商提供银行的资信证明或提供承诺函（原件扫描件，加盖供应商鲜章）。</w:t>
            </w:r>
          </w:p>
        </w:tc>
        <w:tc>
          <w:tcPr>
            <w:tcW w:type="dxa" w:w="1661"/>
          </w:tcPr>
          <w:p>
            <w:pPr>
              <w:pStyle w:val="null3"/>
            </w:pPr>
            <w:r>
              <w:rPr/>
              <w:t>供应商认为需要提供的其他证明材料</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由供应商自行对本单位（个人）是否具备履行合同所必需的设备和专业技术能力进行评价。若具有履行合同所必需的设备和专业技术能力的，参与投标时，须出具《履行合同所必需的设备和专业技术能力承诺书》（原件扫描件）。</w:t>
            </w:r>
          </w:p>
        </w:tc>
        <w:tc>
          <w:tcPr>
            <w:tcW w:type="dxa" w:w="1661"/>
          </w:tcPr>
          <w:p>
            <w:pPr>
              <w:pStyle w:val="null3"/>
            </w:pPr>
            <w:r>
              <w:rPr/>
              <w:t>具有履行合同所必需的设备和专业技术能力的承诺书</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应提供近一年内连续不少于3个月的缴纳税收的银行电子回单（票据）、税务部门出具的纳税证明或者纳税申报资料（复印件扫描件，加盖供应商鲜章），供应商近一年内连续不少于3个月的缴纳社保的银行电子回单（票据）或社保部门出具的社保缴纳证明材料（复印件扫描件，加盖供应商鲜章）或单独提供具有依法缴纳税收和社保资金的良好记录的承诺函（原件扫描件、格式自拟）；新成立公司不足6个月或自然人，供应商在参加政府采购活动时做出承诺（原件扫描件，格式见附件）。</w:t>
            </w:r>
          </w:p>
        </w:tc>
        <w:tc>
          <w:tcPr>
            <w:tcW w:type="dxa" w:w="1661"/>
          </w:tcPr>
          <w:p>
            <w:pPr>
              <w:pStyle w:val="null3"/>
            </w:pPr>
            <w:r>
              <w:rPr/>
              <w:t>供应商认为需要提供的其他证明材料 具有依法缴纳税收和社会保障资金良好记录的承诺书</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供应商需在项目电子化交易系统中按要求填写《没有重大违法记录的书面声明》完成承诺并进行电子签章。</w:t>
            </w:r>
          </w:p>
        </w:tc>
        <w:tc>
          <w:tcPr>
            <w:tcW w:type="dxa" w:w="1661"/>
          </w:tcPr>
          <w:p>
            <w:pPr>
              <w:pStyle w:val="null3"/>
            </w:pPr>
            <w:r>
              <w:rPr/>
              <w:t>没有重大违法记录的书面声明</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outlineLvl w:val="3"/>
      </w:pPr>
      <w:r>
        <w:rPr>
          <w:b/>
          <w:sz w:val="24"/>
        </w:rPr>
        <w:t>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截至投标截止日未被列入失信被执行人、重大税收违法案件当事人名单、政府采购严重违法失信行为记录名单</w:t>
            </w:r>
          </w:p>
        </w:tc>
        <w:tc>
          <w:tcPr>
            <w:tcW w:type="dxa" w:w="3322"/>
          </w:tcPr>
          <w:p>
            <w:pPr>
              <w:pStyle w:val="null3"/>
            </w:pPr>
            <w:r>
              <w:rPr/>
              <w:t>截至投标截止日未被列入失信被执行人、重大税收违法案件当事人名单、政府采购严重违法失信行为记录名单</w:t>
            </w:r>
          </w:p>
        </w:tc>
        <w:tc>
          <w:tcPr>
            <w:tcW w:type="dxa" w:w="1661"/>
          </w:tcPr>
          <w:p>
            <w:pPr>
              <w:pStyle w:val="null3"/>
            </w:pPr>
            <w:r>
              <w:rPr/>
              <w:t>供应商认为需要提供的其他证明材料</w:t>
            </w:r>
          </w:p>
        </w:tc>
      </w:tr>
      <w:tr>
        <w:tc>
          <w:tcPr>
            <w:tcW w:type="dxa" w:w="831"/>
          </w:tcPr>
          <w:p>
            <w:pPr>
              <w:pStyle w:val="null3"/>
            </w:pPr>
            <w:r>
              <w:rPr/>
              <w:t>2</w:t>
            </w:r>
          </w:p>
        </w:tc>
        <w:tc>
          <w:tcPr>
            <w:tcW w:type="dxa" w:w="2492"/>
          </w:tcPr>
          <w:p>
            <w:pPr>
              <w:pStyle w:val="null3"/>
            </w:pPr>
            <w:r>
              <w:rPr/>
              <w:t>投标人单位及其现任法定代表人/主要负责人不得具有行贿犯罪记录</w:t>
            </w:r>
          </w:p>
        </w:tc>
        <w:tc>
          <w:tcPr>
            <w:tcW w:type="dxa" w:w="3322"/>
          </w:tcPr>
          <w:p>
            <w:pPr>
              <w:pStyle w:val="null3"/>
            </w:pPr>
            <w:r>
              <w:rPr/>
              <w:t>投标人单位及其现任法定代表人/主要负责人不得具有行贿犯罪记录</w:t>
            </w:r>
          </w:p>
        </w:tc>
        <w:tc>
          <w:tcPr>
            <w:tcW w:type="dxa" w:w="1661"/>
          </w:tcPr>
          <w:p>
            <w:pPr>
              <w:pStyle w:val="null3"/>
            </w:pPr>
            <w:r>
              <w:rPr/>
              <w:t>无行贿犯罪记录的承诺函</w:t>
            </w:r>
          </w:p>
        </w:tc>
      </w:tr>
    </w:tbl>
    <w:p>
      <w:pPr>
        <w:pStyle w:val="null3"/>
        <w:outlineLvl w:val="3"/>
      </w:pPr>
      <w:r>
        <w:rPr>
          <w:b/>
          <w:sz w:val="24"/>
        </w:rPr>
        <w:t>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本采购包属于专门面向中小企业采购，供应商结合自身实际，按照采购文件要求和关联格式要求，提供《中小企业声明函》或者《残疾人福利性单位声明函》、《监狱企业证明文件》进行响应。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pPr>
      <w:r>
        <w:rPr/>
        <w:t xml:space="preserve"> </w:t>
      </w:r>
    </w:p>
    <w:p>
      <w:pPr>
        <w:pStyle w:val="null3"/>
        <w:outlineLvl w:val="3"/>
      </w:pPr>
      <w:r>
        <w:rPr>
          <w:b/>
          <w:sz w:val="24"/>
        </w:rPr>
        <w:t>5.3.3符合性审查</w:t>
      </w:r>
    </w:p>
    <w:p>
      <w:pPr>
        <w:pStyle w:val="null3"/>
        <w:ind w:firstLine="480"/>
      </w:pPr>
      <w:r>
        <w:rPr/>
        <w:t xml:space="preserve"> 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在符合性审查过程中，如果出现谈判小组成员意见不一致的情况，按照少数服从多数的原则确定，但不得违背政府采购基本原则和谈判文件规定。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符合谈判文件的实质性要求</w:t>
            </w:r>
          </w:p>
        </w:tc>
        <w:tc>
          <w:tcPr>
            <w:tcW w:type="dxa" w:w="3322"/>
          </w:tcPr>
          <w:p>
            <w:pPr>
              <w:pStyle w:val="null3"/>
            </w:pPr>
            <w:r>
              <w:rPr/>
              <w:t>1.响应文件的响应报价、计量单位、响应货币、知识产权、响应有效期、合同分包和转包等是否响应谈判文件要求；2.响应文件是否响应谈判文件的商务要求；3.是否响应谈判文件规定的其他实质性内容。</w:t>
            </w:r>
          </w:p>
        </w:tc>
        <w:tc>
          <w:tcPr>
            <w:tcW w:type="dxa" w:w="1661"/>
          </w:tcPr>
          <w:p>
            <w:pPr>
              <w:pStyle w:val="null3"/>
            </w:pPr>
            <w:r>
              <w:rPr/>
              <w:t>供应商认为需要提供的其他证明材料 商务应答表 供应商应提供的符合性审查证明材料</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报价表</w:t>
            </w:r>
          </w:p>
        </w:tc>
      </w:tr>
      <w:tr>
        <w:tc>
          <w:tcPr>
            <w:tcW w:type="dxa" w:w="831"/>
          </w:tcPr>
          <w:p>
            <w:pPr>
              <w:pStyle w:val="null3"/>
            </w:pPr>
            <w:r>
              <w:rPr/>
              <w:t>3</w:t>
            </w:r>
          </w:p>
        </w:tc>
        <w:tc>
          <w:tcPr>
            <w:tcW w:type="dxa" w:w="2492"/>
          </w:tcPr>
          <w:p>
            <w:pPr>
              <w:pStyle w:val="null3"/>
            </w:pPr>
            <w:r>
              <w:rPr/>
              <w:t>技术响应</w:t>
            </w:r>
          </w:p>
        </w:tc>
        <w:tc>
          <w:tcPr>
            <w:tcW w:type="dxa" w:w="3322"/>
          </w:tcPr>
          <w:p>
            <w:pPr>
              <w:pStyle w:val="null3"/>
            </w:pPr>
            <w:r>
              <w:rPr/>
              <w:t>供应商需在项目电子化交易系统中按要求填写《技术服务响应表》并进行电子签章。</w:t>
            </w:r>
          </w:p>
        </w:tc>
        <w:tc>
          <w:tcPr>
            <w:tcW w:type="dxa" w:w="1661"/>
          </w:tcPr>
          <w:p>
            <w:pPr>
              <w:pStyle w:val="null3"/>
            </w:pPr>
            <w:r>
              <w:rPr/>
              <w:t>技术服务响应表</w:t>
            </w:r>
          </w:p>
        </w:tc>
      </w:tr>
      <w:tr>
        <w:tc>
          <w:tcPr>
            <w:tcW w:type="dxa" w:w="831"/>
          </w:tcPr>
          <w:p>
            <w:pPr>
              <w:pStyle w:val="null3"/>
            </w:pPr>
            <w:r>
              <w:rPr/>
              <w:t>4</w:t>
            </w:r>
          </w:p>
        </w:tc>
        <w:tc>
          <w:tcPr>
            <w:tcW w:type="dxa" w:w="2492"/>
          </w:tcPr>
          <w:p>
            <w:pPr>
              <w:pStyle w:val="null3"/>
            </w:pPr>
            <w:r>
              <w:rPr/>
              <w:t>法定代表人身份证明</w:t>
            </w:r>
          </w:p>
        </w:tc>
        <w:tc>
          <w:tcPr>
            <w:tcW w:type="dxa" w:w="3322"/>
          </w:tcPr>
          <w:p>
            <w:pPr>
              <w:pStyle w:val="null3"/>
            </w:pPr>
            <w:r>
              <w:rPr/>
              <w:t xml:space="preserve"> 供应商需在项目电子化交易系统中按要求填写《法定代表人身份证明》并进行电子签章。</w:t>
            </w:r>
          </w:p>
        </w:tc>
        <w:tc>
          <w:tcPr>
            <w:tcW w:type="dxa" w:w="1661"/>
          </w:tcPr>
          <w:p>
            <w:pPr>
              <w:pStyle w:val="null3"/>
            </w:pPr>
            <w:r>
              <w:rPr/>
              <w:t>法定代表人身份证明</w:t>
            </w:r>
          </w:p>
        </w:tc>
      </w:tr>
      <w:tr>
        <w:tc>
          <w:tcPr>
            <w:tcW w:type="dxa" w:w="831"/>
          </w:tcPr>
          <w:p>
            <w:pPr>
              <w:pStyle w:val="null3"/>
            </w:pPr>
            <w:r>
              <w:rPr/>
              <w:t>5</w:t>
            </w:r>
          </w:p>
        </w:tc>
        <w:tc>
          <w:tcPr>
            <w:tcW w:type="dxa" w:w="2492"/>
          </w:tcPr>
          <w:p>
            <w:pPr>
              <w:pStyle w:val="null3"/>
            </w:pPr>
            <w:r>
              <w:rPr/>
              <w:t>授权委托书（如涉及）</w:t>
            </w:r>
          </w:p>
        </w:tc>
        <w:tc>
          <w:tcPr>
            <w:tcW w:type="dxa" w:w="3322"/>
          </w:tcPr>
          <w:p>
            <w:pPr>
              <w:pStyle w:val="null3"/>
            </w:pPr>
            <w:r>
              <w:rPr/>
              <w:t>供应商需在项目电子化交易系统中按要求填写《授权委托书》并进行电子签章。</w:t>
            </w:r>
          </w:p>
        </w:tc>
        <w:tc>
          <w:tcPr>
            <w:tcW w:type="dxa" w:w="1661"/>
          </w:tcPr>
          <w:p>
            <w:pPr>
              <w:pStyle w:val="null3"/>
            </w:pPr>
            <w:r>
              <w:rPr/>
              <w:t>授权委托书</w:t>
            </w:r>
          </w:p>
        </w:tc>
      </w:tr>
      <w:tr>
        <w:tc>
          <w:tcPr>
            <w:tcW w:type="dxa" w:w="831"/>
          </w:tcPr>
          <w:p>
            <w:pPr>
              <w:pStyle w:val="null3"/>
            </w:pPr>
            <w:r>
              <w:rPr/>
              <w:t>6</w:t>
            </w:r>
          </w:p>
        </w:tc>
        <w:tc>
          <w:tcPr>
            <w:tcW w:type="dxa" w:w="2492"/>
          </w:tcPr>
          <w:p>
            <w:pPr>
              <w:pStyle w:val="null3"/>
            </w:pPr>
            <w:r>
              <w:rPr/>
              <w:t>诚信行为声明函</w:t>
            </w:r>
          </w:p>
        </w:tc>
        <w:tc>
          <w:tcPr>
            <w:tcW w:type="dxa" w:w="3322"/>
          </w:tcPr>
          <w:p>
            <w:pPr>
              <w:pStyle w:val="null3"/>
            </w:pPr>
            <w:r>
              <w:rPr/>
              <w:t>供应商需在项目电子化交易系统中按要求填写《诚信行为声明函》完成承诺并进行电子签章。</w:t>
            </w:r>
          </w:p>
        </w:tc>
        <w:tc>
          <w:tcPr>
            <w:tcW w:type="dxa" w:w="1661"/>
          </w:tcPr>
          <w:p>
            <w:pPr>
              <w:pStyle w:val="null3"/>
            </w:pPr>
            <w:r>
              <w:rPr/>
              <w:t>诚信行为声明函</w:t>
            </w:r>
          </w:p>
        </w:tc>
      </w:tr>
      <w:tr>
        <w:tc>
          <w:tcPr>
            <w:tcW w:type="dxa" w:w="831"/>
          </w:tcPr>
          <w:p>
            <w:pPr>
              <w:pStyle w:val="null3"/>
            </w:pPr>
            <w:r>
              <w:rPr/>
              <w:t>7</w:t>
            </w:r>
          </w:p>
        </w:tc>
        <w:tc>
          <w:tcPr>
            <w:tcW w:type="dxa" w:w="2492"/>
          </w:tcPr>
          <w:p>
            <w:pPr>
              <w:pStyle w:val="null3"/>
            </w:pPr>
            <w:r>
              <w:rPr/>
              <w:t>供应商廉政承诺书</w:t>
            </w:r>
          </w:p>
        </w:tc>
        <w:tc>
          <w:tcPr>
            <w:tcW w:type="dxa" w:w="3322"/>
          </w:tcPr>
          <w:p>
            <w:pPr>
              <w:pStyle w:val="null3"/>
            </w:pPr>
            <w:r>
              <w:rPr/>
              <w:t>供应商需在项目电子化交易系统中按要求填写《供应商廉政承诺书》完成承诺并进行电子签章。</w:t>
            </w:r>
          </w:p>
        </w:tc>
        <w:tc>
          <w:tcPr>
            <w:tcW w:type="dxa" w:w="1661"/>
          </w:tcPr>
          <w:p>
            <w:pPr>
              <w:pStyle w:val="null3"/>
            </w:pPr>
            <w:r>
              <w:rPr/>
              <w:t>供应商廉政承诺书</w:t>
            </w:r>
          </w:p>
        </w:tc>
      </w:tr>
      <w:tr>
        <w:tc>
          <w:tcPr>
            <w:tcW w:type="dxa" w:w="831"/>
          </w:tcPr>
          <w:p>
            <w:pPr>
              <w:pStyle w:val="null3"/>
            </w:pPr>
            <w:r>
              <w:rPr/>
              <w:t>8</w:t>
            </w:r>
          </w:p>
        </w:tc>
        <w:tc>
          <w:tcPr>
            <w:tcW w:type="dxa" w:w="2492"/>
          </w:tcPr>
          <w:p>
            <w:pPr>
              <w:pStyle w:val="null3"/>
            </w:pPr>
            <w:r>
              <w:rPr/>
              <w:t>项目组织实施方案</w:t>
            </w:r>
          </w:p>
        </w:tc>
        <w:tc>
          <w:tcPr>
            <w:tcW w:type="dxa" w:w="3322"/>
          </w:tcPr>
          <w:p>
            <w:pPr>
              <w:pStyle w:val="null3"/>
            </w:pPr>
            <w:r>
              <w:rPr/>
              <w:t>供应商需在项目电子化交易系统中按要求编制项目组织实施方案并进行电子签章。</w:t>
            </w:r>
          </w:p>
        </w:tc>
        <w:tc>
          <w:tcPr>
            <w:tcW w:type="dxa" w:w="1661"/>
          </w:tcPr>
          <w:p>
            <w:pPr>
              <w:pStyle w:val="null3"/>
            </w:pPr>
            <w:r>
              <w:rPr/>
              <w:t>供应商认为需要提供的其他证明材料</w:t>
            </w:r>
          </w:p>
        </w:tc>
      </w:tr>
    </w:tbl>
    <w:p>
      <w:pPr>
        <w:pStyle w:val="null3"/>
        <w:outlineLvl w:val="3"/>
      </w:pPr>
      <w:r>
        <w:rPr>
          <w:b/>
          <w:sz w:val="24"/>
        </w:rPr>
        <w:t>5.3.4谈判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七、谈判过程中，谈判的任何一方不得透露与谈判有关的其他供应商的技术资料、价格和其他信息。</w:t>
      </w:r>
    </w:p>
    <w:p>
      <w:pPr>
        <w:pStyle w:val="null3"/>
        <w:ind w:firstLine="480"/>
      </w:pPr>
      <w:r>
        <w:rPr/>
        <w:t xml:space="preserve"> 八、谈判过程中，谈判小组发现或者知晓供应商存在违法行为的，应当谈判报告中予以记录，并向本级财政部门报告，依法应将该供应商响应文件作无效处理的，应当作无效处理。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谈判结束后，谈判小组可以根据谈判情况要求所有实质性响应的供应商在规定时间内进行最后报价。提交最后报价的供应商不得少于3家。有效最后报价的供应商不足的，本次采购活动终止，并发布终止公告。</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 xml:space="preserve"> 四、供应商未在响应文件提交截止时间内提交报价或未按要求进行报价的，视为无效响应，由供应商自行承担不利后果。</w:t>
      </w:r>
    </w:p>
    <w:p>
      <w:pPr>
        <w:pStyle w:val="null3"/>
        <w:ind w:firstLine="480"/>
      </w:pPr>
      <w:r>
        <w:rPr/>
        <w:t>五、供应商未按谈判小组要求在规定时间内提交最后报价的，视为其退出谈判。</w:t>
      </w:r>
    </w:p>
    <w:p>
      <w:pPr>
        <w:pStyle w:val="null3"/>
        <w:ind w:firstLine="480"/>
      </w:pPr>
      <w:r>
        <w:rPr/>
        <w:t>六、最后报价一旦提交后，供应商不得以任何理由撤回。</w:t>
      </w:r>
    </w:p>
    <w:p>
      <w:pPr>
        <w:pStyle w:val="null3"/>
        <w:ind w:firstLine="480"/>
        <w:jc w:val="left"/>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5.3.6价格扣除</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5.3.7解释、澄清、说明的有关问题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5.3.8复核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5.3.9推荐成交候选供应商</w:t>
      </w:r>
    </w:p>
    <w:p>
      <w:pPr>
        <w:pStyle w:val="null3"/>
      </w:pPr>
    </w:p>
    <w:p>
      <w:pPr>
        <w:pStyle w:val="null3"/>
      </w:pPr>
    </w:p>
    <w:p>
      <w:pPr>
        <w:pStyle w:val="null3"/>
      </w:pPr>
      <w:r>
        <w:rPr/>
        <w:t>采购包1：</w:t>
      </w:r>
      <w:r>
        <w:rPr/>
        <w:t>确定3家供应商为成交候选人。</w:t>
      </w:r>
    </w:p>
    <w:p>
      <w:pPr>
        <w:pStyle w:val="null3"/>
        <w:ind w:firstLine="480"/>
        <w:jc w:val="left"/>
      </w:pPr>
      <w:r>
        <w:rPr/>
        <w:t>“本项目”按供应商经评审的最终报价从低到高顺序排列，确定成交候选供应商。最终报价相同的，按供应商提供的优先采购产品认证证书数量由多到少顺序排列；最终报价且提供的优先采购产品认证证书数量相同的并列。</w:t>
      </w:r>
    </w:p>
    <w:p>
      <w:pPr>
        <w:pStyle w:val="null3"/>
        <w:ind w:firstLine="480"/>
        <w:jc w:val="left"/>
      </w:pPr>
      <w:r>
        <w:rPr/>
        <w:t>响应文件满足谈判文件全部实质性要求且最终报价最低的供应商为排名第一的成交候选供应商。</w:t>
      </w:r>
    </w:p>
    <w:p>
      <w:pPr>
        <w:pStyle w:val="null3"/>
        <w:ind w:firstLine="480"/>
        <w:jc w:val="left"/>
      </w:pPr>
      <w:r>
        <w:rPr/>
        <w:t>经评审的最终报价是指对供应商最后报价完成价格修正和落实政府采购政策进行的价格扣除后的报价。</w:t>
      </w:r>
    </w:p>
    <w:p>
      <w:pPr>
        <w:pStyle w:val="null3"/>
        <w:outlineLvl w:val="3"/>
      </w:pPr>
      <w:r>
        <w:rPr>
          <w:b/>
          <w:sz w:val="24"/>
        </w:rPr>
        <w:t>5.3.10编写谈判报告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5.3.11谈判异议处理规则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5.4、终止采购活动情形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5.5、确定成交供应商</w:t>
      </w:r>
    </w:p>
    <w:p>
      <w:pPr>
        <w:pStyle w:val="null3"/>
      </w:pPr>
    </w:p>
    <w:p>
      <w:pPr>
        <w:pStyle w:val="null3"/>
      </w:pPr>
    </w:p>
    <w:p>
      <w:pPr>
        <w:pStyle w:val="null3"/>
      </w:pPr>
      <w:r>
        <w:rPr/>
        <w:t>一、评审结束后，代理机构在评审结束之日起2个工作日内将谈判报告及有关资料送交采购人确定成交供应商。</w:t>
      </w:r>
    </w:p>
    <w:p>
      <w:pPr>
        <w:pStyle w:val="null3"/>
      </w:pPr>
      <w:r>
        <w:rPr/>
        <w:t>二、采购人在收到评审报告后5个工作日内，在评审报告确定的成交候选供应商名单中按顺序确定1名成交供应商。成交候选供应商并列的，由采购人按照谈判文件规定的方式确定成交供应商；招标文件未规定的，采取随机抽取的方式确定。</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outlineLvl w:val="2"/>
      </w:pPr>
      <w:r>
        <w:rPr>
          <w:b/>
          <w:sz w:val="28"/>
        </w:rPr>
        <w:t>5.6、谈判小组成员义务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 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p>
    <w:p>
      <w:pPr>
        <w:pStyle w:val="null3"/>
      </w:pPr>
      <w:r>
        <w:rPr/>
        <w:t xml:space="preserve"> </w:t>
      </w:r>
    </w:p>
    <w:p>
      <w:pPr>
        <w:pStyle w:val="null3"/>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详见附件：供应商基本情况表</w:t>
      </w:r>
    </w:p>
    <w:p>
      <w:pPr>
        <w:pStyle w:val="null3"/>
        <w:ind w:firstLine="960"/>
      </w:pPr>
      <w:r>
        <w:rPr/>
        <w:t>详见附件：商业信誉承诺书</w:t>
      </w:r>
    </w:p>
    <w:p>
      <w:pPr>
        <w:pStyle w:val="null3"/>
        <w:ind w:firstLine="960"/>
      </w:pPr>
      <w:r>
        <w:rPr/>
        <w:t>详见附件：具有依法缴纳税收和社会保障资金良好记录的承诺书</w:t>
      </w:r>
    </w:p>
    <w:p>
      <w:pPr>
        <w:pStyle w:val="null3"/>
        <w:ind w:firstLine="960"/>
      </w:pPr>
      <w:r>
        <w:rPr/>
        <w:t>详见附件：授权委托书</w:t>
      </w:r>
    </w:p>
    <w:p>
      <w:pPr>
        <w:pStyle w:val="null3"/>
        <w:ind w:firstLine="960"/>
      </w:pPr>
      <w:r>
        <w:rPr/>
        <w:t>详见附件：法定代表人身份证明</w:t>
      </w:r>
    </w:p>
    <w:p>
      <w:pPr>
        <w:pStyle w:val="null3"/>
        <w:ind w:firstLine="960"/>
      </w:pPr>
      <w:r>
        <w:rPr/>
        <w:t>详见附件：无行贿犯罪记录的承诺函</w:t>
      </w:r>
    </w:p>
    <w:p>
      <w:pPr>
        <w:pStyle w:val="null3"/>
        <w:ind w:firstLine="960"/>
      </w:pPr>
      <w:r>
        <w:rPr/>
        <w:t>详见附件：诚信行为声明函</w:t>
      </w:r>
    </w:p>
    <w:p>
      <w:pPr>
        <w:pStyle w:val="null3"/>
        <w:ind w:firstLine="960"/>
      </w:pPr>
      <w:r>
        <w:rPr/>
        <w:t>详见附件：具有履行合同所必需的设备和专业技术能力的承诺书</w:t>
      </w:r>
    </w:p>
    <w:p>
      <w:pPr>
        <w:pStyle w:val="null3"/>
        <w:ind w:firstLine="960"/>
      </w:pPr>
      <w:r>
        <w:rPr/>
        <w:t>详见附件：没有重大违法记录的书面声明</w:t>
      </w:r>
    </w:p>
    <w:p>
      <w:pPr>
        <w:pStyle w:val="null3"/>
        <w:ind w:firstLine="960"/>
      </w:pPr>
      <w:r>
        <w:rPr/>
        <w:t>详见附件：供应商应提供的符合性审查证明材料</w:t>
      </w:r>
    </w:p>
    <w:p>
      <w:pPr>
        <w:pStyle w:val="null3"/>
        <w:ind w:firstLine="960"/>
      </w:pPr>
      <w:r>
        <w:rPr/>
        <w:t>详见附件：供应商认为需要提供的其他证明材料</w:t>
      </w:r>
    </w:p>
    <w:p>
      <w:pPr>
        <w:pStyle w:val="null3"/>
        <w:ind w:firstLine="960"/>
      </w:pPr>
      <w:r>
        <w:rPr/>
        <w:t>详见附件：供应商廉政承诺书</w:t>
      </w:r>
    </w:p>
    <w:p>
      <w:pPr>
        <w:pStyle w:val="null3"/>
        <w:ind w:firstLine="960"/>
      </w:pPr>
      <w:r>
        <w:rPr/>
        <w:t>详见附件：技术服务响应表</w:t>
      </w:r>
    </w:p>
    <w:p>
      <w:pPr>
        <w:pStyle w:val="null3"/>
      </w:pPr>
    </w:p>
    <w:p>
      <w:pPr>
        <w:pStyle w:val="null3"/>
      </w:pPr>
      <w:r>
        <w:rPr/>
        <w:t xml:space="preserve"> </w:t>
      </w:r>
    </w:p>
    <w:p>
      <w:pPr>
        <w:pStyle w:val="null3"/>
        <w:jc w:val="center"/>
        <w:outlineLvl w:val="1"/>
      </w:pPr>
      <w:r>
        <w:rPr>
          <w:b/>
          <w:sz w:val="36"/>
        </w:rPr>
        <w:t>第七章 拟签订采购合同文本</w:t>
      </w:r>
    </w:p>
    <w:p>
      <w:pPr>
        <w:pStyle w:val="null3"/>
      </w:pPr>
    </w:p>
    <w:p>
      <w:pPr>
        <w:pStyle w:val="null3"/>
      </w:pPr>
    </w:p>
    <w:p>
      <w:pPr>
        <w:pStyle w:val="null3"/>
      </w:pPr>
    </w:p>
    <w:p>
      <w:pPr>
        <w:pStyle w:val="null3"/>
      </w:pPr>
    </w:p>
    <w:p>
      <w:pPr>
        <w:pStyle w:val="null3"/>
      </w:pPr>
    </w:p>
    <w:p>
      <w:pPr>
        <w:pStyle w:val="null3"/>
        <w:jc w:val="center"/>
        <w:outlineLvl w:val="0"/>
      </w:pPr>
      <w:r>
        <w:rPr>
          <w:b/>
          <w:sz w:val="48"/>
        </w:rPr>
        <w:t xml:space="preserve"> 政府采购合同（货物类）</w:t>
      </w:r>
      <w:r>
        <w:br/>
      </w:r>
    </w:p>
    <w:p>
      <w:pPr>
        <w:pStyle w:val="null3"/>
      </w:pPr>
      <w:r>
        <w:rPr/>
        <w:t xml:space="preserve"> 政府采购合同编号：__________________</w:t>
      </w:r>
    </w:p>
    <w:p>
      <w:pPr>
        <w:pStyle w:val="null3"/>
      </w:pPr>
      <w:r>
        <w:rPr/>
        <w:t xml:space="preserve"> 履约地点： __________________</w:t>
      </w:r>
    </w:p>
    <w:p>
      <w:pPr>
        <w:pStyle w:val="null3"/>
      </w:pPr>
      <w:r>
        <w:rPr/>
        <w:t xml:space="preserve"> 签订地点：__________________</w:t>
      </w:r>
    </w:p>
    <w:p>
      <w:pPr>
        <w:pStyle w:val="null3"/>
      </w:pPr>
      <w:r>
        <w:rPr/>
        <w:t xml:space="preserve"> 签订日期：20___年___月___日</w:t>
      </w:r>
    </w:p>
    <w:p>
      <w:pPr>
        <w:pStyle w:val="null3"/>
      </w:pPr>
      <w:r>
        <w:rPr/>
        <w:t xml:space="preserve"> 采购人（甲方）：__________________</w:t>
      </w:r>
    </w:p>
    <w:p>
      <w:pPr>
        <w:pStyle w:val="null3"/>
      </w:pPr>
      <w:r>
        <w:rPr/>
        <w:t xml:space="preserve"> 地址：__________________</w:t>
      </w:r>
    </w:p>
    <w:p>
      <w:pPr>
        <w:pStyle w:val="null3"/>
      </w:pPr>
      <w:r>
        <w:rPr/>
        <w:t xml:space="preserve"> 供应商(乙方)：__________________</w:t>
      </w:r>
    </w:p>
    <w:p>
      <w:pPr>
        <w:pStyle w:val="null3"/>
      </w:pPr>
      <w:r>
        <w:rPr/>
        <w:t xml:space="preserve"> 地址：__________________</w:t>
      </w:r>
    </w:p>
    <w:p>
      <w:pPr>
        <w:pStyle w:val="null3"/>
      </w:pPr>
      <w:r>
        <w:rPr/>
        <w:t xml:space="preserve"> 依据《中华人民共和国民法典》 《中华人民共和国政府采购法》与项目行业有关的法律法规，以及XXX采购项目的 </w:t>
      </w:r>
      <w:r>
        <w:rPr/>
        <w:t>《谈判文件》</w:t>
      </w:r>
      <w:r>
        <w:rPr/>
        <w:t xml:space="preserve"> ，乙方的《投标（响应）文件》及《中标（成交）通知书》，甲乙双方同意签订本合同。具体情况及要求如下：</w:t>
      </w:r>
    </w:p>
    <w:p>
      <w:pPr>
        <w:pStyle w:val="null3"/>
        <w:outlineLvl w:val="3"/>
      </w:pPr>
      <w:r>
        <w:rPr>
          <w:b/>
          <w:sz w:val="24"/>
        </w:rPr>
        <w:t xml:space="preserve"> 一、标的信息</w:t>
      </w:r>
      <w:r>
        <w:br/>
      </w:r>
    </w:p>
    <w:p>
      <w:pPr>
        <w:pStyle w:val="null3"/>
        <w:outlineLvl w:val="3"/>
      </w:pPr>
      <w:r>
        <w:rPr>
          <w:b/>
          <w:sz w:val="24"/>
        </w:rPr>
        <w:t xml:space="preserve"> 二、货物要求</w:t>
      </w:r>
    </w:p>
    <w:p>
      <w:pPr>
        <w:pStyle w:val="null3"/>
      </w:pPr>
    </w:p>
    <w:p>
      <w:pPr>
        <w:pStyle w:val="null3"/>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pPr>
      <w:r>
        <w:rPr/>
        <w:t>2.包装方式</w:t>
      </w:r>
    </w:p>
    <w:p>
      <w:pPr>
        <w:pStyle w:val="null3"/>
      </w:pPr>
      <w:r>
        <w:rPr/>
        <w:t>3.质量保修范围和保修期</w:t>
      </w:r>
    </w:p>
    <w:p>
      <w:pPr>
        <w:pStyle w:val="null3"/>
      </w:pPr>
      <w:r>
        <w:rPr/>
        <w:t>4. 其他要求</w:t>
      </w:r>
    </w:p>
    <w:p>
      <w:pPr>
        <w:pStyle w:val="null3"/>
        <w:outlineLvl w:val="3"/>
      </w:pPr>
      <w:r>
        <w:rPr>
          <w:b/>
          <w:sz w:val="24"/>
        </w:rPr>
        <w:t xml:space="preserve"> 三、合同定价方式、付款进度和支付方式</w:t>
      </w:r>
      <w:r>
        <w:br/>
      </w:r>
    </w:p>
    <w:p>
      <w:pPr>
        <w:pStyle w:val="null3"/>
        <w:outlineLvl w:val="3"/>
      </w:pPr>
      <w:r>
        <w:rPr>
          <w:b/>
          <w:sz w:val="24"/>
        </w:rPr>
        <w:t xml:space="preserve"> 四、交货时间、地点和方式</w:t>
      </w:r>
      <w:r>
        <w:br/>
      </w:r>
    </w:p>
    <w:p>
      <w:pPr>
        <w:pStyle w:val="null3"/>
        <w:outlineLvl w:val="3"/>
      </w:pPr>
      <w:r>
        <w:rPr>
          <w:b/>
          <w:sz w:val="24"/>
        </w:rPr>
        <w:t xml:space="preserve"> 五、履约保证金</w:t>
      </w:r>
      <w:r>
        <w:br/>
      </w:r>
    </w:p>
    <w:p>
      <w:pPr>
        <w:pStyle w:val="null3"/>
        <w:outlineLvl w:val="3"/>
      </w:pPr>
      <w:r>
        <w:rPr>
          <w:b/>
          <w:sz w:val="24"/>
        </w:rPr>
        <w:t xml:space="preserve"> 六、验收标准和方法</w:t>
      </w:r>
      <w:r>
        <w:br/>
      </w:r>
    </w:p>
    <w:p>
      <w:pPr>
        <w:pStyle w:val="null3"/>
        <w:outlineLvl w:val="3"/>
      </w:pPr>
      <w:r>
        <w:rPr>
          <w:b/>
          <w:sz w:val="24"/>
        </w:rPr>
        <w:t xml:space="preserve"> 七、甲方的权利和义务</w:t>
      </w:r>
    </w:p>
    <w:p>
      <w:pPr>
        <w:pStyle w:val="null3"/>
      </w:pPr>
    </w:p>
    <w:p>
      <w:pPr>
        <w:pStyle w:val="null3"/>
      </w:pPr>
      <w:r>
        <w:rPr/>
        <w:t>1.甲方有权依据双方签订的合同对乙方提供的货物进行验收。当验收结果未达到标准时，有权依据合同约定对乙方......</w:t>
      </w:r>
    </w:p>
    <w:p>
      <w:pPr>
        <w:pStyle w:val="null3"/>
      </w:pPr>
      <w:r>
        <w:rPr/>
        <w:t>2.根据本合同规定，按时向乙方支付应付货物费用。</w:t>
      </w:r>
    </w:p>
    <w:p>
      <w:pPr>
        <w:pStyle w:val="null3"/>
      </w:pPr>
      <w:r>
        <w:rPr/>
        <w:t>3.国家法律、法规所规定由甲方承担的其它责任。</w:t>
      </w:r>
    </w:p>
    <w:p>
      <w:pPr>
        <w:pStyle w:val="null3"/>
        <w:outlineLvl w:val="3"/>
      </w:pPr>
      <w:r>
        <w:rPr>
          <w:b/>
          <w:sz w:val="24"/>
        </w:rPr>
        <w:t xml:space="preserve"> 八、乙方的权利和义务</w:t>
      </w:r>
    </w:p>
    <w:p>
      <w:pPr>
        <w:pStyle w:val="null3"/>
      </w:pPr>
    </w:p>
    <w:p>
      <w:pPr>
        <w:pStyle w:val="null3"/>
      </w:pPr>
      <w:r>
        <w:rPr/>
        <w:t>1.根据本合同的规定向甲方收取相关货物费用。</w:t>
      </w:r>
    </w:p>
    <w:p>
      <w:pPr>
        <w:pStyle w:val="null3"/>
      </w:pPr>
      <w:r>
        <w:rPr/>
        <w:t>2.接受项目行业管理部门及政府有关部门的指导，接受甲方的监督。</w:t>
      </w:r>
    </w:p>
    <w:p>
      <w:pPr>
        <w:pStyle w:val="null3"/>
      </w:pPr>
      <w:r>
        <w:rPr/>
        <w:t>3.国家法律、法规所规定由乙方承担的其它责任。</w:t>
      </w:r>
    </w:p>
    <w:p>
      <w:pPr>
        <w:pStyle w:val="null3"/>
        <w:outlineLvl w:val="3"/>
      </w:pPr>
      <w:r>
        <w:rPr>
          <w:b/>
          <w:sz w:val="24"/>
        </w:rPr>
        <w:t xml:space="preserve"> 九、违约责任</w:t>
      </w:r>
    </w:p>
    <w:p>
      <w:pPr>
        <w:pStyle w:val="null3"/>
      </w:pPr>
    </w:p>
    <w:p>
      <w:pPr>
        <w:pStyle w:val="null3"/>
      </w:pPr>
      <w:r>
        <w:rPr/>
        <w:t>1.若甲方未按照合同约定逾期向乙方支付货物费用，每逾期一天，按应支付金额的X‰作为违约金支付给乙方，直至实际支付之日</w:t>
      </w:r>
    </w:p>
    <w:p>
      <w:pPr>
        <w:pStyle w:val="null3"/>
      </w:pPr>
      <w:r>
        <w:rPr/>
        <w:t>2.因甲方原因导致变更、中止或者终止政府采购合同的，应对乙方受到的损失予以赔偿或者补偿。</w:t>
      </w:r>
    </w:p>
    <w:p>
      <w:pPr>
        <w:pStyle w:val="null3"/>
        <w:outlineLvl w:val="3"/>
      </w:pPr>
      <w:r>
        <w:rPr>
          <w:b/>
          <w:sz w:val="24"/>
        </w:rPr>
        <w:t xml:space="preserve"> 十、不可抗事件处理</w:t>
      </w:r>
    </w:p>
    <w:p>
      <w:pPr>
        <w:pStyle w:val="null3"/>
      </w:pPr>
    </w:p>
    <w:p>
      <w:pPr>
        <w:pStyle w:val="null3"/>
      </w:pPr>
      <w:r>
        <w:rPr/>
        <w:t>1.在合同有效期内，任何一方因不可抗事件导致不能履行合同，则合同履行期可延长，其延长期与不可抗影响期相同。</w:t>
      </w:r>
    </w:p>
    <w:p>
      <w:pPr>
        <w:pStyle w:val="null3"/>
      </w:pPr>
      <w:r>
        <w:rPr/>
        <w:t>2.受阻一方应在不可抗事件发生后尽快用电话通知对方并于事故发生后XX天内将有关部门出具的证明文件等用特快专递或挂号信寄给对方审阅确认。</w:t>
      </w:r>
    </w:p>
    <w:p>
      <w:pPr>
        <w:pStyle w:val="null3"/>
      </w:pPr>
      <w:r>
        <w:rPr/>
        <w:t>3.不可抗事件延续XX天以上，双方应通过友好协商，确定是否继续履行合同。</w:t>
      </w:r>
    </w:p>
    <w:p>
      <w:pPr>
        <w:pStyle w:val="null3"/>
        <w:outlineLvl w:val="3"/>
      </w:pPr>
      <w:r>
        <w:rPr>
          <w:b/>
          <w:sz w:val="24"/>
        </w:rPr>
        <w:t xml:space="preserve"> 十一、解决合同纠纷的方式</w:t>
      </w:r>
      <w:r>
        <w:br/>
      </w:r>
    </w:p>
    <w:p>
      <w:pPr>
        <w:pStyle w:val="null3"/>
        <w:outlineLvl w:val="3"/>
      </w:pPr>
      <w:r>
        <w:rPr>
          <w:b/>
          <w:sz w:val="24"/>
        </w:rPr>
        <w:t xml:space="preserve"> 十二、合同生效及其他</w:t>
      </w:r>
    </w:p>
    <w:p>
      <w:pPr>
        <w:pStyle w:val="null3"/>
      </w:pPr>
    </w:p>
    <w:p>
      <w:pPr>
        <w:pStyle w:val="null3"/>
      </w:pPr>
      <w:r>
        <w:rPr/>
        <w:t>1.合同经双方法定代表人（或主要负责人）或授权委托代理人签字并加盖公章后生效。</w:t>
      </w:r>
    </w:p>
    <w:p>
      <w:pPr>
        <w:pStyle w:val="null3"/>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pPr>
      <w:r>
        <w:rPr/>
        <w:t>3.本合同一式3份，自双方签章之日起生效。甲方持有1份，乙方持有1份，同级财政部门备案1份，具有同等法律效力。</w:t>
      </w:r>
    </w:p>
    <w:p>
      <w:pPr>
        <w:pStyle w:val="null3"/>
      </w:pPr>
      <w:r>
        <w:br/>
      </w:r>
      <w:r>
        <w:br/>
      </w:r>
      <w:r>
        <w:br/>
      </w:r>
      <w:r>
        <w:br/>
      </w:r>
      <w:r>
        <w:br/>
      </w:r>
    </w:p>
    <w:p>
      <w:pPr>
        <w:pStyle w:val="null3"/>
      </w:pPr>
    </w:p>
    <w:p>
      <w:pPr>
        <w:pStyle w:val="null3"/>
      </w:pPr>
    </w:p>
    <w:p>
      <w:pPr>
        <w:pStyle w:val="null3"/>
      </w:pPr>
      <w:r>
        <w:rPr/>
        <w:t xml:space="preserve"> 甲方： （盖章）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spacing w:after="375"/>
      </w:pPr>
    </w:p>
    <w:p>
      <w:pPr>
        <w:pStyle w:val="null3"/>
      </w:pPr>
      <w:r>
        <w:rPr/>
        <w:t xml:space="preserve"> 乙方：(盖章）</w:t>
      </w:r>
    </w:p>
    <w:p>
      <w:pPr>
        <w:pStyle w:val="null3"/>
      </w:pPr>
      <w:r>
        <w:rPr/>
        <w:t xml:space="preserve"> 法定（授权）代表人：</w:t>
      </w:r>
    </w:p>
    <w:p>
      <w:pPr>
        <w:pStyle w:val="null3"/>
      </w:pPr>
      <w:r>
        <w:rPr/>
        <w:t xml:space="preserve"> 地 址：</w:t>
      </w:r>
    </w:p>
    <w:p>
      <w:pPr>
        <w:pStyle w:val="null3"/>
      </w:pPr>
      <w:r>
        <w:rPr/>
        <w:t xml:space="preserve"> 开户银行：</w:t>
      </w:r>
    </w:p>
    <w:p>
      <w:pPr>
        <w:pStyle w:val="null3"/>
      </w:pPr>
      <w:r>
        <w:rPr/>
        <w:t xml:space="preserve"> 账号：</w:t>
      </w:r>
    </w:p>
    <w:p>
      <w:pPr>
        <w:pStyle w:val="null3"/>
      </w:pPr>
      <w:r>
        <w:rPr/>
        <w:t xml:space="preserve"> 签订日期： 年 月 日</w:t>
      </w:r>
    </w:p>
    <w:p>
      <w:pPr>
        <w:pStyle w:val="null3"/>
      </w:pP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