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29" w:rsidRDefault="00785829" w:rsidP="00785829">
      <w:pPr>
        <w:pStyle w:val="null3"/>
        <w:jc w:val="center"/>
        <w:outlineLvl w:val="1"/>
        <w:rPr>
          <w:rFonts w:hint="default"/>
        </w:rPr>
      </w:pPr>
      <w:r>
        <w:rPr>
          <w:b/>
          <w:sz w:val="36"/>
        </w:rPr>
        <w:t>磋商项目技术、服务、商务及其他要求</w:t>
      </w:r>
    </w:p>
    <w:p w:rsidR="00785829" w:rsidRDefault="00785829" w:rsidP="00785829">
      <w:pPr>
        <w:pStyle w:val="null3"/>
        <w:ind w:firstLine="480"/>
        <w:rPr>
          <w:rFonts w:hint="default"/>
        </w:rPr>
      </w:pPr>
      <w:r>
        <w:t xml:space="preserve"> </w:t>
      </w:r>
      <w:r>
        <w:t>（注：带“★”的参数需求为实质性要求，供应商必须响应并满足的参数需求，采购人、采购代理机构应当根据项目实际需求合理设定，并明确具体要求。带“▲”号条款为允许负偏离的参数需求，若未响应或者不满足，将在综合评审中予以扣分处理。）</w:t>
      </w:r>
    </w:p>
    <w:p w:rsidR="00785829" w:rsidRDefault="00785829" w:rsidP="00785829">
      <w:pPr>
        <w:pStyle w:val="null3"/>
        <w:outlineLvl w:val="2"/>
        <w:rPr>
          <w:lang w:eastAsia="zh-CN"/>
        </w:rPr>
      </w:pPr>
      <w:r>
        <w:rPr>
          <w:b/>
          <w:sz w:val="28"/>
        </w:rPr>
        <w:t>3.1</w:t>
      </w:r>
      <w:r>
        <w:rPr>
          <w:b/>
          <w:sz w:val="28"/>
        </w:rPr>
        <w:t>、采购项目概况</w:t>
      </w:r>
      <w:bookmarkStart w:id="0" w:name="_GoBack"/>
      <w:bookmarkEnd w:id="0"/>
    </w:p>
    <w:p w:rsidR="00785829" w:rsidRDefault="00785829" w:rsidP="00785829">
      <w:pPr>
        <w:pStyle w:val="null3"/>
        <w:rPr>
          <w:rFonts w:hint="default"/>
        </w:rPr>
      </w:pPr>
      <w:r>
        <w:t>绵阳市安州区人民医院检验委托服务项目</w:t>
      </w:r>
    </w:p>
    <w:p w:rsidR="00785829" w:rsidRDefault="00785829" w:rsidP="00785829">
      <w:pPr>
        <w:pStyle w:val="null3"/>
        <w:outlineLvl w:val="2"/>
        <w:rPr>
          <w:rFonts w:hint="default"/>
        </w:rPr>
      </w:pPr>
      <w:r>
        <w:rPr>
          <w:b/>
          <w:sz w:val="28"/>
        </w:rPr>
        <w:t>3.2</w:t>
      </w:r>
      <w:r>
        <w:rPr>
          <w:b/>
          <w:sz w:val="28"/>
        </w:rPr>
        <w:t>、服务内容及服务要求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3.2.1</w:t>
      </w:r>
      <w:r>
        <w:rPr>
          <w:b/>
          <w:sz w:val="24"/>
        </w:rPr>
        <w:t>服务内容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采购包预算金额（元）</w:t>
      </w:r>
      <w:r>
        <w:t>: 800,000.00</w:t>
      </w:r>
    </w:p>
    <w:p w:rsidR="00785829" w:rsidRDefault="00785829" w:rsidP="00785829">
      <w:pPr>
        <w:pStyle w:val="null3"/>
        <w:rPr>
          <w:rFonts w:hint="default"/>
        </w:rPr>
      </w:pPr>
      <w:r>
        <w:t>采购包最高限价（元）</w:t>
      </w:r>
      <w:r>
        <w:t>: 800,000.00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 w:rsidR="00785829" w:rsidTr="00ED7E81"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序号</w:t>
            </w:r>
          </w:p>
        </w:tc>
        <w:tc>
          <w:tcPr>
            <w:tcW w:w="1271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标的名称</w:t>
            </w:r>
          </w:p>
        </w:tc>
        <w:tc>
          <w:tcPr>
            <w:tcW w:w="84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数量</w:t>
            </w:r>
          </w:p>
        </w:tc>
        <w:tc>
          <w:tcPr>
            <w:tcW w:w="1356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标的金额</w:t>
            </w:r>
            <w:r>
              <w:t xml:space="preserve"> </w:t>
            </w:r>
            <w:r>
              <w:t>（元）</w:t>
            </w:r>
          </w:p>
        </w:tc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计量单位</w:t>
            </w:r>
          </w:p>
        </w:tc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所属行业</w:t>
            </w:r>
          </w:p>
        </w:tc>
        <w:tc>
          <w:tcPr>
            <w:tcW w:w="593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是否涉及核心产品</w:t>
            </w:r>
          </w:p>
        </w:tc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是否涉及采购进口产品</w:t>
            </w:r>
          </w:p>
        </w:tc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是否涉及采购节能产品</w:t>
            </w:r>
          </w:p>
        </w:tc>
        <w:tc>
          <w:tcPr>
            <w:tcW w:w="84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是否涉及采购环境标志产品</w:t>
            </w:r>
          </w:p>
        </w:tc>
      </w:tr>
      <w:tr w:rsidR="00785829" w:rsidTr="00ED7E81"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1271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人民医院检验委托服务项目</w:t>
            </w:r>
          </w:p>
        </w:tc>
        <w:tc>
          <w:tcPr>
            <w:tcW w:w="848" w:type="dxa"/>
          </w:tcPr>
          <w:p w:rsidR="00785829" w:rsidRDefault="00785829" w:rsidP="00ED7E81">
            <w:pPr>
              <w:pStyle w:val="null3"/>
              <w:jc w:val="right"/>
              <w:rPr>
                <w:rFonts w:hint="default"/>
              </w:rPr>
            </w:pPr>
            <w:r>
              <w:t>1.00</w:t>
            </w:r>
          </w:p>
        </w:tc>
        <w:tc>
          <w:tcPr>
            <w:tcW w:w="1356" w:type="dxa"/>
          </w:tcPr>
          <w:p w:rsidR="00785829" w:rsidRDefault="00785829" w:rsidP="00ED7E81">
            <w:pPr>
              <w:pStyle w:val="null3"/>
              <w:jc w:val="right"/>
              <w:rPr>
                <w:rFonts w:hint="default"/>
              </w:rPr>
            </w:pPr>
            <w:r>
              <w:t>800,000.00</w:t>
            </w:r>
          </w:p>
        </w:tc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项</w:t>
            </w:r>
          </w:p>
        </w:tc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其他未列明行业</w:t>
            </w:r>
          </w:p>
        </w:tc>
        <w:tc>
          <w:tcPr>
            <w:tcW w:w="593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67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否</w:t>
            </w:r>
          </w:p>
        </w:tc>
        <w:tc>
          <w:tcPr>
            <w:tcW w:w="848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否</w:t>
            </w:r>
          </w:p>
        </w:tc>
      </w:tr>
    </w:tbl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3.2.2</w:t>
      </w:r>
      <w:r>
        <w:rPr>
          <w:b/>
          <w:sz w:val="24"/>
        </w:rPr>
        <w:t>服务要求</w:t>
      </w:r>
    </w:p>
    <w:p w:rsidR="00785829" w:rsidRDefault="00785829" w:rsidP="00785829">
      <w:pPr>
        <w:pStyle w:val="null3"/>
        <w:rPr>
          <w:lang w:eastAsia="zh-CN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标的名称：人民医院检验委托服务项目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1298"/>
        <w:gridCol w:w="5926"/>
      </w:tblGrid>
      <w:tr w:rsidR="00785829" w:rsidTr="00ED7E81">
        <w:tc>
          <w:tcPr>
            <w:tcW w:w="2769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参数性质</w:t>
            </w:r>
          </w:p>
        </w:tc>
        <w:tc>
          <w:tcPr>
            <w:tcW w:w="2769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序号</w:t>
            </w:r>
          </w:p>
        </w:tc>
        <w:tc>
          <w:tcPr>
            <w:tcW w:w="2769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 xml:space="preserve"> </w:t>
            </w:r>
            <w:r>
              <w:t>技术参数与性能指标</w:t>
            </w:r>
          </w:p>
        </w:tc>
      </w:tr>
      <w:tr w:rsidR="00785829" w:rsidTr="00ED7E81">
        <w:tc>
          <w:tcPr>
            <w:tcW w:w="2769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★</w:t>
            </w:r>
          </w:p>
        </w:tc>
        <w:tc>
          <w:tcPr>
            <w:tcW w:w="2769" w:type="dxa"/>
          </w:tcPr>
          <w:p w:rsidR="00785829" w:rsidRDefault="00785829" w:rsidP="00ED7E81">
            <w:pPr>
              <w:pStyle w:val="null3"/>
              <w:rPr>
                <w:rFonts w:hint="default"/>
              </w:rPr>
            </w:pPr>
            <w:r>
              <w:t>1</w:t>
            </w:r>
          </w:p>
        </w:tc>
        <w:tc>
          <w:tcPr>
            <w:tcW w:w="2769" w:type="dxa"/>
          </w:tcPr>
          <w:p w:rsidR="00785829" w:rsidRDefault="00785829" w:rsidP="00ED7E81">
            <w:pPr>
              <w:pStyle w:val="null3"/>
              <w:ind w:firstLine="602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（一）服务内容及要求（实质性要求）</w:t>
            </w:r>
          </w:p>
          <w:p w:rsidR="00785829" w:rsidRDefault="00785829" w:rsidP="00ED7E81">
            <w:pPr>
              <w:pStyle w:val="null3"/>
              <w:ind w:firstLine="602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1.服务内容</w:t>
            </w:r>
          </w:p>
          <w:p w:rsidR="00785829" w:rsidRDefault="00785829" w:rsidP="00ED7E81">
            <w:pPr>
              <w:pStyle w:val="null3"/>
              <w:ind w:firstLine="482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外送检验送检清单：（包括但不限于）</w:t>
            </w:r>
          </w:p>
          <w:tbl>
            <w:tblPr>
              <w:tblW w:w="0" w:type="auto"/>
              <w:tblInd w:w="135" w:type="dxa"/>
              <w:tblBorders>
                <w:top w:val="single" w:sz="0" w:space="0" w:color="auto"/>
                <w:left w:val="single" w:sz="0" w:space="0" w:color="auto"/>
                <w:bottom w:val="single" w:sz="0" w:space="0" w:color="auto"/>
                <w:right w:val="single" w:sz="0" w:space="0" w:color="auto"/>
                <w:insideH w:val="single" w:sz="0" w:space="0" w:color="auto"/>
                <w:insideV w:val="singl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0"/>
              <w:gridCol w:w="2940"/>
              <w:gridCol w:w="630"/>
              <w:gridCol w:w="735"/>
              <w:gridCol w:w="840"/>
            </w:tblGrid>
            <w:tr w:rsidR="00785829" w:rsidTr="00ED7E81">
              <w:tc>
                <w:tcPr>
                  <w:tcW w:w="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序号</w:t>
                  </w:r>
                </w:p>
              </w:tc>
              <w:tc>
                <w:tcPr>
                  <w:tcW w:w="646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项目名称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样本类型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报告周期</w:t>
                  </w:r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检测方法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(1-3)-β-D葡聚糖(G试验)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1-2天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动态显色法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25-羟基维生素D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3-4个工作日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串联质谱法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ANCA二项(免疫)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荧光免疫分析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EB病毒两项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酶联免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疫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5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丙型肝炎病毒(HCV-RNA)定量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荧光定量 PCR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6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病原微生物宏基  因组D N  A检测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多种类型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高通量测序法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MetaCAP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病原微生物核酸高通量测序,探针捕获高通量测序法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多种类型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1-2个工作日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探针捕获高通量测序法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8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常规肾脏病理检测（荧光7+特染3）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肾穿刺组织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7个工作日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HE染色/特殊染色/免疫荧光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9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促肾上腺皮质激素(ACTH)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血浆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化学发光法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10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地中海贫血基  因检测（621位点）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全血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10-12个工作日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第三代测序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11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肝纤五项(化学发光)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1-2个工作日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化学发光法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12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 xml:space="preserve">高灵敏HBV D  N A检测(COBAS 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AmpliPrep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 xml:space="preserve">/COBAS 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TaqMan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实时PCR法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13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 xml:space="preserve">高灵敏HCV RNA检测(COBAS 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AmpliPrep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 xml:space="preserve">/COBAS 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TaqMan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实时PCR法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14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高血压三项（肾素定量/AII/ALD/ARR）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血浆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磁微粒化学发光法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15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骨髓活检+特殊染色1项+免疫组化3项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骨髓活检组织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5-7个工作日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HE染色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16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骨髓铁染色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骨髓涂片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染色镜检法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17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骨髓涂片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骨髓片、血片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显微镜检查 +染色法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18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上呼吸道95种病原体靶向测序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咽拭子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二代测序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19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呼吸道多种病原体靶向测序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肺泡灌洗液、痰液、气道吸取物，胸腹水，咽拭子</w:t>
                  </w:r>
                </w:p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二代测序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20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甲型肝炎病毒抗体2项(HAV-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IgM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，HAV-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IgG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血清或血浆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酶联免疫吸附法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21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甲型肝炎病毒抗体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IgM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(HAV-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IgM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血清或血浆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酶联免疫吸附法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22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甲状旁腺激素(PTH),化学发光法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化学发光法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23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结核分枝杆菌（TB）R N A定性,RNA恒温扩增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痰液、肺泡灌洗液、胸腹水</w:t>
                  </w:r>
                </w:p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1-2个工作日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核酸提取和恒温扩增检测两部分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24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结核杆菌(TB-D  N  A)定性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脑脊液、痰、 胸水、腹水、 尿液、肺泡灌洗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液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1-2个工作日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实时PCR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25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结核杆菌(TB-D  N  A)定性,组织,实时荧光PCR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固定组织（蜡块）或穿刺样本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3-5个工作日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实时荧光PCR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26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结核杆菌γ-干扰素释放试验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全血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ELISA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27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抗肌炎抗体谱12项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免疫印迹法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28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抗精子抗体(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AsAb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3-4个工作日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酶联免疫 吸附法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29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抗缪勒管激素（AMH）,化学发光法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化学发光法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30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流式细胞(T+B+NK)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全血、胸水、腹水、培养液</w:t>
                  </w:r>
                </w:p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流式细胞术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31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免疫全套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both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/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32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免疫五项(IgA,IgG,IgM,C3,C4)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免疫透射比 浊法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33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免疫荧光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组织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7天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免疫荧光染色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34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免疫组化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组织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3-5个工作曰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免疫组织化学染色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35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尿-β2微球蛋白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尿液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1-2个工作日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化学发光法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36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皮质醇(COR)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磁微粒</w:t>
                  </w: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化学发光法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37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葡萄糖-6-磷酸脱氢酶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全血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比值法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38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曲霉菌抗原（GM试验）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血清、肺泡灌洗液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1-2个工作日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酶联免疫吸附法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39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全血微量元素铅(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Pb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全血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ICP-MS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40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全自动免疫组化</w:t>
                  </w:r>
                </w:p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组织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免疫组织化学染色</w:t>
                  </w:r>
                </w:p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41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人类白细胞分化抗原B27(HLA-B27)筛查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全血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流式细胞术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42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中枢神经系统多种病原体靶向测序,多重靶向扩增-高通量测序法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脑脊液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多重靶向扩增-高通量测序法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43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肾脏全套电镜检查与诊断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肾穿刺组织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7个工作日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透射电镜检查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44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生长激素(GH)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电化学发光法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45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食物性过敏原十项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ELISA法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46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碳青霉烯酶检测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痰液、尿液等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胶体金免疫层析法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47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糖尿病自身抗体三项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/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48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戊型肝炎病毒抗体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IgM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(HEV-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IgM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ELISA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lastRenderedPageBreak/>
                    <w:t>49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戊型肝炎抗体二项(HEV-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IgM,HEV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-</w:t>
                  </w:r>
                  <w:proofErr w:type="spellStart"/>
                  <w:r>
                    <w:rPr>
                      <w:rFonts w:ascii="宋体" w:eastAsia="宋体" w:hAnsi="宋体" w:cs="宋体"/>
                      <w:sz w:val="21"/>
                    </w:rPr>
                    <w:t>IgG</w:t>
                  </w:r>
                  <w:proofErr w:type="spellEnd"/>
                  <w:r>
                    <w:rPr>
                      <w:rFonts w:ascii="宋体" w:eastAsia="宋体" w:hAnsi="宋体" w:cs="宋体"/>
                      <w:sz w:val="21"/>
                    </w:rPr>
                    <w:t>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ELISA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50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吸入性过敏原十项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ELISA法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51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乙型肝炎病毒(HBV-D  N  A)定量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1-2个工作日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荧光定量PCR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52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直接抗人球蛋白试验(DAT)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全血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1-2个工作日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微柱凝胶法</w:t>
                  </w:r>
                </w:p>
              </w:tc>
            </w:tr>
            <w:tr w:rsidR="00785829" w:rsidTr="00ED7E81">
              <w:tc>
                <w:tcPr>
                  <w:tcW w:w="201" w:type="dxa"/>
                  <w:tcBorders>
                    <w:top w:val="non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53</w:t>
                  </w:r>
                </w:p>
              </w:tc>
              <w:tc>
                <w:tcPr>
                  <w:tcW w:w="646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自身免疫性肝病抗体四项(AMA-M2,SLA/LP,LC-1,LKM-1)</w:t>
                  </w:r>
                </w:p>
              </w:tc>
              <w:tc>
                <w:tcPr>
                  <w:tcW w:w="417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血清</w:t>
                  </w:r>
                </w:p>
              </w:tc>
              <w:tc>
                <w:tcPr>
                  <w:tcW w:w="490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2-3个工作日</w:t>
                  </w:r>
                </w:p>
              </w:tc>
              <w:tc>
                <w:tcPr>
                  <w:tcW w:w="792" w:type="dxa"/>
                  <w:tcBorders>
                    <w:top w:val="none" w:sz="4" w:space="0" w:color="000000"/>
                    <w:left w:val="non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785829" w:rsidRDefault="00785829" w:rsidP="00ED7E81">
                  <w:pPr>
                    <w:pStyle w:val="null3"/>
                    <w:jc w:val="center"/>
                    <w:rPr>
                      <w:rFonts w:hint="default"/>
                    </w:rPr>
                  </w:pPr>
                  <w:r>
                    <w:rPr>
                      <w:rFonts w:ascii="宋体" w:eastAsia="宋体" w:hAnsi="宋体" w:cs="宋体"/>
                      <w:sz w:val="21"/>
                    </w:rPr>
                    <w:t>免疫印迹法</w:t>
                  </w:r>
                </w:p>
              </w:tc>
            </w:tr>
          </w:tbl>
          <w:p w:rsidR="00785829" w:rsidRDefault="00785829" w:rsidP="00ED7E81">
            <w:pPr>
              <w:pStyle w:val="null3"/>
              <w:rPr>
                <w:rFonts w:hint="default"/>
              </w:rPr>
            </w:pPr>
          </w:p>
          <w:p w:rsidR="00785829" w:rsidRDefault="00785829" w:rsidP="00ED7E81">
            <w:pPr>
              <w:pStyle w:val="null3"/>
              <w:ind w:firstLine="241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b/>
                <w:sz w:val="24"/>
              </w:rPr>
              <w:t>2.服务要求</w:t>
            </w:r>
          </w:p>
          <w:p w:rsidR="00785829" w:rsidRDefault="00785829" w:rsidP="00ED7E81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&quot;times new roman&quot;, &quot;serif&quot;" w:eastAsia="&quot;times new roman&quot;, &quot;serif&quot;" w:hAnsi="&quot;times new roman&quot;, &quot;serif&quot;" w:cs="&quot;times new roman&quot;, &quot;serif&quot;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（1）实验室要求：实验室符合医学检验实验室的基本标准和管理规范，且对本项目的外送检验送检清单内容具有检测能力的实验室资质。</w:t>
            </w:r>
          </w:p>
          <w:p w:rsidR="00785829" w:rsidRDefault="00785829" w:rsidP="00ED7E81">
            <w:pPr>
              <w:pStyle w:val="null3"/>
              <w:ind w:firstLine="24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（2）提供本项目病理检测所需的耗材，并保证耗材质量符合国家相关标准，接受医院的监督和检查。</w:t>
            </w:r>
          </w:p>
          <w:p w:rsidR="00785829" w:rsidRDefault="00785829" w:rsidP="00ED7E81">
            <w:pPr>
              <w:pStyle w:val="null3"/>
              <w:ind w:firstLine="24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（3）供应商所使用的检测方法、检测过程等必须符合国家标准；</w:t>
            </w:r>
          </w:p>
          <w:p w:rsidR="00785829" w:rsidRDefault="00785829" w:rsidP="00ED7E81">
            <w:pPr>
              <w:pStyle w:val="null3"/>
              <w:ind w:firstLine="24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（4）采购人可根据自身业务的发展增加或减少服务项目；</w:t>
            </w:r>
          </w:p>
          <w:p w:rsidR="00785829" w:rsidRDefault="00785829" w:rsidP="00ED7E81">
            <w:pPr>
              <w:pStyle w:val="null3"/>
              <w:jc w:val="both"/>
              <w:rPr>
                <w:rFonts w:hint="default"/>
              </w:rPr>
            </w:pPr>
            <w:r>
              <w:rPr>
                <w:rFonts w:ascii="&quot;times new roman&quot;, &quot;serif&quot;" w:eastAsia="&quot;times new roman&quot;, &quot;serif&quot;" w:hAnsi="&quot;times new roman&quot;, &quot;serif&quot;" w:cs="&quot;times new roman&quot;, &quot;serif&quot;"/>
                <w:sz w:val="21"/>
              </w:rPr>
              <w:t xml:space="preserve">  </w:t>
            </w:r>
            <w:r>
              <w:rPr>
                <w:rFonts w:ascii="宋体" w:eastAsia="宋体" w:hAnsi="宋体" w:cs="宋体"/>
                <w:sz w:val="24"/>
              </w:rPr>
              <w:t>（5）样本需及时上门收取（样本每日上门收取一次），特殊情况临时增加一次；收取人员必须当场确认采集量和样本类型是否符合要求，如不符及时和医院检验科及相关项目科室人员联系。</w:t>
            </w:r>
          </w:p>
          <w:p w:rsidR="00785829" w:rsidRDefault="00785829" w:rsidP="00ED7E81">
            <w:pPr>
              <w:pStyle w:val="null3"/>
              <w:ind w:firstLine="24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6）供应商对出具的检测报告的所有内容真实性、准确性承担相应的法律责任，对其签发的报告永久负责。为保证检验结果实时网络传送，实现实验室数据的汇总、储存、传输功能，可以与医院LIS和HIS系统对接（对接的费用由供应商负责），采购人可随时调阅，保证资料的准确性和检验结果的及时性；也可以在终端电脑安装由成交供应商提供的软件，实现网络传送，检验报告的打印，并提供系统使用的必要培训与技术支持。</w:t>
            </w:r>
          </w:p>
          <w:p w:rsidR="00785829" w:rsidRDefault="00785829" w:rsidP="00ED7E81">
            <w:pPr>
              <w:pStyle w:val="null3"/>
              <w:ind w:firstLine="48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（7）样本数据按照国家相关标准进行保存，提供临床数据整合服务，包括：协助医院实现去隐私采集的临床病理数据整合与结构化、相关数据统计与分析。</w:t>
            </w:r>
          </w:p>
          <w:p w:rsidR="00785829" w:rsidRDefault="00785829" w:rsidP="00ED7E81">
            <w:pPr>
              <w:pStyle w:val="null3"/>
              <w:ind w:firstLine="48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（8）运输系统要求：</w:t>
            </w:r>
          </w:p>
          <w:p w:rsidR="00785829" w:rsidRDefault="00785829" w:rsidP="00ED7E81">
            <w:pPr>
              <w:pStyle w:val="null3"/>
              <w:ind w:firstLine="96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1)供应商需提供完善的冷链物流体系，具备专</w:t>
            </w:r>
            <w:r>
              <w:rPr>
                <w:rFonts w:ascii="宋体" w:eastAsia="宋体" w:hAnsi="宋体" w:cs="宋体"/>
                <w:sz w:val="24"/>
              </w:rPr>
              <w:lastRenderedPageBreak/>
              <w:t>业冷链物流渠道和专用冷链箱。</w:t>
            </w:r>
          </w:p>
          <w:p w:rsidR="00785829" w:rsidRDefault="00785829" w:rsidP="00ED7E81">
            <w:pPr>
              <w:pStyle w:val="null3"/>
              <w:ind w:firstLine="96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2) 所有样本的运送必须符合样本温度的管理要求，采用符合相关标准的冷链物流车或转送车辆及冷链物流箱，特殊标本运输过程中需干冰冻存。</w:t>
            </w:r>
          </w:p>
          <w:p w:rsidR="00785829" w:rsidRDefault="00785829" w:rsidP="00ED7E81">
            <w:pPr>
              <w:pStyle w:val="null3"/>
              <w:ind w:firstLine="96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3)具有可实时监控物流各个环节的温度的系统和终端设备，能够对物流的全程进行温度监控、报警及记录，能够对整个过程进行溯源管理。</w:t>
            </w:r>
          </w:p>
          <w:p w:rsidR="00785829" w:rsidRDefault="00785829" w:rsidP="00ED7E81">
            <w:pPr>
              <w:pStyle w:val="null3"/>
              <w:ind w:firstLine="48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（9）样本的采集、存储、转运及销毁应符合国家及行业的相关标准。</w:t>
            </w:r>
          </w:p>
          <w:p w:rsidR="00785829" w:rsidRDefault="00785829" w:rsidP="00ED7E81">
            <w:pPr>
              <w:pStyle w:val="null3"/>
              <w:ind w:firstLine="480"/>
              <w:jc w:val="both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24"/>
              </w:rPr>
              <w:t>（10）合同履行期间，由于供应商出具错误的报告导致医疗纠纷或医疗事故，由供应商承担所有责任与经济赔偿。</w:t>
            </w:r>
          </w:p>
        </w:tc>
      </w:tr>
    </w:tbl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lastRenderedPageBreak/>
        <w:t>3.2.3</w:t>
      </w:r>
      <w:r>
        <w:rPr>
          <w:b/>
          <w:sz w:val="24"/>
        </w:rPr>
        <w:t>人员配置要求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按文件要求执行。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3.2.4</w:t>
      </w:r>
      <w:r>
        <w:rPr>
          <w:b/>
          <w:sz w:val="24"/>
        </w:rPr>
        <w:t>设施设备要求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按文件要求执行。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3.2.5</w:t>
      </w:r>
      <w:r>
        <w:rPr>
          <w:b/>
          <w:sz w:val="24"/>
        </w:rPr>
        <w:t>其他要求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无</w:t>
      </w:r>
    </w:p>
    <w:p w:rsidR="00785829" w:rsidRDefault="00785829" w:rsidP="00785829">
      <w:pPr>
        <w:pStyle w:val="null3"/>
        <w:outlineLvl w:val="2"/>
        <w:rPr>
          <w:rFonts w:hint="default"/>
        </w:rPr>
      </w:pPr>
      <w:r>
        <w:rPr>
          <w:b/>
          <w:sz w:val="28"/>
        </w:rPr>
        <w:t>3.3</w:t>
      </w:r>
      <w:r>
        <w:rPr>
          <w:b/>
          <w:sz w:val="28"/>
        </w:rPr>
        <w:t>、商务要求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3.3.1</w:t>
      </w:r>
      <w:r>
        <w:rPr>
          <w:b/>
          <w:sz w:val="24"/>
        </w:rPr>
        <w:t>服务期限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 xml:space="preserve"> </w:t>
      </w:r>
      <w:r>
        <w:t>自合同签订之日起</w:t>
      </w:r>
      <w:r>
        <w:t>365</w:t>
      </w:r>
      <w:r>
        <w:t>日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3.3.2</w:t>
      </w:r>
      <w:r>
        <w:rPr>
          <w:b/>
          <w:sz w:val="24"/>
        </w:rPr>
        <w:t>服务地点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采购人指定地点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3.3.3</w:t>
      </w:r>
      <w:r>
        <w:rPr>
          <w:b/>
          <w:sz w:val="24"/>
        </w:rPr>
        <w:t>考核（验收）标准和方法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验收标准和方法</w:t>
      </w:r>
      <w:r>
        <w:t xml:space="preserve"> </w:t>
      </w:r>
      <w:r>
        <w:t>由采购人严格按照《财政部关于进一步加强政府采购需求和履约验收管理的指导意见》财库〔</w:t>
      </w:r>
      <w:r>
        <w:t>2016</w:t>
      </w:r>
      <w:r>
        <w:t>〕</w:t>
      </w:r>
      <w:r>
        <w:t>205</w:t>
      </w:r>
      <w:r>
        <w:t>号和《关于进一步做好政府采购项目履约验收工作的通知》（绵财采〔</w:t>
      </w:r>
      <w:r>
        <w:t>2021</w:t>
      </w:r>
      <w:r>
        <w:t>〕</w:t>
      </w:r>
      <w:r>
        <w:t>15</w:t>
      </w:r>
      <w:r>
        <w:t>号）文件以及本项目采购文件与成交供应商响应文件进行验收。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3.3.4</w:t>
      </w:r>
      <w:r>
        <w:rPr>
          <w:b/>
          <w:sz w:val="24"/>
        </w:rPr>
        <w:t>支付方式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分期付款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3.3.5</w:t>
      </w:r>
      <w:r>
        <w:rPr>
          <w:b/>
          <w:sz w:val="24"/>
        </w:rPr>
        <w:t>支付约定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lastRenderedPageBreak/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8.30%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8.50%</w:t>
      </w:r>
      <w:r>
        <w:t>。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  <w:r>
        <w:t xml:space="preserve"> </w:t>
      </w:r>
      <w:r>
        <w:t>付款条件说明：</w:t>
      </w:r>
      <w:r>
        <w:t xml:space="preserve"> </w:t>
      </w:r>
      <w:r>
        <w:t>每月支付一次，根据供应商实际完成量进行结算</w:t>
      </w:r>
      <w:r>
        <w:t xml:space="preserve"> </w:t>
      </w:r>
      <w:r>
        <w:t>，达到付款条件起</w:t>
      </w:r>
      <w:r>
        <w:t xml:space="preserve"> 30 </w:t>
      </w:r>
      <w:r>
        <w:t>日内，支付合同总金额的</w:t>
      </w:r>
      <w:r>
        <w:t xml:space="preserve"> 8.50%</w:t>
      </w:r>
      <w:r>
        <w:t>。</w:t>
      </w:r>
    </w:p>
    <w:p w:rsidR="00785829" w:rsidRDefault="00785829" w:rsidP="00785829">
      <w:pPr>
        <w:pStyle w:val="null3"/>
        <w:outlineLvl w:val="3"/>
        <w:rPr>
          <w:lang w:eastAsia="zh-CN"/>
        </w:rPr>
      </w:pPr>
      <w:r>
        <w:rPr>
          <w:b/>
          <w:sz w:val="24"/>
        </w:rPr>
        <w:t>3.3.6</w:t>
      </w:r>
      <w:r>
        <w:rPr>
          <w:b/>
          <w:sz w:val="24"/>
        </w:rPr>
        <w:t>违约责任及解决争议的方法</w:t>
      </w:r>
    </w:p>
    <w:p w:rsidR="00785829" w:rsidRDefault="00785829" w:rsidP="00785829">
      <w:pPr>
        <w:pStyle w:val="null3"/>
        <w:rPr>
          <w:rFonts w:hint="default"/>
        </w:rPr>
      </w:pPr>
      <w:r>
        <w:t>采购包</w:t>
      </w:r>
      <w:r>
        <w:t>1</w:t>
      </w:r>
      <w:r>
        <w:t>：</w:t>
      </w:r>
    </w:p>
    <w:p w:rsidR="00785829" w:rsidRDefault="00785829" w:rsidP="00785829">
      <w:pPr>
        <w:pStyle w:val="null3"/>
        <w:rPr>
          <w:rFonts w:hint="default"/>
        </w:rPr>
      </w:pPr>
      <w:r>
        <w:t>与成交供应商在合同中约定</w:t>
      </w:r>
    </w:p>
    <w:p w:rsidR="00785829" w:rsidRDefault="00785829" w:rsidP="00785829">
      <w:pPr>
        <w:pStyle w:val="null3"/>
        <w:rPr>
          <w:rFonts w:hint="default"/>
        </w:rPr>
      </w:pPr>
    </w:p>
    <w:p w:rsidR="00D05751" w:rsidRPr="00785829" w:rsidRDefault="00D05751"/>
    <w:sectPr w:rsidR="00D05751" w:rsidRPr="00785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&quot;times new roman&quot;, &quot;serif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D"/>
    <w:rsid w:val="00570BED"/>
    <w:rsid w:val="00785829"/>
    <w:rsid w:val="00D0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ll3">
    <w:name w:val="null3"/>
    <w:hidden/>
    <w:rsid w:val="00785829"/>
    <w:rPr>
      <w:rFonts w:hint="eastAsia"/>
      <w:kern w:val="0"/>
      <w:sz w:val="20"/>
      <w:szCs w:val="20"/>
      <w:lang w:eastAsia="zh-H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ll3">
    <w:name w:val="null3"/>
    <w:hidden/>
    <w:rsid w:val="00785829"/>
    <w:rPr>
      <w:rFonts w:hint="eastAsia"/>
      <w:kern w:val="0"/>
      <w:sz w:val="20"/>
      <w:szCs w:val="20"/>
      <w:lang w:eastAsia="zh-H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2024-04-19T06:52:00Z</dcterms:created>
  <dcterms:modified xsi:type="dcterms:W3CDTF">2024-04-19T06:53:00Z</dcterms:modified>
</cp:coreProperties>
</file>