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采购需求</w:t>
      </w:r>
    </w:p>
    <w:p>
      <w:pPr>
        <w:tabs>
          <w:tab w:val="left" w:pos="0"/>
        </w:tabs>
        <w:spacing w:line="240" w:lineRule="auto"/>
        <w:ind w:firstLine="281" w:firstLineChars="100"/>
        <w:contextualSpacing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一、采购清单及要求</w:t>
      </w:r>
      <w:bookmarkStart w:id="0" w:name="_Toc256000023"/>
    </w:p>
    <w:tbl>
      <w:tblPr>
        <w:tblStyle w:val="3"/>
        <w:tblW w:w="10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89"/>
        <w:gridCol w:w="1141"/>
        <w:gridCol w:w="1159"/>
        <w:gridCol w:w="1101"/>
        <w:gridCol w:w="1217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1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36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  <w:jc w:val="center"/>
        </w:trPr>
        <w:tc>
          <w:tcPr>
            <w:tcW w:w="66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土壤培肥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/生物有机肥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240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亩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1800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432000</w:t>
            </w:r>
          </w:p>
        </w:tc>
        <w:tc>
          <w:tcPr>
            <w:tcW w:w="367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1.土壤培肥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执行标准NY/T525-2021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总养分（%）≥4%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有机质（%）≥45%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（带第三方检测报告）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水分（%）≤30%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PH值5.5-8.5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种子发芽指数（GI，%）≥70%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机械杂质质量分数（%）≤0.5%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粪大肠菌群数（个/克）≤100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蛔虫卵死亡率（%）≥95%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总砷（mg/kg）≤15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总汞（mg/kg）≤2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总铅（mg/kg）≤50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总镉（mg/kg）≤3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</w:rPr>
              <w:t>总铬（mg/kg）≤150</w:t>
            </w:r>
          </w:p>
        </w:tc>
      </w:tr>
      <w:bookmarkEnd w:id="0"/>
    </w:tbl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二、商务要求</w:t>
      </w:r>
    </w:p>
    <w:p>
      <w:pPr>
        <w:tabs>
          <w:tab w:val="left" w:pos="0"/>
        </w:tabs>
        <w:spacing w:line="560" w:lineRule="exact"/>
        <w:ind w:firstLine="562" w:firstLineChars="200"/>
        <w:contextualSpacing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（一）交货时间</w:t>
      </w:r>
      <w:bookmarkStart w:id="1" w:name="_GoBack"/>
      <w:bookmarkEnd w:id="1"/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合同签订后10日内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完成所有采购物资的供货。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（二）交货地点：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采购人指定地点。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（三）报价要求：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报价包含货物费用、运输、上下车费、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安装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、人工、税收和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文件规定的一切费用。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（四）付款方式及时间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280" w:firstLineChars="100"/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供应商须在完成所有采购物资的供货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及安装，经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采购单位签字确认无误后，供应商提供合法有效完整的完税发票，采购人在收到成交供应商发票后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日内向供应商支付货款。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（五）验收办法及标准：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1、验收办法：成交人与采购人应严格按照相关法律法规的要求和相关技术要求及《绵阳市财政局关于进一步加强履约验收工作通知》（绵财采（2021）15号）的要求进行验收。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2、验收标准：按国家相关规定及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磋商</w:t>
      </w:r>
      <w:r>
        <w:rPr>
          <w:rFonts w:hint="eastAsia" w:ascii="宋体" w:hAnsi="宋体" w:eastAsia="宋体" w:cs="宋体"/>
          <w:sz w:val="28"/>
          <w:szCs w:val="28"/>
        </w:rPr>
        <w:t>文件的要求、成交供应商的响应文件及服务承诺与合同约定标准进行验收。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（六）其它</w:t>
      </w:r>
    </w:p>
    <w:p>
      <w:pPr>
        <w:pStyle w:val="5"/>
        <w:tabs>
          <w:tab w:val="left" w:pos="0"/>
        </w:tabs>
        <w:wordWrap w:val="0"/>
        <w:adjustRightInd w:val="0"/>
        <w:snapToGrid w:val="0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1、在项目实施期间发生的安全事故均由成交供应商自行负责，采购人不承担任何责任；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2、成交供应商应严格执行国家有关劳动合同的相关法律和法规，切实保障劳动者的各项权益，负责人员的劳动保护、保险、工伤等事项。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ZmI3ZTJkYzIwYzk2ZGU2OTcxYjMwNTlhOTJmMWIifQ=="/>
  </w:docVars>
  <w:rsids>
    <w:rsidRoot w:val="6EFC39F6"/>
    <w:rsid w:val="6E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ascii="Calibri" w:hAnsi="Calibri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2024-04-24T06:02:00Z</dcterms:created>
  <dc:creator>Aventador</dc:creator>
  <cp:lastModifiedBy>Aventador</cp:lastModifiedBy>
  <dcterms:modified xsi:type="dcterms:W3CDTF">2024-04-24T06:03:06Z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E881E912CB774107BAFEB381BB86FF47_11</vt:lpwstr>
  </property>
</Properties>
</file>