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sz w:val="52"/>
          <w:szCs w:val="52"/>
        </w:rPr>
      </w:pPr>
    </w:p>
    <w:p>
      <w:pPr>
        <w:jc w:val="center"/>
        <w:rPr>
          <w:rFonts w:ascii="Times New Roman" w:hAnsi="Times New Roman" w:eastAsia="方正小标宋简体"/>
          <w:sz w:val="52"/>
          <w:szCs w:val="52"/>
        </w:rPr>
      </w:pPr>
    </w:p>
    <w:p>
      <w:pPr>
        <w:jc w:val="center"/>
        <w:rPr>
          <w:rFonts w:asciiTheme="majorEastAsia" w:hAnsiTheme="majorEastAsia" w:eastAsiaTheme="majorEastAsia"/>
          <w:sz w:val="52"/>
          <w:szCs w:val="52"/>
        </w:rPr>
      </w:pPr>
      <w:r>
        <w:rPr>
          <w:rFonts w:asciiTheme="majorEastAsia" w:hAnsiTheme="majorEastAsia" w:eastAsiaTheme="majorEastAsia"/>
          <w:sz w:val="52"/>
          <w:szCs w:val="52"/>
        </w:rPr>
        <w:t>政府采购项目采购需求</w:t>
      </w:r>
    </w:p>
    <w:p>
      <w:pPr>
        <w:jc w:val="center"/>
        <w:rPr>
          <w:rFonts w:ascii="Times New Roman" w:hAnsi="Times New Roman" w:eastAsia="方正小标宋简体"/>
          <w:sz w:val="44"/>
          <w:szCs w:val="44"/>
        </w:rPr>
      </w:pPr>
    </w:p>
    <w:p>
      <w:pPr>
        <w:ind w:firstLine="1440" w:firstLineChars="450"/>
        <w:rPr>
          <w:rFonts w:ascii="Times New Roman" w:hAnsi="Times New Roman" w:eastAsia="方正小标宋简体"/>
          <w:sz w:val="32"/>
          <w:szCs w:val="32"/>
        </w:rPr>
      </w:pPr>
    </w:p>
    <w:p>
      <w:pPr>
        <w:ind w:firstLine="1440" w:firstLineChars="450"/>
        <w:rPr>
          <w:rFonts w:ascii="Times New Roman" w:hAnsi="Times New Roman" w:eastAsia="方正小标宋简体"/>
          <w:sz w:val="32"/>
          <w:szCs w:val="32"/>
        </w:rPr>
      </w:pPr>
    </w:p>
    <w:p>
      <w:pPr>
        <w:ind w:firstLine="1440" w:firstLineChars="450"/>
        <w:rPr>
          <w:rFonts w:ascii="Times New Roman" w:hAnsi="Times New Roman" w:eastAsia="方正小标宋简体"/>
          <w:sz w:val="32"/>
          <w:szCs w:val="32"/>
        </w:rPr>
      </w:pPr>
    </w:p>
    <w:p>
      <w:pPr>
        <w:rPr>
          <w:rFonts w:asciiTheme="majorEastAsia" w:hAnsiTheme="majorEastAsia" w:eastAsiaTheme="majorEastAsia"/>
          <w:sz w:val="32"/>
          <w:szCs w:val="32"/>
          <w:u w:val="single"/>
        </w:rPr>
      </w:pPr>
      <w:r>
        <w:rPr>
          <w:rFonts w:asciiTheme="majorEastAsia" w:hAnsiTheme="majorEastAsia" w:eastAsiaTheme="majorEastAsia"/>
          <w:sz w:val="32"/>
          <w:szCs w:val="32"/>
        </w:rPr>
        <w:t>项目名称：</w:t>
      </w:r>
      <w:r>
        <w:rPr>
          <w:rFonts w:hint="eastAsia" w:asciiTheme="majorEastAsia" w:hAnsiTheme="majorEastAsia" w:eastAsiaTheme="majorEastAsia"/>
          <w:sz w:val="32"/>
          <w:szCs w:val="32"/>
          <w:u w:val="single"/>
        </w:rPr>
        <w:t>旺苍县人民医院连续血液透析机、麻醉机采购项目</w:t>
      </w:r>
    </w:p>
    <w:p>
      <w:pPr>
        <w:rPr>
          <w:rFonts w:asciiTheme="majorEastAsia" w:hAnsiTheme="majorEastAsia" w:eastAsiaTheme="majorEastAsia"/>
          <w:sz w:val="32"/>
          <w:szCs w:val="32"/>
          <w:u w:val="single"/>
        </w:rPr>
      </w:pPr>
      <w:r>
        <w:rPr>
          <w:rFonts w:asciiTheme="majorEastAsia" w:hAnsiTheme="majorEastAsia" w:eastAsiaTheme="majorEastAsia"/>
          <w:sz w:val="32"/>
          <w:szCs w:val="32"/>
        </w:rPr>
        <w:t>采购单位：</w:t>
      </w:r>
      <w:r>
        <w:rPr>
          <w:rFonts w:hint="eastAsia" w:asciiTheme="majorEastAsia" w:hAnsiTheme="majorEastAsia" w:eastAsiaTheme="majorEastAsia"/>
          <w:sz w:val="32"/>
          <w:szCs w:val="32"/>
          <w:u w:val="single"/>
        </w:rPr>
        <w:t>旺苍县人民医院</w:t>
      </w:r>
    </w:p>
    <w:p>
      <w:pPr>
        <w:rPr>
          <w:rFonts w:asciiTheme="majorEastAsia" w:hAnsiTheme="majorEastAsia" w:eastAsiaTheme="majorEastAsia"/>
          <w:sz w:val="32"/>
          <w:szCs w:val="32"/>
          <w:u w:val="single"/>
        </w:rPr>
      </w:pPr>
      <w:r>
        <w:rPr>
          <w:rFonts w:asciiTheme="majorEastAsia" w:hAnsiTheme="majorEastAsia" w:eastAsiaTheme="majorEastAsia"/>
          <w:sz w:val="32"/>
          <w:szCs w:val="32"/>
        </w:rPr>
        <w:t>编制单位：</w:t>
      </w:r>
      <w:r>
        <w:rPr>
          <w:rFonts w:hint="eastAsia" w:asciiTheme="majorEastAsia" w:hAnsiTheme="majorEastAsia" w:eastAsiaTheme="majorEastAsia"/>
          <w:sz w:val="32"/>
          <w:szCs w:val="32"/>
          <w:u w:val="single"/>
        </w:rPr>
        <w:t>成都方舟建设工程项目管理有限公司</w:t>
      </w:r>
    </w:p>
    <w:p>
      <w:pPr>
        <w:rPr>
          <w:rFonts w:ascii="Times New Roman" w:hAnsi="Times New Roman" w:eastAsia="方正小标宋简体"/>
          <w:sz w:val="32"/>
          <w:szCs w:val="32"/>
          <w:u w:val="single"/>
        </w:rPr>
      </w:pPr>
      <w:r>
        <w:rPr>
          <w:rFonts w:asciiTheme="majorEastAsia" w:hAnsiTheme="majorEastAsia" w:eastAsiaTheme="majorEastAsia"/>
          <w:sz w:val="32"/>
          <w:szCs w:val="32"/>
        </w:rPr>
        <w:t>编制时间：</w:t>
      </w:r>
      <w:r>
        <w:rPr>
          <w:rFonts w:hint="eastAsia" w:asciiTheme="majorEastAsia" w:hAnsiTheme="majorEastAsia" w:eastAsiaTheme="majorEastAsia"/>
          <w:sz w:val="32"/>
          <w:szCs w:val="32"/>
          <w:u w:val="single"/>
        </w:rPr>
        <w:t>2024年</w:t>
      </w:r>
      <w:r>
        <w:rPr>
          <w:rFonts w:hint="eastAsia" w:asciiTheme="majorEastAsia" w:hAnsiTheme="majorEastAsia" w:eastAsiaTheme="majorEastAsia"/>
          <w:sz w:val="32"/>
          <w:szCs w:val="32"/>
          <w:u w:val="single"/>
          <w:lang w:val="en-US" w:eastAsia="zh-CN"/>
        </w:rPr>
        <w:t>4</w:t>
      </w:r>
      <w:r>
        <w:rPr>
          <w:rFonts w:hint="eastAsia" w:asciiTheme="majorEastAsia" w:hAnsiTheme="majorEastAsia" w:eastAsiaTheme="majorEastAsia"/>
          <w:sz w:val="32"/>
          <w:szCs w:val="32"/>
          <w:u w:val="single"/>
        </w:rPr>
        <w:t>月</w:t>
      </w:r>
      <w:r>
        <w:rPr>
          <w:rFonts w:hint="eastAsia" w:asciiTheme="majorEastAsia" w:hAnsiTheme="majorEastAsia" w:eastAsiaTheme="majorEastAsia"/>
          <w:sz w:val="32"/>
          <w:szCs w:val="32"/>
          <w:u w:val="single"/>
          <w:lang w:val="en-US" w:eastAsia="zh-CN"/>
        </w:rPr>
        <w:t>19</w:t>
      </w:r>
      <w:r>
        <w:rPr>
          <w:rFonts w:hint="eastAsia" w:asciiTheme="majorEastAsia" w:hAnsiTheme="majorEastAsia" w:eastAsiaTheme="majorEastAsia"/>
          <w:sz w:val="32"/>
          <w:szCs w:val="32"/>
          <w:u w:val="single"/>
        </w:rPr>
        <w:t>日</w:t>
      </w:r>
    </w:p>
    <w:p>
      <w:pPr>
        <w:rPr>
          <w:rFonts w:ascii="Times New Roman" w:hAnsi="Times New Roman" w:eastAsia="方正小标宋简体"/>
          <w:sz w:val="44"/>
          <w:szCs w:val="44"/>
        </w:rPr>
      </w:pPr>
    </w:p>
    <w:p>
      <w:pPr>
        <w:rPr>
          <w:rFonts w:ascii="Times New Roman" w:hAnsi="Times New Roman" w:eastAsia="方正小标宋简体"/>
          <w:sz w:val="44"/>
          <w:szCs w:val="44"/>
        </w:rPr>
        <w:sectPr>
          <w:footerReference r:id="rId3" w:type="default"/>
          <w:footerReference r:id="rId4" w:type="even"/>
          <w:pgSz w:w="11906" w:h="16838"/>
          <w:pgMar w:top="1440" w:right="1800" w:bottom="1440" w:left="1800" w:header="851" w:footer="992" w:gutter="0"/>
          <w:pgNumType w:start="1"/>
          <w:cols w:space="720" w:num="1"/>
          <w:docGrid w:type="lines" w:linePitch="312" w:charSpace="0"/>
        </w:sectPr>
      </w:pPr>
    </w:p>
    <w:p>
      <w:pPr>
        <w:jc w:val="center"/>
        <w:rPr>
          <w:rFonts w:ascii="Times New Roman" w:hAnsi="Times New Roman" w:eastAsia="方正小标宋简体"/>
          <w:sz w:val="44"/>
          <w:szCs w:val="44"/>
        </w:rPr>
      </w:pPr>
      <w:r>
        <w:rPr>
          <w:rFonts w:ascii="Times New Roman" w:hAnsi="Times New Roman" w:eastAsia="方正小标宋简体"/>
          <w:sz w:val="44"/>
          <w:szCs w:val="44"/>
        </w:rPr>
        <w:t>编 制 说 明</w:t>
      </w:r>
    </w:p>
    <w:p>
      <w:pPr>
        <w:spacing w:line="560" w:lineRule="exact"/>
        <w:ind w:firstLine="640" w:firstLineChars="200"/>
        <w:rPr>
          <w:rFonts w:ascii="Times New Roman" w:hAnsi="Times New Roman" w:eastAsia="仿宋"/>
          <w:sz w:val="32"/>
          <w:szCs w:val="32"/>
        </w:rPr>
      </w:pPr>
    </w:p>
    <w:p>
      <w:pPr>
        <w:numPr>
          <w:ilvl w:val="0"/>
          <w:numId w:val="1"/>
        </w:num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采购单位自行组织编制采购需求。</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二、编制的采购需求应当符合《财政部关于印发政府采购需求管理办法的通知》（财库〔2021〕22号）要求及政府采购的相关规定。</w:t>
      </w:r>
    </w:p>
    <w:p>
      <w:pPr>
        <w:spacing w:line="560" w:lineRule="exact"/>
        <w:rPr>
          <w:rFonts w:ascii="Times New Roman" w:hAnsi="Times New Roman" w:eastAsia="仿宋_GB2312"/>
          <w:sz w:val="32"/>
          <w:szCs w:val="32"/>
        </w:rPr>
        <w:sectPr>
          <w:footerReference r:id="rId5" w:type="default"/>
          <w:pgSz w:w="11906" w:h="16838"/>
          <w:pgMar w:top="1440" w:right="1800" w:bottom="1440" w:left="1800" w:header="851" w:footer="992" w:gutter="0"/>
          <w:cols w:space="720" w:num="1"/>
          <w:docGrid w:type="lines" w:linePitch="312" w:charSpace="0"/>
        </w:sectPr>
      </w:pPr>
    </w:p>
    <w:p>
      <w:pPr>
        <w:spacing w:line="560" w:lineRule="exact"/>
        <w:ind w:firstLine="480" w:firstLineChars="200"/>
        <w:jc w:val="left"/>
        <w:rPr>
          <w:rFonts w:asciiTheme="majorEastAsia" w:hAnsiTheme="majorEastAsia" w:eastAsiaTheme="majorEastAsia"/>
          <w:sz w:val="24"/>
        </w:rPr>
      </w:pPr>
      <w:r>
        <w:rPr>
          <w:rFonts w:asciiTheme="majorEastAsia" w:hAnsiTheme="majorEastAsia" w:eastAsiaTheme="majorEastAsia"/>
          <w:sz w:val="24"/>
        </w:rPr>
        <w:t>一、需求调查情况</w:t>
      </w:r>
    </w:p>
    <w:p>
      <w:pPr>
        <w:spacing w:line="5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本项目不进行需求调查。</w:t>
      </w:r>
    </w:p>
    <w:p>
      <w:pPr>
        <w:spacing w:line="560" w:lineRule="exact"/>
        <w:ind w:firstLine="480" w:firstLineChars="200"/>
        <w:jc w:val="left"/>
        <w:rPr>
          <w:rFonts w:asciiTheme="majorEastAsia" w:hAnsiTheme="majorEastAsia" w:eastAsiaTheme="majorEastAsia"/>
          <w:sz w:val="24"/>
        </w:rPr>
      </w:pPr>
      <w:r>
        <w:rPr>
          <w:rFonts w:asciiTheme="majorEastAsia" w:hAnsiTheme="majorEastAsia" w:eastAsiaTheme="majorEastAsia"/>
          <w:sz w:val="24"/>
        </w:rPr>
        <w:t>二、需求清单</w:t>
      </w:r>
    </w:p>
    <w:p>
      <w:pPr>
        <w:spacing w:line="560" w:lineRule="exact"/>
        <w:ind w:firstLine="480" w:firstLineChars="200"/>
        <w:jc w:val="left"/>
        <w:rPr>
          <w:rFonts w:asciiTheme="majorEastAsia" w:hAnsiTheme="majorEastAsia" w:eastAsiaTheme="majorEastAsia"/>
          <w:sz w:val="24"/>
        </w:rPr>
      </w:pPr>
      <w:r>
        <w:rPr>
          <w:rFonts w:asciiTheme="majorEastAsia" w:hAnsiTheme="majorEastAsia" w:eastAsiaTheme="majorEastAsia"/>
          <w:sz w:val="24"/>
        </w:rPr>
        <w:t>（一）项目基本概况</w:t>
      </w:r>
    </w:p>
    <w:p>
      <w:pPr>
        <w:spacing w:line="5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旺苍县人民医院为提升医院急诊急救业务能力，实现危重病人床旁连续血液透析、提升手术安全性，满足急诊手术需求，采购血液透析机1台、麻醉机2台。</w:t>
      </w:r>
    </w:p>
    <w:p>
      <w:pPr>
        <w:spacing w:line="560" w:lineRule="exact"/>
        <w:ind w:firstLine="480" w:firstLineChars="200"/>
        <w:jc w:val="left"/>
        <w:rPr>
          <w:rFonts w:asciiTheme="majorEastAsia" w:hAnsiTheme="majorEastAsia" w:eastAsiaTheme="majorEastAsia"/>
          <w:sz w:val="24"/>
        </w:rPr>
      </w:pPr>
      <w:r>
        <w:rPr>
          <w:rFonts w:asciiTheme="majorEastAsia" w:hAnsiTheme="majorEastAsia" w:eastAsiaTheme="majorEastAsia"/>
          <w:sz w:val="24"/>
        </w:rPr>
        <w:t>（二）采购项目预（概）算</w:t>
      </w:r>
    </w:p>
    <w:p>
      <w:pPr>
        <w:pStyle w:val="9"/>
        <w:shd w:val="clear" w:color="auto" w:fill="FFFFFF"/>
        <w:spacing w:line="360" w:lineRule="auto"/>
        <w:ind w:firstLine="480" w:firstLineChars="200"/>
        <w:rPr>
          <w:rFonts w:cs="Times New Roman" w:asciiTheme="majorEastAsia" w:hAnsiTheme="majorEastAsia" w:eastAsiaTheme="majorEastAsia"/>
          <w:kern w:val="2"/>
          <w:u w:val="single"/>
        </w:rPr>
      </w:pPr>
      <w:r>
        <w:rPr>
          <w:rFonts w:cs="仿宋" w:asciiTheme="majorEastAsia" w:hAnsiTheme="majorEastAsia" w:eastAsiaTheme="majorEastAsia"/>
          <w:color w:val="000000"/>
        </w:rPr>
        <w:t>总 预 算：</w:t>
      </w:r>
      <w:r>
        <w:rPr>
          <w:rFonts w:hint="eastAsia" w:cs="Times New Roman" w:asciiTheme="majorEastAsia" w:hAnsiTheme="majorEastAsia" w:eastAsiaTheme="majorEastAsia"/>
          <w:kern w:val="2"/>
        </w:rPr>
        <w:t>97万元。</w:t>
      </w:r>
    </w:p>
    <w:p>
      <w:pPr>
        <w:spacing w:line="5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（三）</w:t>
      </w:r>
      <w:r>
        <w:rPr>
          <w:rFonts w:hint="eastAsia" w:ascii="宋体" w:hAnsi="宋体" w:cs="宋体"/>
          <w:sz w:val="24"/>
        </w:rPr>
        <w:t>定向采购情况：本项目专门面向中小企业采购（是□ 否</w:t>
      </w:r>
      <w:r>
        <w:rPr>
          <w:rFonts w:hint="eastAsia" w:ascii="MS Mincho" w:hAnsi="MS Mincho" w:eastAsia="MS Mincho" w:cs="MS Mincho"/>
          <w:sz w:val="24"/>
        </w:rPr>
        <w:t>☑</w:t>
      </w:r>
      <w:r>
        <w:rPr>
          <w:rFonts w:hint="eastAsia" w:ascii="宋体" w:hAnsi="宋体" w:cs="宋体"/>
          <w:sz w:val="24"/>
        </w:rPr>
        <w:t>）</w:t>
      </w:r>
    </w:p>
    <w:p>
      <w:pPr>
        <w:spacing w:line="5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（四）</w:t>
      </w:r>
      <w:r>
        <w:rPr>
          <w:rFonts w:hint="eastAsia" w:ascii="宋体" w:hAnsi="宋体" w:cs="宋体"/>
          <w:sz w:val="24"/>
        </w:rPr>
        <w:t>采购标的所属行业：工业。</w:t>
      </w:r>
    </w:p>
    <w:p>
      <w:pPr>
        <w:spacing w:line="560" w:lineRule="exact"/>
        <w:ind w:firstLine="480" w:firstLineChars="200"/>
        <w:jc w:val="left"/>
        <w:rPr>
          <w:rFonts w:asciiTheme="majorEastAsia" w:hAnsiTheme="majorEastAsia" w:eastAsiaTheme="majorEastAsia"/>
          <w:sz w:val="24"/>
        </w:rPr>
      </w:pPr>
      <w:r>
        <w:rPr>
          <w:rFonts w:asciiTheme="majorEastAsia" w:hAnsiTheme="majorEastAsia" w:eastAsiaTheme="majorEastAsia"/>
          <w:sz w:val="24"/>
        </w:rPr>
        <w:t>（</w:t>
      </w:r>
      <w:r>
        <w:rPr>
          <w:rFonts w:hint="eastAsia" w:asciiTheme="majorEastAsia" w:hAnsiTheme="majorEastAsia" w:eastAsiaTheme="majorEastAsia"/>
          <w:sz w:val="24"/>
        </w:rPr>
        <w:t>五</w:t>
      </w:r>
      <w:r>
        <w:rPr>
          <w:rFonts w:asciiTheme="majorEastAsia" w:hAnsiTheme="majorEastAsia" w:eastAsiaTheme="majorEastAsia"/>
          <w:sz w:val="24"/>
        </w:rPr>
        <w:t>）采购标的汇总表</w:t>
      </w:r>
    </w:p>
    <w:tbl>
      <w:tblPr>
        <w:tblStyle w:val="10"/>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646"/>
        <w:gridCol w:w="2126"/>
        <w:gridCol w:w="1276"/>
        <w:gridCol w:w="992"/>
        <w:gridCol w:w="992"/>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851" w:type="dxa"/>
            <w:vAlign w:val="center"/>
          </w:tcPr>
          <w:p>
            <w:pPr>
              <w:spacing w:line="560" w:lineRule="exact"/>
              <w:jc w:val="center"/>
              <w:rPr>
                <w:rFonts w:asciiTheme="majorEastAsia" w:hAnsiTheme="majorEastAsia" w:eastAsiaTheme="majorEastAsia"/>
                <w:b/>
                <w:szCs w:val="21"/>
              </w:rPr>
            </w:pPr>
            <w:r>
              <w:rPr>
                <w:rFonts w:asciiTheme="majorEastAsia" w:hAnsiTheme="majorEastAsia" w:eastAsiaTheme="majorEastAsia"/>
                <w:b/>
                <w:szCs w:val="21"/>
              </w:rPr>
              <w:t>包号</w:t>
            </w:r>
          </w:p>
        </w:tc>
        <w:tc>
          <w:tcPr>
            <w:tcW w:w="646" w:type="dxa"/>
            <w:vAlign w:val="center"/>
          </w:tcPr>
          <w:p>
            <w:pPr>
              <w:spacing w:line="560" w:lineRule="exact"/>
              <w:jc w:val="center"/>
              <w:rPr>
                <w:rFonts w:asciiTheme="majorEastAsia" w:hAnsiTheme="majorEastAsia" w:eastAsiaTheme="majorEastAsia"/>
                <w:b/>
                <w:szCs w:val="21"/>
              </w:rPr>
            </w:pPr>
            <w:r>
              <w:rPr>
                <w:rFonts w:asciiTheme="majorEastAsia" w:hAnsiTheme="majorEastAsia" w:eastAsiaTheme="majorEastAsia"/>
                <w:b/>
                <w:szCs w:val="21"/>
              </w:rPr>
              <w:t>序号</w:t>
            </w:r>
          </w:p>
        </w:tc>
        <w:tc>
          <w:tcPr>
            <w:tcW w:w="2126" w:type="dxa"/>
            <w:vAlign w:val="center"/>
          </w:tcPr>
          <w:p>
            <w:pPr>
              <w:spacing w:line="560" w:lineRule="exact"/>
              <w:jc w:val="center"/>
              <w:rPr>
                <w:rFonts w:asciiTheme="majorEastAsia" w:hAnsiTheme="majorEastAsia" w:eastAsiaTheme="majorEastAsia"/>
                <w:b/>
                <w:szCs w:val="21"/>
              </w:rPr>
            </w:pPr>
            <w:r>
              <w:rPr>
                <w:rFonts w:asciiTheme="majorEastAsia" w:hAnsiTheme="majorEastAsia" w:eastAsiaTheme="majorEastAsia"/>
                <w:b/>
                <w:szCs w:val="21"/>
              </w:rPr>
              <w:t>标的名称</w:t>
            </w:r>
          </w:p>
        </w:tc>
        <w:tc>
          <w:tcPr>
            <w:tcW w:w="1276" w:type="dxa"/>
            <w:vAlign w:val="center"/>
          </w:tcPr>
          <w:p>
            <w:pPr>
              <w:spacing w:line="560" w:lineRule="exact"/>
              <w:jc w:val="center"/>
              <w:rPr>
                <w:rFonts w:asciiTheme="majorEastAsia" w:hAnsiTheme="majorEastAsia" w:eastAsiaTheme="majorEastAsia"/>
                <w:b/>
                <w:szCs w:val="21"/>
              </w:rPr>
            </w:pPr>
            <w:r>
              <w:rPr>
                <w:rFonts w:asciiTheme="majorEastAsia" w:hAnsiTheme="majorEastAsia" w:eastAsiaTheme="majorEastAsia"/>
                <w:b/>
                <w:szCs w:val="21"/>
              </w:rPr>
              <w:t>品目</w:t>
            </w:r>
          </w:p>
          <w:p>
            <w:pPr>
              <w:spacing w:line="560" w:lineRule="exact"/>
              <w:jc w:val="center"/>
              <w:rPr>
                <w:rFonts w:asciiTheme="majorEastAsia" w:hAnsiTheme="majorEastAsia" w:eastAsiaTheme="majorEastAsia"/>
                <w:b/>
                <w:szCs w:val="21"/>
              </w:rPr>
            </w:pPr>
            <w:r>
              <w:rPr>
                <w:rFonts w:asciiTheme="majorEastAsia" w:hAnsiTheme="majorEastAsia" w:eastAsiaTheme="majorEastAsia"/>
                <w:b/>
                <w:szCs w:val="21"/>
              </w:rPr>
              <w:t>分类编码</w:t>
            </w:r>
          </w:p>
        </w:tc>
        <w:tc>
          <w:tcPr>
            <w:tcW w:w="992" w:type="dxa"/>
            <w:vAlign w:val="center"/>
          </w:tcPr>
          <w:p>
            <w:pPr>
              <w:spacing w:line="560" w:lineRule="exact"/>
              <w:jc w:val="center"/>
              <w:rPr>
                <w:rFonts w:asciiTheme="majorEastAsia" w:hAnsiTheme="majorEastAsia" w:eastAsiaTheme="majorEastAsia"/>
                <w:b/>
                <w:szCs w:val="21"/>
              </w:rPr>
            </w:pPr>
            <w:r>
              <w:rPr>
                <w:rFonts w:asciiTheme="majorEastAsia" w:hAnsiTheme="majorEastAsia" w:eastAsiaTheme="majorEastAsia"/>
                <w:b/>
                <w:szCs w:val="21"/>
              </w:rPr>
              <w:t>计量</w:t>
            </w:r>
          </w:p>
          <w:p>
            <w:pPr>
              <w:spacing w:line="560" w:lineRule="exact"/>
              <w:jc w:val="center"/>
              <w:rPr>
                <w:rFonts w:asciiTheme="majorEastAsia" w:hAnsiTheme="majorEastAsia" w:eastAsiaTheme="majorEastAsia"/>
                <w:b/>
                <w:szCs w:val="21"/>
              </w:rPr>
            </w:pPr>
            <w:r>
              <w:rPr>
                <w:rFonts w:asciiTheme="majorEastAsia" w:hAnsiTheme="majorEastAsia" w:eastAsiaTheme="majorEastAsia"/>
                <w:b/>
                <w:szCs w:val="21"/>
              </w:rPr>
              <w:t>单位</w:t>
            </w:r>
          </w:p>
        </w:tc>
        <w:tc>
          <w:tcPr>
            <w:tcW w:w="992" w:type="dxa"/>
            <w:vAlign w:val="center"/>
          </w:tcPr>
          <w:p>
            <w:pPr>
              <w:spacing w:line="560" w:lineRule="exact"/>
              <w:jc w:val="center"/>
              <w:rPr>
                <w:rFonts w:asciiTheme="majorEastAsia" w:hAnsiTheme="majorEastAsia" w:eastAsiaTheme="majorEastAsia"/>
                <w:b/>
                <w:szCs w:val="21"/>
              </w:rPr>
            </w:pPr>
            <w:r>
              <w:rPr>
                <w:rFonts w:asciiTheme="majorEastAsia" w:hAnsiTheme="majorEastAsia" w:eastAsiaTheme="majorEastAsia"/>
                <w:b/>
                <w:szCs w:val="21"/>
              </w:rPr>
              <w:t>数量</w:t>
            </w:r>
          </w:p>
        </w:tc>
        <w:tc>
          <w:tcPr>
            <w:tcW w:w="1580" w:type="dxa"/>
            <w:vAlign w:val="center"/>
          </w:tcPr>
          <w:p>
            <w:pPr>
              <w:spacing w:line="560" w:lineRule="exact"/>
              <w:jc w:val="center"/>
              <w:rPr>
                <w:rFonts w:asciiTheme="majorEastAsia" w:hAnsiTheme="majorEastAsia" w:eastAsiaTheme="majorEastAsia"/>
                <w:b/>
                <w:szCs w:val="21"/>
              </w:rPr>
            </w:pPr>
            <w:r>
              <w:rPr>
                <w:rFonts w:asciiTheme="majorEastAsia" w:hAnsiTheme="majorEastAsia" w:eastAsiaTheme="majorEastAsia"/>
                <w:b/>
                <w:szCs w:val="21"/>
              </w:rPr>
              <w:t>是否</w:t>
            </w:r>
            <w:r>
              <w:rPr>
                <w:rFonts w:hint="eastAsia" w:asciiTheme="majorEastAsia" w:hAnsiTheme="majorEastAsia" w:eastAsiaTheme="majorEastAsia"/>
                <w:b/>
                <w:szCs w:val="21"/>
              </w:rPr>
              <w:t>允许</w:t>
            </w:r>
            <w:r>
              <w:rPr>
                <w:rFonts w:asciiTheme="majorEastAsia" w:hAnsiTheme="majorEastAsia" w:eastAsiaTheme="majorEastAsia"/>
                <w:b/>
                <w:szCs w:val="21"/>
              </w:rPr>
              <w:t>进口</w:t>
            </w:r>
            <w:r>
              <w:rPr>
                <w:rFonts w:hint="eastAsia" w:asciiTheme="majorEastAsia" w:hAnsiTheme="majorEastAsia" w:eastAsiaTheme="majorEastAsia"/>
                <w:b/>
                <w:szCs w:val="21"/>
              </w:rPr>
              <w:t>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jc w:val="center"/>
        </w:trPr>
        <w:tc>
          <w:tcPr>
            <w:tcW w:w="851" w:type="dxa"/>
            <w:vAlign w:val="center"/>
          </w:tcPr>
          <w:p>
            <w:pPr>
              <w:spacing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1</w:t>
            </w:r>
          </w:p>
        </w:tc>
        <w:tc>
          <w:tcPr>
            <w:tcW w:w="646" w:type="dxa"/>
            <w:vAlign w:val="center"/>
          </w:tcPr>
          <w:p>
            <w:pPr>
              <w:spacing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1</w:t>
            </w:r>
          </w:p>
        </w:tc>
        <w:tc>
          <w:tcPr>
            <w:tcW w:w="2126" w:type="dxa"/>
            <w:vAlign w:val="center"/>
          </w:tcPr>
          <w:p>
            <w:pPr>
              <w:spacing w:line="560" w:lineRule="exact"/>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rPr>
              <w:t>体外循环设备</w:t>
            </w:r>
          </w:p>
        </w:tc>
        <w:tc>
          <w:tcPr>
            <w:tcW w:w="1276" w:type="dxa"/>
            <w:vAlign w:val="center"/>
          </w:tcPr>
          <w:p>
            <w:pPr>
              <w:spacing w:line="560" w:lineRule="exact"/>
              <w:jc w:val="center"/>
              <w:rPr>
                <w:rFonts w:asciiTheme="majorEastAsia" w:hAnsiTheme="majorEastAsia" w:eastAsiaTheme="majorEastAsia"/>
                <w:szCs w:val="21"/>
              </w:rPr>
            </w:pPr>
            <w:r>
              <w:rPr>
                <w:rFonts w:asciiTheme="majorEastAsia" w:hAnsiTheme="majorEastAsia" w:eastAsiaTheme="majorEastAsia"/>
                <w:szCs w:val="21"/>
              </w:rPr>
              <w:t>A</w:t>
            </w:r>
            <w:r>
              <w:rPr>
                <w:rFonts w:hint="eastAsia" w:asciiTheme="majorEastAsia" w:hAnsiTheme="majorEastAsia" w:eastAsiaTheme="majorEastAsia"/>
                <w:szCs w:val="21"/>
              </w:rPr>
              <w:t>02322100</w:t>
            </w:r>
          </w:p>
        </w:tc>
        <w:tc>
          <w:tcPr>
            <w:tcW w:w="992" w:type="dxa"/>
            <w:vAlign w:val="center"/>
          </w:tcPr>
          <w:p>
            <w:pPr>
              <w:spacing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台</w:t>
            </w:r>
          </w:p>
        </w:tc>
        <w:tc>
          <w:tcPr>
            <w:tcW w:w="992" w:type="dxa"/>
            <w:vAlign w:val="center"/>
          </w:tcPr>
          <w:p>
            <w:pPr>
              <w:spacing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1</w:t>
            </w:r>
          </w:p>
        </w:tc>
        <w:tc>
          <w:tcPr>
            <w:tcW w:w="1580" w:type="dxa"/>
            <w:vAlign w:val="center"/>
          </w:tcPr>
          <w:p>
            <w:pPr>
              <w:spacing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jc w:val="center"/>
        </w:trPr>
        <w:tc>
          <w:tcPr>
            <w:tcW w:w="851" w:type="dxa"/>
            <w:vAlign w:val="center"/>
          </w:tcPr>
          <w:p>
            <w:pPr>
              <w:spacing w:line="560" w:lineRule="exact"/>
              <w:jc w:val="center"/>
              <w:rPr>
                <w:rFonts w:hint="eastAsia" w:asciiTheme="majorEastAsia" w:hAnsiTheme="majorEastAsia" w:eastAsiaTheme="majorEastAsia"/>
                <w:szCs w:val="21"/>
              </w:rPr>
            </w:pPr>
            <w:r>
              <w:rPr>
                <w:rFonts w:hint="eastAsia" w:asciiTheme="majorEastAsia" w:hAnsiTheme="majorEastAsia" w:eastAsiaTheme="majorEastAsia"/>
                <w:szCs w:val="21"/>
              </w:rPr>
              <w:t>2</w:t>
            </w:r>
          </w:p>
        </w:tc>
        <w:tc>
          <w:tcPr>
            <w:tcW w:w="646" w:type="dxa"/>
            <w:vAlign w:val="center"/>
          </w:tcPr>
          <w:p>
            <w:pPr>
              <w:spacing w:line="560" w:lineRule="exact"/>
              <w:jc w:val="center"/>
              <w:rPr>
                <w:rFonts w:hint="eastAsia" w:asciiTheme="majorEastAsia" w:hAnsiTheme="majorEastAsia" w:eastAsiaTheme="majorEastAsia"/>
                <w:szCs w:val="21"/>
              </w:rPr>
            </w:pPr>
            <w:r>
              <w:rPr>
                <w:rFonts w:hint="eastAsia" w:asciiTheme="majorEastAsia" w:hAnsiTheme="majorEastAsia" w:eastAsiaTheme="majorEastAsia"/>
                <w:szCs w:val="21"/>
              </w:rPr>
              <w:t>2</w:t>
            </w:r>
          </w:p>
        </w:tc>
        <w:tc>
          <w:tcPr>
            <w:tcW w:w="2126" w:type="dxa"/>
            <w:vAlign w:val="center"/>
          </w:tcPr>
          <w:p>
            <w:pPr>
              <w:spacing w:line="560" w:lineRule="exact"/>
              <w:jc w:val="center"/>
              <w:rPr>
                <w:rFonts w:hint="eastAsia" w:eastAsiaTheme="majorEastAsia"/>
                <w:lang w:val="en-US" w:eastAsia="zh-CN"/>
              </w:rPr>
            </w:pPr>
            <w:r>
              <w:rPr>
                <w:rFonts w:hint="eastAsia" w:asciiTheme="majorEastAsia" w:hAnsiTheme="majorEastAsia" w:eastAsiaTheme="majorEastAsia"/>
                <w:szCs w:val="21"/>
              </w:rPr>
              <w:t>急救和生命支持设备</w:t>
            </w:r>
          </w:p>
        </w:tc>
        <w:tc>
          <w:tcPr>
            <w:tcW w:w="1276" w:type="dxa"/>
            <w:vAlign w:val="center"/>
          </w:tcPr>
          <w:p>
            <w:pPr>
              <w:spacing w:line="560" w:lineRule="exact"/>
              <w:jc w:val="center"/>
              <w:rPr>
                <w:rFonts w:asciiTheme="majorEastAsia" w:hAnsiTheme="majorEastAsia" w:eastAsiaTheme="majorEastAsia"/>
                <w:szCs w:val="21"/>
              </w:rPr>
            </w:pPr>
            <w:r>
              <w:rPr>
                <w:rFonts w:asciiTheme="majorEastAsia" w:hAnsiTheme="majorEastAsia" w:eastAsiaTheme="majorEastAsia"/>
                <w:szCs w:val="21"/>
              </w:rPr>
              <w:t>A02322500</w:t>
            </w:r>
          </w:p>
        </w:tc>
        <w:tc>
          <w:tcPr>
            <w:tcW w:w="992" w:type="dxa"/>
            <w:vAlign w:val="center"/>
          </w:tcPr>
          <w:p>
            <w:pPr>
              <w:spacing w:line="560" w:lineRule="exact"/>
              <w:jc w:val="center"/>
              <w:rPr>
                <w:rFonts w:hint="eastAsia" w:asciiTheme="majorEastAsia" w:hAnsiTheme="majorEastAsia" w:eastAsiaTheme="majorEastAsia"/>
                <w:szCs w:val="21"/>
              </w:rPr>
            </w:pPr>
            <w:r>
              <w:rPr>
                <w:rFonts w:hint="eastAsia" w:asciiTheme="majorEastAsia" w:hAnsiTheme="majorEastAsia" w:eastAsiaTheme="majorEastAsia"/>
                <w:szCs w:val="21"/>
              </w:rPr>
              <w:t>台</w:t>
            </w:r>
          </w:p>
        </w:tc>
        <w:tc>
          <w:tcPr>
            <w:tcW w:w="992" w:type="dxa"/>
            <w:vAlign w:val="center"/>
          </w:tcPr>
          <w:p>
            <w:pPr>
              <w:spacing w:line="560" w:lineRule="exact"/>
              <w:jc w:val="center"/>
              <w:rPr>
                <w:rFonts w:hint="eastAsia" w:asciiTheme="majorEastAsia" w:hAnsiTheme="majorEastAsia" w:eastAsiaTheme="majorEastAsia"/>
                <w:szCs w:val="21"/>
              </w:rPr>
            </w:pPr>
            <w:r>
              <w:rPr>
                <w:rFonts w:hint="eastAsia" w:asciiTheme="majorEastAsia" w:hAnsiTheme="majorEastAsia" w:eastAsiaTheme="majorEastAsia"/>
                <w:szCs w:val="21"/>
              </w:rPr>
              <w:t>2</w:t>
            </w:r>
          </w:p>
        </w:tc>
        <w:tc>
          <w:tcPr>
            <w:tcW w:w="1580" w:type="dxa"/>
            <w:vAlign w:val="center"/>
          </w:tcPr>
          <w:p>
            <w:pPr>
              <w:spacing w:line="560" w:lineRule="exact"/>
              <w:jc w:val="center"/>
              <w:rPr>
                <w:rFonts w:hint="eastAsia" w:asciiTheme="majorEastAsia" w:hAnsiTheme="majorEastAsia" w:eastAsiaTheme="majorEastAsia"/>
                <w:szCs w:val="21"/>
              </w:rPr>
            </w:pPr>
            <w:r>
              <w:rPr>
                <w:rFonts w:hint="eastAsia" w:asciiTheme="majorEastAsia" w:hAnsiTheme="majorEastAsia" w:eastAsiaTheme="majorEastAsia"/>
                <w:szCs w:val="21"/>
              </w:rPr>
              <w:t>否</w:t>
            </w:r>
          </w:p>
        </w:tc>
      </w:tr>
    </w:tbl>
    <w:p>
      <w:pPr>
        <w:spacing w:line="560" w:lineRule="exact"/>
        <w:ind w:firstLine="480" w:firstLineChars="200"/>
        <w:jc w:val="left"/>
        <w:rPr>
          <w:rFonts w:asciiTheme="majorEastAsia" w:hAnsiTheme="majorEastAsia" w:eastAsiaTheme="majorEastAsia"/>
          <w:sz w:val="24"/>
        </w:rPr>
      </w:pPr>
    </w:p>
    <w:p>
      <w:pPr>
        <w:spacing w:line="560" w:lineRule="exact"/>
        <w:ind w:firstLine="480" w:firstLineChars="200"/>
        <w:jc w:val="left"/>
        <w:rPr>
          <w:rFonts w:asciiTheme="majorEastAsia" w:hAnsiTheme="majorEastAsia" w:eastAsiaTheme="majorEastAsia"/>
          <w:sz w:val="24"/>
        </w:rPr>
      </w:pPr>
    </w:p>
    <w:p>
      <w:pPr>
        <w:spacing w:line="560" w:lineRule="exact"/>
        <w:ind w:firstLine="480" w:firstLineChars="200"/>
        <w:jc w:val="left"/>
        <w:rPr>
          <w:rFonts w:asciiTheme="majorEastAsia" w:hAnsiTheme="majorEastAsia" w:eastAsiaTheme="majorEastAsia"/>
          <w:sz w:val="24"/>
        </w:rPr>
      </w:pPr>
    </w:p>
    <w:p>
      <w:pPr>
        <w:spacing w:line="560" w:lineRule="exact"/>
        <w:ind w:firstLine="480" w:firstLineChars="200"/>
        <w:jc w:val="left"/>
        <w:rPr>
          <w:rFonts w:asciiTheme="majorEastAsia" w:hAnsiTheme="majorEastAsia" w:eastAsiaTheme="majorEastAsia"/>
          <w:sz w:val="24"/>
        </w:rPr>
      </w:pPr>
    </w:p>
    <w:p>
      <w:pPr>
        <w:spacing w:line="560" w:lineRule="exact"/>
        <w:ind w:firstLine="480" w:firstLineChars="200"/>
        <w:jc w:val="left"/>
        <w:rPr>
          <w:rFonts w:asciiTheme="majorEastAsia" w:hAnsiTheme="majorEastAsia" w:eastAsiaTheme="majorEastAsia"/>
          <w:sz w:val="24"/>
        </w:rPr>
      </w:pPr>
    </w:p>
    <w:p>
      <w:pPr>
        <w:spacing w:line="560" w:lineRule="exact"/>
        <w:ind w:firstLine="480" w:firstLineChars="200"/>
        <w:jc w:val="left"/>
        <w:rPr>
          <w:rFonts w:asciiTheme="majorEastAsia" w:hAnsiTheme="majorEastAsia" w:eastAsiaTheme="majorEastAsia"/>
          <w:sz w:val="24"/>
        </w:rPr>
      </w:pPr>
    </w:p>
    <w:p>
      <w:pPr>
        <w:spacing w:line="560" w:lineRule="exact"/>
        <w:jc w:val="left"/>
        <w:rPr>
          <w:rFonts w:asciiTheme="majorEastAsia" w:hAnsiTheme="majorEastAsia" w:eastAsiaTheme="majorEastAsia"/>
          <w:sz w:val="24"/>
        </w:rPr>
        <w:sectPr>
          <w:pgSz w:w="11906" w:h="16838"/>
          <w:pgMar w:top="1440" w:right="1800" w:bottom="1440" w:left="1800" w:header="851" w:footer="992" w:gutter="0"/>
          <w:cols w:space="425" w:num="1"/>
          <w:docGrid w:type="lines" w:linePitch="312" w:charSpace="0"/>
        </w:sectPr>
      </w:pPr>
    </w:p>
    <w:p>
      <w:pPr>
        <w:spacing w:line="560" w:lineRule="exact"/>
        <w:ind w:firstLine="480" w:firstLineChars="200"/>
        <w:jc w:val="left"/>
        <w:rPr>
          <w:rFonts w:asciiTheme="majorEastAsia" w:hAnsiTheme="majorEastAsia" w:eastAsiaTheme="majorEastAsia"/>
          <w:sz w:val="24"/>
        </w:rPr>
      </w:pPr>
      <w:r>
        <w:rPr>
          <w:rFonts w:asciiTheme="majorEastAsia" w:hAnsiTheme="majorEastAsia" w:eastAsiaTheme="majorEastAsia"/>
          <w:sz w:val="24"/>
        </w:rPr>
        <w:t>（</w:t>
      </w:r>
      <w:r>
        <w:rPr>
          <w:rFonts w:hint="eastAsia" w:asciiTheme="majorEastAsia" w:hAnsiTheme="majorEastAsia" w:eastAsiaTheme="majorEastAsia"/>
          <w:sz w:val="24"/>
        </w:rPr>
        <w:t>六</w:t>
      </w:r>
      <w:r>
        <w:rPr>
          <w:rFonts w:asciiTheme="majorEastAsia" w:hAnsiTheme="majorEastAsia" w:eastAsiaTheme="majorEastAsia"/>
          <w:sz w:val="24"/>
        </w:rPr>
        <w:t>）技术商务要求</w:t>
      </w:r>
    </w:p>
    <w:p>
      <w:pPr>
        <w:spacing w:line="5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一、项目概况：旺苍县人民医院为提升医院急诊急救业务能力，实现危重病人床旁连续血液透析、提升手术安全性，满足急诊手术需求，采购血液透析机1台、麻醉机2台。</w:t>
      </w:r>
    </w:p>
    <w:p>
      <w:pPr>
        <w:spacing w:line="560" w:lineRule="exact"/>
        <w:ind w:firstLine="480" w:firstLineChars="200"/>
        <w:jc w:val="left"/>
        <w:rPr>
          <w:rFonts w:hint="eastAsia" w:asciiTheme="majorEastAsia" w:hAnsiTheme="majorEastAsia" w:eastAsiaTheme="majorEastAsia"/>
          <w:sz w:val="24"/>
        </w:rPr>
      </w:pPr>
      <w:r>
        <w:rPr>
          <w:rFonts w:hint="eastAsia" w:asciiTheme="majorEastAsia" w:hAnsiTheme="majorEastAsia" w:eastAsiaTheme="majorEastAsia"/>
          <w:sz w:val="24"/>
        </w:rPr>
        <w:t>二、货物清单及配置：</w:t>
      </w:r>
    </w:p>
    <w:p>
      <w:pPr>
        <w:pStyle w:val="2"/>
        <w:ind w:firstLine="480" w:firstLineChars="200"/>
        <w:rPr>
          <w:rFonts w:hint="eastAsia" w:eastAsiaTheme="majorEastAsia"/>
          <w:lang w:eastAsia="zh-CN"/>
        </w:rPr>
      </w:pPr>
      <w:r>
        <w:rPr>
          <w:rFonts w:hint="eastAsia" w:asciiTheme="majorEastAsia" w:hAnsiTheme="majorEastAsia" w:eastAsiaTheme="majorEastAsia"/>
          <w:sz w:val="24"/>
          <w:lang w:eastAsia="zh-CN"/>
        </w:rPr>
        <w:t>包件一：</w:t>
      </w:r>
    </w:p>
    <w:tbl>
      <w:tblPr>
        <w:tblStyle w:val="10"/>
        <w:tblW w:w="8520" w:type="dxa"/>
        <w:tblInd w:w="93" w:type="dxa"/>
        <w:tblLayout w:type="fixed"/>
        <w:tblCellMar>
          <w:top w:w="0" w:type="dxa"/>
          <w:left w:w="108" w:type="dxa"/>
          <w:bottom w:w="0" w:type="dxa"/>
          <w:right w:w="108" w:type="dxa"/>
        </w:tblCellMar>
      </w:tblPr>
      <w:tblGrid>
        <w:gridCol w:w="724"/>
        <w:gridCol w:w="1276"/>
        <w:gridCol w:w="709"/>
        <w:gridCol w:w="708"/>
        <w:gridCol w:w="4253"/>
        <w:gridCol w:w="850"/>
      </w:tblGrid>
      <w:tr>
        <w:tblPrEx>
          <w:tblCellMar>
            <w:top w:w="0" w:type="dxa"/>
            <w:left w:w="108" w:type="dxa"/>
            <w:bottom w:w="0" w:type="dxa"/>
            <w:right w:w="108" w:type="dxa"/>
          </w:tblCellMar>
        </w:tblPrEx>
        <w:trPr>
          <w:trHeight w:val="570" w:hRule="atLeast"/>
        </w:trPr>
        <w:tc>
          <w:tcPr>
            <w:tcW w:w="724"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9"/>
              <w:shd w:val="clear" w:color="auto" w:fill="FFFFFF"/>
              <w:spacing w:line="440" w:lineRule="exact"/>
              <w:jc w:val="center"/>
              <w:rPr>
                <w:rFonts w:cs="仿宋_GB2312" w:asciiTheme="majorEastAsia" w:hAnsiTheme="majorEastAsia" w:eastAsiaTheme="majorEastAsia"/>
                <w:sz w:val="21"/>
                <w:szCs w:val="21"/>
              </w:rPr>
            </w:pPr>
            <w:r>
              <w:rPr>
                <w:rFonts w:hint="eastAsia" w:cs="仿宋_GB2312" w:asciiTheme="majorEastAsia" w:hAnsiTheme="majorEastAsia" w:eastAsiaTheme="majorEastAsia"/>
                <w:sz w:val="21"/>
                <w:szCs w:val="21"/>
              </w:rPr>
              <w:t>序号</w:t>
            </w:r>
          </w:p>
        </w:tc>
        <w:tc>
          <w:tcPr>
            <w:tcW w:w="1276" w:type="dxa"/>
            <w:tcBorders>
              <w:top w:val="single" w:color="auto" w:sz="4" w:space="0"/>
              <w:left w:val="nil"/>
              <w:bottom w:val="single" w:color="auto" w:sz="4" w:space="0"/>
              <w:right w:val="single" w:color="auto" w:sz="4" w:space="0"/>
            </w:tcBorders>
            <w:shd w:val="clear" w:color="000000" w:fill="FFFFFF"/>
            <w:vAlign w:val="center"/>
          </w:tcPr>
          <w:p>
            <w:pPr>
              <w:pStyle w:val="9"/>
              <w:shd w:val="clear" w:color="auto" w:fill="FFFFFF"/>
              <w:spacing w:line="440" w:lineRule="exact"/>
              <w:jc w:val="center"/>
              <w:rPr>
                <w:rFonts w:cs="仿宋_GB2312" w:asciiTheme="majorEastAsia" w:hAnsiTheme="majorEastAsia" w:eastAsiaTheme="majorEastAsia"/>
                <w:sz w:val="21"/>
                <w:szCs w:val="21"/>
              </w:rPr>
            </w:pPr>
            <w:r>
              <w:rPr>
                <w:rFonts w:hint="eastAsia" w:cs="仿宋_GB2312" w:asciiTheme="majorEastAsia" w:hAnsiTheme="majorEastAsia" w:eastAsiaTheme="majorEastAsia"/>
                <w:sz w:val="21"/>
                <w:szCs w:val="21"/>
              </w:rPr>
              <w:t>产品名称</w:t>
            </w:r>
          </w:p>
        </w:tc>
        <w:tc>
          <w:tcPr>
            <w:tcW w:w="709" w:type="dxa"/>
            <w:tcBorders>
              <w:top w:val="single" w:color="auto" w:sz="4" w:space="0"/>
              <w:left w:val="nil"/>
              <w:bottom w:val="single" w:color="auto" w:sz="4" w:space="0"/>
              <w:right w:val="single" w:color="auto" w:sz="4" w:space="0"/>
            </w:tcBorders>
            <w:shd w:val="clear" w:color="000000" w:fill="FFFFFF"/>
            <w:vAlign w:val="center"/>
          </w:tcPr>
          <w:p>
            <w:pPr>
              <w:pStyle w:val="9"/>
              <w:shd w:val="clear" w:color="auto" w:fill="FFFFFF"/>
              <w:spacing w:line="440" w:lineRule="exact"/>
              <w:jc w:val="center"/>
              <w:rPr>
                <w:rFonts w:cs="仿宋_GB2312" w:asciiTheme="majorEastAsia" w:hAnsiTheme="majorEastAsia" w:eastAsiaTheme="majorEastAsia"/>
                <w:sz w:val="21"/>
                <w:szCs w:val="21"/>
              </w:rPr>
            </w:pPr>
            <w:r>
              <w:rPr>
                <w:rFonts w:hint="eastAsia" w:cs="仿宋_GB2312" w:asciiTheme="majorEastAsia" w:hAnsiTheme="majorEastAsia" w:eastAsiaTheme="majorEastAsia"/>
                <w:sz w:val="21"/>
                <w:szCs w:val="21"/>
              </w:rPr>
              <w:t>数量</w:t>
            </w:r>
          </w:p>
        </w:tc>
        <w:tc>
          <w:tcPr>
            <w:tcW w:w="708" w:type="dxa"/>
            <w:tcBorders>
              <w:top w:val="single" w:color="auto" w:sz="4" w:space="0"/>
              <w:left w:val="nil"/>
              <w:bottom w:val="single" w:color="auto" w:sz="4" w:space="0"/>
              <w:right w:val="single" w:color="auto" w:sz="4" w:space="0"/>
            </w:tcBorders>
            <w:shd w:val="clear" w:color="000000" w:fill="FFFFFF"/>
            <w:vAlign w:val="center"/>
          </w:tcPr>
          <w:p>
            <w:pPr>
              <w:pStyle w:val="9"/>
              <w:shd w:val="clear" w:color="auto" w:fill="FFFFFF"/>
              <w:spacing w:line="440" w:lineRule="exact"/>
              <w:jc w:val="center"/>
              <w:rPr>
                <w:rFonts w:cs="仿宋_GB2312" w:asciiTheme="majorEastAsia" w:hAnsiTheme="majorEastAsia" w:eastAsiaTheme="majorEastAsia"/>
                <w:sz w:val="21"/>
                <w:szCs w:val="21"/>
              </w:rPr>
            </w:pPr>
            <w:r>
              <w:rPr>
                <w:rFonts w:hint="eastAsia" w:cs="仿宋_GB2312" w:asciiTheme="majorEastAsia" w:hAnsiTheme="majorEastAsia" w:eastAsiaTheme="majorEastAsia"/>
                <w:sz w:val="21"/>
                <w:szCs w:val="21"/>
              </w:rPr>
              <w:t>单位</w:t>
            </w:r>
          </w:p>
        </w:tc>
        <w:tc>
          <w:tcPr>
            <w:tcW w:w="4253" w:type="dxa"/>
            <w:tcBorders>
              <w:top w:val="single" w:color="auto" w:sz="4" w:space="0"/>
              <w:left w:val="nil"/>
              <w:bottom w:val="single" w:color="auto" w:sz="4" w:space="0"/>
              <w:right w:val="single" w:color="auto" w:sz="4" w:space="0"/>
            </w:tcBorders>
            <w:shd w:val="clear" w:color="000000" w:fill="FFFFFF"/>
            <w:vAlign w:val="center"/>
          </w:tcPr>
          <w:p>
            <w:pPr>
              <w:pStyle w:val="9"/>
              <w:shd w:val="clear" w:color="auto" w:fill="FFFFFF"/>
              <w:spacing w:line="440" w:lineRule="exact"/>
              <w:jc w:val="center"/>
              <w:rPr>
                <w:rFonts w:cs="仿宋_GB2312" w:asciiTheme="majorEastAsia" w:hAnsiTheme="majorEastAsia" w:eastAsiaTheme="majorEastAsia"/>
                <w:sz w:val="21"/>
                <w:szCs w:val="21"/>
              </w:rPr>
            </w:pPr>
            <w:r>
              <w:rPr>
                <w:rFonts w:hint="eastAsia" w:cs="仿宋_GB2312" w:asciiTheme="majorEastAsia" w:hAnsiTheme="majorEastAsia" w:eastAsiaTheme="majorEastAsia"/>
                <w:sz w:val="21"/>
                <w:szCs w:val="21"/>
              </w:rPr>
              <w:t>技术参数及要求</w:t>
            </w:r>
          </w:p>
        </w:tc>
        <w:tc>
          <w:tcPr>
            <w:tcW w:w="850" w:type="dxa"/>
            <w:tcBorders>
              <w:top w:val="single" w:color="auto" w:sz="4" w:space="0"/>
              <w:left w:val="nil"/>
              <w:bottom w:val="single" w:color="auto" w:sz="4" w:space="0"/>
              <w:right w:val="single" w:color="auto" w:sz="4" w:space="0"/>
            </w:tcBorders>
            <w:shd w:val="clear" w:color="000000" w:fill="FFFFFF"/>
          </w:tcPr>
          <w:p>
            <w:pPr>
              <w:pStyle w:val="9"/>
              <w:shd w:val="clear" w:color="auto" w:fill="FFFFFF"/>
              <w:spacing w:line="440" w:lineRule="exact"/>
              <w:jc w:val="center"/>
              <w:rPr>
                <w:rFonts w:cs="仿宋_GB2312" w:asciiTheme="majorEastAsia" w:hAnsiTheme="majorEastAsia" w:eastAsiaTheme="majorEastAsia"/>
                <w:sz w:val="21"/>
                <w:szCs w:val="21"/>
              </w:rPr>
            </w:pPr>
            <w:r>
              <w:rPr>
                <w:rFonts w:hint="eastAsia" w:cs="仿宋_GB2312" w:asciiTheme="majorEastAsia" w:hAnsiTheme="majorEastAsia" w:eastAsiaTheme="majorEastAsia"/>
                <w:sz w:val="21"/>
                <w:szCs w:val="21"/>
              </w:rPr>
              <w:t>备注</w:t>
            </w:r>
          </w:p>
        </w:tc>
      </w:tr>
      <w:tr>
        <w:tblPrEx>
          <w:tblCellMar>
            <w:top w:w="0" w:type="dxa"/>
            <w:left w:w="108" w:type="dxa"/>
            <w:bottom w:w="0" w:type="dxa"/>
            <w:right w:w="108" w:type="dxa"/>
          </w:tblCellMar>
        </w:tblPrEx>
        <w:trPr>
          <w:trHeight w:val="2220" w:hRule="atLeast"/>
        </w:trPr>
        <w:tc>
          <w:tcPr>
            <w:tcW w:w="724" w:type="dxa"/>
            <w:tcBorders>
              <w:top w:val="single" w:color="auto" w:sz="4" w:space="0"/>
              <w:left w:val="single" w:color="auto" w:sz="4" w:space="0"/>
              <w:bottom w:val="nil"/>
              <w:right w:val="single" w:color="auto" w:sz="4" w:space="0"/>
            </w:tcBorders>
            <w:shd w:val="clear" w:color="000000" w:fill="FFFFFF"/>
            <w:vAlign w:val="center"/>
          </w:tcPr>
          <w:p>
            <w:pPr>
              <w:pStyle w:val="9"/>
              <w:shd w:val="clear" w:color="auto" w:fill="FFFFFF"/>
              <w:adjustRightInd w:val="0"/>
              <w:snapToGrid w:val="0"/>
              <w:spacing w:line="460" w:lineRule="exact"/>
              <w:jc w:val="center"/>
              <w:rPr>
                <w:rFonts w:cs="仿宋_GB2312" w:asciiTheme="majorEastAsia" w:hAnsiTheme="majorEastAsia" w:eastAsiaTheme="majorEastAsia"/>
                <w:sz w:val="21"/>
                <w:szCs w:val="21"/>
              </w:rPr>
            </w:pPr>
            <w:r>
              <w:rPr>
                <w:rFonts w:hint="eastAsia" w:cs="仿宋_GB2312" w:asciiTheme="majorEastAsia" w:hAnsiTheme="majorEastAsia" w:eastAsiaTheme="majorEastAsia"/>
                <w:sz w:val="21"/>
                <w:szCs w:val="21"/>
              </w:rPr>
              <w:t>1</w:t>
            </w:r>
          </w:p>
        </w:tc>
        <w:tc>
          <w:tcPr>
            <w:tcW w:w="1276" w:type="dxa"/>
            <w:tcBorders>
              <w:top w:val="single" w:color="auto" w:sz="4" w:space="0"/>
              <w:left w:val="nil"/>
              <w:bottom w:val="nil"/>
              <w:right w:val="single" w:color="auto" w:sz="4" w:space="0"/>
            </w:tcBorders>
            <w:shd w:val="clear" w:color="000000" w:fill="FFFFFF"/>
            <w:vAlign w:val="center"/>
          </w:tcPr>
          <w:p>
            <w:pPr>
              <w:widowControl/>
              <w:jc w:val="center"/>
              <w:textAlignment w:val="center"/>
              <w:rPr>
                <w:rFonts w:ascii="宋体" w:hAnsi="宋体" w:cs="宋体"/>
                <w:szCs w:val="21"/>
              </w:rPr>
            </w:pPr>
            <w:r>
              <w:rPr>
                <w:rFonts w:hint="eastAsia" w:cs="宋体" w:asciiTheme="majorEastAsia" w:hAnsiTheme="majorEastAsia" w:eastAsiaTheme="majorEastAsia"/>
                <w:szCs w:val="21"/>
              </w:rPr>
              <w:t>血液透析机</w:t>
            </w:r>
          </w:p>
        </w:tc>
        <w:tc>
          <w:tcPr>
            <w:tcW w:w="709" w:type="dxa"/>
            <w:tcBorders>
              <w:top w:val="single" w:color="auto" w:sz="4" w:space="0"/>
              <w:left w:val="nil"/>
              <w:bottom w:val="nil"/>
              <w:right w:val="single" w:color="auto" w:sz="4" w:space="0"/>
            </w:tcBorders>
            <w:shd w:val="clear" w:color="000000" w:fill="FFFFFF"/>
            <w:vAlign w:val="center"/>
          </w:tcPr>
          <w:p>
            <w:pPr>
              <w:widowControl/>
              <w:jc w:val="center"/>
              <w:textAlignment w:val="center"/>
              <w:rPr>
                <w:rFonts w:cs="宋体" w:asciiTheme="majorEastAsia" w:hAnsiTheme="majorEastAsia" w:eastAsiaTheme="majorEastAsia"/>
                <w:szCs w:val="21"/>
              </w:rPr>
            </w:pPr>
            <w:r>
              <w:rPr>
                <w:rFonts w:hint="eastAsia" w:cs="宋体" w:asciiTheme="majorEastAsia" w:hAnsiTheme="majorEastAsia" w:eastAsiaTheme="majorEastAsia"/>
                <w:color w:val="000000"/>
                <w:kern w:val="0"/>
                <w:szCs w:val="21"/>
                <w:lang w:bidi="ar"/>
              </w:rPr>
              <w:t>1</w:t>
            </w:r>
          </w:p>
        </w:tc>
        <w:tc>
          <w:tcPr>
            <w:tcW w:w="708" w:type="dxa"/>
            <w:tcBorders>
              <w:top w:val="single" w:color="auto" w:sz="4" w:space="0"/>
              <w:left w:val="nil"/>
              <w:bottom w:val="nil"/>
              <w:right w:val="single" w:color="auto" w:sz="4" w:space="0"/>
            </w:tcBorders>
            <w:shd w:val="clear" w:color="000000" w:fill="FFFFFF"/>
            <w:vAlign w:val="center"/>
          </w:tcPr>
          <w:p>
            <w:pPr>
              <w:widowControl/>
              <w:jc w:val="center"/>
              <w:textAlignment w:val="center"/>
              <w:rPr>
                <w:rFonts w:cs="宋体" w:asciiTheme="majorEastAsia" w:hAnsiTheme="majorEastAsia" w:eastAsiaTheme="majorEastAsia"/>
                <w:szCs w:val="21"/>
              </w:rPr>
            </w:pPr>
            <w:r>
              <w:rPr>
                <w:rFonts w:hint="eastAsia" w:cs="宋体" w:asciiTheme="majorEastAsia" w:hAnsiTheme="majorEastAsia" w:eastAsiaTheme="majorEastAsia"/>
                <w:color w:val="000000"/>
                <w:kern w:val="0"/>
                <w:szCs w:val="21"/>
                <w:lang w:bidi="ar"/>
              </w:rPr>
              <w:t>台</w:t>
            </w:r>
          </w:p>
        </w:tc>
        <w:tc>
          <w:tcPr>
            <w:tcW w:w="4253" w:type="dxa"/>
            <w:tcBorders>
              <w:top w:val="single" w:color="auto" w:sz="4" w:space="0"/>
              <w:left w:val="nil"/>
              <w:bottom w:val="nil"/>
              <w:right w:val="single" w:color="auto" w:sz="4" w:space="0"/>
            </w:tcBorders>
            <w:shd w:val="clear" w:color="000000" w:fill="FFFFFF"/>
            <w:vAlign w:val="center"/>
          </w:tcPr>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一、功能：</w:t>
            </w:r>
            <w:r>
              <w:rPr>
                <w:rFonts w:hint="eastAsia" w:asciiTheme="majorEastAsia" w:hAnsiTheme="majorEastAsia" w:eastAsiaTheme="majorEastAsia"/>
                <w:szCs w:val="21"/>
                <w:lang w:eastAsia="zh-CN"/>
              </w:rPr>
              <w:t>可</w:t>
            </w:r>
            <w:r>
              <w:rPr>
                <w:rFonts w:hint="eastAsia" w:asciiTheme="majorEastAsia" w:hAnsiTheme="majorEastAsia" w:eastAsiaTheme="majorEastAsia"/>
                <w:szCs w:val="21"/>
              </w:rPr>
              <w:t>用于连续性血液净化治疗、血浆置换治疗、血浆吸附治疗、血液灌流治疗等。</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二、治疗模式：≥7种，至少包含连续性静脉静脉血液透析（CVVHD）、连续性静脉静脉血液滤过（CVVH）、连续性静脉静脉血液透析滤过（CVVHDF）、缓慢性连续性超滤（SCUF）、血液灌流（HP）、单重血浆置换（PE）、血浆吸附（PA）治疗功能。</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三、技术参数：</w:t>
            </w:r>
          </w:p>
          <w:p>
            <w:pPr>
              <w:spacing w:line="560" w:lineRule="exact"/>
              <w:jc w:val="left"/>
              <w:rPr>
                <w:rFonts w:hint="eastAsia" w:asciiTheme="majorEastAsia" w:hAnsiTheme="majorEastAsia" w:eastAsiaTheme="majorEastAsia"/>
                <w:szCs w:val="21"/>
              </w:rPr>
            </w:pPr>
            <w:r>
              <w:rPr>
                <w:rFonts w:hint="eastAsia" w:asciiTheme="majorEastAsia" w:hAnsiTheme="majorEastAsia" w:eastAsiaTheme="majorEastAsia"/>
                <w:szCs w:val="21"/>
              </w:rPr>
              <w:t>1、</w:t>
            </w:r>
            <w:r>
              <w:rPr>
                <w:rFonts w:hint="eastAsia" w:asciiTheme="majorEastAsia" w:hAnsiTheme="majorEastAsia" w:eastAsiaTheme="majorEastAsia"/>
                <w:szCs w:val="21"/>
                <w:lang w:eastAsia="zh-CN"/>
              </w:rPr>
              <w:t>显示屏：</w:t>
            </w:r>
            <w:r>
              <w:rPr>
                <w:rFonts w:hint="eastAsia" w:asciiTheme="majorEastAsia" w:hAnsiTheme="majorEastAsia" w:eastAsiaTheme="majorEastAsia"/>
                <w:szCs w:val="21"/>
              </w:rPr>
              <w:t>≥12英寸可旋转</w:t>
            </w:r>
            <w:r>
              <w:rPr>
                <w:rFonts w:hint="eastAsia" w:asciiTheme="majorEastAsia" w:hAnsiTheme="majorEastAsia" w:eastAsiaTheme="majorEastAsia"/>
                <w:szCs w:val="21"/>
                <w:lang w:eastAsia="zh-CN"/>
              </w:rPr>
              <w:t>高清</w:t>
            </w:r>
            <w:r>
              <w:rPr>
                <w:rFonts w:hint="eastAsia" w:asciiTheme="majorEastAsia" w:hAnsiTheme="majorEastAsia" w:eastAsiaTheme="majorEastAsia"/>
                <w:szCs w:val="21"/>
              </w:rPr>
              <w:t>触摸显示屏，中文操作界面；</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★2、配置有枸橼酸抗凝输入功能，不需外接输液泵或注射泵；</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▲3、配置碳酸氢钠单独输入功能（置换基础液与碳酸氢钠两个通路输入），不需外接输液泵；</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4、管路的安装有图文引导；</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5、管路和血液滤过器分离，可兼容多种品牌的透析器、血浆分离器和灌流器等；</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6、设备配置1个肝素泵，至少支持10ml、20ml、30ml、50ml 规格注射器；</w:t>
            </w:r>
          </w:p>
          <w:p>
            <w:pPr>
              <w:spacing w:line="560" w:lineRule="exact"/>
              <w:jc w:val="left"/>
              <w:rPr>
                <w:rFonts w:hint="eastAsia" w:asciiTheme="majorEastAsia" w:hAnsiTheme="majorEastAsia" w:eastAsiaTheme="majorEastAsia"/>
                <w:szCs w:val="21"/>
              </w:rPr>
            </w:pPr>
            <w:r>
              <w:rPr>
                <w:rFonts w:hint="eastAsia" w:asciiTheme="majorEastAsia" w:hAnsiTheme="majorEastAsia" w:eastAsiaTheme="majorEastAsia"/>
                <w:szCs w:val="21"/>
              </w:rPr>
              <w:t>▲7、流量泵</w:t>
            </w:r>
            <w:r>
              <w:rPr>
                <w:rFonts w:hint="eastAsia" w:asciiTheme="majorEastAsia" w:hAnsiTheme="majorEastAsia" w:eastAsiaTheme="majorEastAsia"/>
                <w:szCs w:val="21"/>
                <w:lang w:eastAsia="zh-CN"/>
              </w:rPr>
              <w:t>的</w:t>
            </w:r>
            <w:r>
              <w:rPr>
                <w:rFonts w:hint="eastAsia" w:asciiTheme="majorEastAsia" w:hAnsiTheme="majorEastAsia" w:eastAsiaTheme="majorEastAsia"/>
                <w:szCs w:val="21"/>
              </w:rPr>
              <w:t>配置</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≥4个（不包括肝素泵）；</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8、流量控制范围：</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8.1 血泵流量范围：30mL/min～500mL/min；</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8.2 置换液流量范围：0.1L/h～12L/h；</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8.3 废液流量范围：  0.1L/h～12L/h；</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8.4 透析液流量范围：0.1L/h～12L/h；</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9、压力监测范围：</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9.1 动脉压监测范围: -300mmHg+600mmHg；</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9.2 静脉压监测范围: -300mmHg+600mmHg；</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9.3 跨膜压监测范围: -300mmHg+600mmHg；</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9.4 滤前压监测范围：-300mmHg～+600mmHg；</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9.5 一级膜外压监测范围：-300mmHg～+600mmHg；</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10、气泡检测器：可监测≥0.02ml的气泡；</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11、漏血监测：最大报警限值≤0.35mL/min（HCT 32%）；</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12、脱水范围为0～3000mL/h；</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▲13、加热系统：直接控制置换液温度，温度范围：33～40℃ ，置换液温度控制精度：±1℃；</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14、设备≥2个高精度称重计，最大的称重范围：0kg～25kg；</w:t>
            </w:r>
          </w:p>
          <w:p>
            <w:pPr>
              <w:spacing w:line="560" w:lineRule="exact"/>
              <w:jc w:val="left"/>
              <w:rPr>
                <w:rFonts w:cs="宋体" w:asciiTheme="majorEastAsia" w:hAnsiTheme="majorEastAsia" w:eastAsiaTheme="majorEastAsia"/>
                <w:szCs w:val="21"/>
              </w:rPr>
            </w:pPr>
            <w:r>
              <w:rPr>
                <w:rFonts w:hint="eastAsia" w:asciiTheme="majorEastAsia" w:hAnsiTheme="majorEastAsia" w:eastAsiaTheme="majorEastAsia"/>
                <w:szCs w:val="21"/>
              </w:rPr>
              <w:t>15、电源：AC220V，50Hz；备用电池：≥12V/4Ah×2。</w:t>
            </w:r>
          </w:p>
        </w:tc>
        <w:tc>
          <w:tcPr>
            <w:tcW w:w="850" w:type="dxa"/>
            <w:tcBorders>
              <w:top w:val="single" w:color="auto" w:sz="4" w:space="0"/>
              <w:left w:val="nil"/>
              <w:bottom w:val="nil"/>
              <w:right w:val="single" w:color="auto" w:sz="4" w:space="0"/>
            </w:tcBorders>
            <w:shd w:val="clear" w:color="000000" w:fill="FFFFFF"/>
            <w:vAlign w:val="center"/>
          </w:tcPr>
          <w:p>
            <w:pPr>
              <w:spacing w:line="560" w:lineRule="exact"/>
              <w:jc w:val="center"/>
              <w:rPr>
                <w:rFonts w:asciiTheme="majorEastAsia" w:hAnsiTheme="majorEastAsia" w:eastAsiaTheme="majorEastAsia"/>
                <w:szCs w:val="21"/>
              </w:rPr>
            </w:pPr>
          </w:p>
        </w:tc>
      </w:tr>
      <w:tr>
        <w:tblPrEx>
          <w:tblCellMar>
            <w:top w:w="0" w:type="dxa"/>
            <w:left w:w="108" w:type="dxa"/>
            <w:bottom w:w="0" w:type="dxa"/>
            <w:right w:w="108" w:type="dxa"/>
          </w:tblCellMar>
        </w:tblPrEx>
        <w:trPr>
          <w:trHeight w:val="1263" w:hRule="atLeast"/>
        </w:trPr>
        <w:tc>
          <w:tcPr>
            <w:tcW w:w="8520" w:type="dxa"/>
            <w:gridSpan w:val="6"/>
            <w:tcBorders>
              <w:top w:val="nil"/>
              <w:left w:val="nil"/>
              <w:bottom w:val="nil"/>
              <w:right w:val="nil"/>
            </w:tcBorders>
            <w:shd w:val="clear" w:color="000000" w:fill="FFFFFF"/>
            <w:vAlign w:val="center"/>
          </w:tcPr>
          <w:p>
            <w:pPr>
              <w:spacing w:line="560" w:lineRule="exact"/>
              <w:jc w:val="both"/>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包件二：</w:t>
            </w:r>
          </w:p>
        </w:tc>
      </w:tr>
      <w:tr>
        <w:tblPrEx>
          <w:tblCellMar>
            <w:top w:w="0" w:type="dxa"/>
            <w:left w:w="108" w:type="dxa"/>
            <w:bottom w:w="0" w:type="dxa"/>
            <w:right w:w="108" w:type="dxa"/>
          </w:tblCellMar>
        </w:tblPrEx>
        <w:trPr>
          <w:trHeight w:val="570" w:hRule="atLeast"/>
        </w:trPr>
        <w:tc>
          <w:tcPr>
            <w:tcW w:w="724" w:type="dxa"/>
            <w:tcBorders>
              <w:top w:val="nil"/>
              <w:left w:val="single" w:color="auto" w:sz="4" w:space="0"/>
              <w:bottom w:val="single" w:color="auto" w:sz="4" w:space="0"/>
              <w:right w:val="single" w:color="auto" w:sz="4" w:space="0"/>
            </w:tcBorders>
            <w:shd w:val="clear" w:color="000000" w:fill="FFFFFF"/>
            <w:vAlign w:val="center"/>
          </w:tcPr>
          <w:p>
            <w:pPr>
              <w:pStyle w:val="9"/>
              <w:shd w:val="clear" w:color="auto" w:fill="FFFFFF"/>
              <w:adjustRightInd w:val="0"/>
              <w:snapToGrid w:val="0"/>
              <w:spacing w:line="460" w:lineRule="exact"/>
              <w:jc w:val="center"/>
              <w:rPr>
                <w:rFonts w:hint="eastAsia" w:cs="仿宋_GB2312" w:asciiTheme="majorEastAsia" w:hAnsiTheme="majorEastAsia" w:eastAsiaTheme="majorEastAsia"/>
                <w:sz w:val="21"/>
                <w:szCs w:val="21"/>
              </w:rPr>
            </w:pPr>
            <w:r>
              <w:rPr>
                <w:rFonts w:hint="eastAsia" w:cs="仿宋_GB2312" w:asciiTheme="majorEastAsia" w:hAnsiTheme="majorEastAsia" w:eastAsiaTheme="majorEastAsia"/>
                <w:sz w:val="21"/>
                <w:szCs w:val="21"/>
              </w:rPr>
              <w:t>2</w:t>
            </w:r>
          </w:p>
        </w:tc>
        <w:tc>
          <w:tcPr>
            <w:tcW w:w="1276" w:type="dxa"/>
            <w:tcBorders>
              <w:top w:val="nil"/>
              <w:left w:val="nil"/>
              <w:bottom w:val="single" w:color="auto" w:sz="4" w:space="0"/>
              <w:right w:val="single" w:color="auto" w:sz="4" w:space="0"/>
            </w:tcBorders>
            <w:shd w:val="clear" w:color="000000" w:fill="FFFFFF"/>
            <w:vAlign w:val="center"/>
          </w:tcPr>
          <w:p>
            <w:pPr>
              <w:pStyle w:val="9"/>
              <w:shd w:val="clear" w:color="auto" w:fill="FFFFFF"/>
              <w:adjustRightInd w:val="0"/>
              <w:snapToGrid w:val="0"/>
              <w:spacing w:line="460" w:lineRule="exact"/>
              <w:jc w:val="center"/>
              <w:rPr>
                <w:rFonts w:hint="eastAsia" w:asciiTheme="majorEastAsia" w:hAnsiTheme="majorEastAsia" w:eastAsiaTheme="majorEastAsia"/>
                <w:szCs w:val="21"/>
              </w:rPr>
            </w:pPr>
            <w:r>
              <w:rPr>
                <w:rFonts w:hint="eastAsia" w:cs="仿宋_GB2312" w:asciiTheme="majorEastAsia" w:hAnsiTheme="majorEastAsia" w:eastAsiaTheme="majorEastAsia"/>
                <w:sz w:val="21"/>
                <w:szCs w:val="21"/>
              </w:rPr>
              <w:t>麻醉机</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cs="宋体" w:asciiTheme="majorEastAsia" w:hAnsiTheme="majorEastAsia" w:eastAsiaTheme="majorEastAsia"/>
                <w:color w:val="000000"/>
                <w:kern w:val="0"/>
                <w:szCs w:val="21"/>
                <w:lang w:bidi="ar"/>
              </w:rPr>
            </w:pPr>
            <w:r>
              <w:rPr>
                <w:rFonts w:hint="eastAsia" w:cs="宋体" w:asciiTheme="majorEastAsia" w:hAnsiTheme="majorEastAsia" w:eastAsiaTheme="majorEastAsia"/>
                <w:color w:val="000000"/>
                <w:kern w:val="0"/>
                <w:szCs w:val="21"/>
                <w:lang w:bidi="ar"/>
              </w:rPr>
              <w:t>2</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cs="宋体" w:asciiTheme="majorEastAsia" w:hAnsiTheme="majorEastAsia" w:eastAsiaTheme="majorEastAsia"/>
                <w:color w:val="000000"/>
                <w:kern w:val="0"/>
                <w:szCs w:val="21"/>
                <w:lang w:bidi="ar"/>
              </w:rPr>
            </w:pPr>
            <w:r>
              <w:rPr>
                <w:rFonts w:hint="eastAsia" w:cs="宋体" w:asciiTheme="majorEastAsia" w:hAnsiTheme="majorEastAsia" w:eastAsiaTheme="majorEastAsia"/>
                <w:color w:val="000000"/>
                <w:kern w:val="0"/>
                <w:szCs w:val="21"/>
                <w:lang w:bidi="ar"/>
              </w:rPr>
              <w:t>台</w:t>
            </w:r>
          </w:p>
        </w:tc>
        <w:tc>
          <w:tcPr>
            <w:tcW w:w="4253" w:type="dxa"/>
            <w:tcBorders>
              <w:top w:val="nil"/>
              <w:left w:val="nil"/>
              <w:bottom w:val="single" w:color="auto" w:sz="4" w:space="0"/>
              <w:right w:val="single" w:color="auto" w:sz="4" w:space="0"/>
            </w:tcBorders>
            <w:shd w:val="clear" w:color="000000" w:fill="FFFFFF"/>
            <w:vAlign w:val="center"/>
          </w:tcPr>
          <w:p>
            <w:pPr>
              <w:spacing w:line="560" w:lineRule="exact"/>
              <w:jc w:val="left"/>
              <w:rPr>
                <w:rFonts w:hint="eastAsia" w:asciiTheme="majorEastAsia" w:hAnsiTheme="majorEastAsia" w:eastAsiaTheme="majorEastAsia"/>
                <w:szCs w:val="21"/>
              </w:rPr>
            </w:pPr>
            <w:r>
              <w:rPr>
                <w:rFonts w:hint="eastAsia" w:asciiTheme="majorEastAsia" w:hAnsiTheme="majorEastAsia" w:eastAsiaTheme="majorEastAsia"/>
                <w:szCs w:val="21"/>
              </w:rPr>
              <w:t>★</w:t>
            </w:r>
            <w:r>
              <w:rPr>
                <w:rFonts w:hint="eastAsia" w:asciiTheme="majorEastAsia" w:hAnsiTheme="majorEastAsia" w:eastAsiaTheme="majorEastAsia"/>
                <w:szCs w:val="21"/>
                <w:lang w:eastAsia="zh-CN"/>
              </w:rPr>
              <w:t>一、适用范围：</w:t>
            </w:r>
            <w:r>
              <w:rPr>
                <w:rFonts w:hint="eastAsia" w:asciiTheme="majorEastAsia" w:hAnsiTheme="majorEastAsia" w:eastAsiaTheme="majorEastAsia"/>
                <w:szCs w:val="21"/>
              </w:rPr>
              <w:t>用于对成人、小儿和新生儿的吸入麻醉及呼吸管理</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w:t>
            </w:r>
            <w:r>
              <w:rPr>
                <w:rFonts w:hint="eastAsia" w:asciiTheme="majorEastAsia" w:hAnsiTheme="majorEastAsia" w:eastAsiaTheme="majorEastAsia"/>
                <w:b/>
                <w:szCs w:val="21"/>
              </w:rPr>
              <w:t>提供注册证证明文件复印件加盖投标人鲜章</w:t>
            </w:r>
            <w:r>
              <w:rPr>
                <w:rFonts w:hint="eastAsia" w:asciiTheme="majorEastAsia" w:hAnsiTheme="majorEastAsia" w:eastAsiaTheme="majorEastAsia"/>
                <w:szCs w:val="21"/>
              </w:rPr>
              <w:t>）</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w:t>
            </w:r>
            <w:r>
              <w:rPr>
                <w:rFonts w:hint="eastAsia" w:asciiTheme="majorEastAsia" w:hAnsiTheme="majorEastAsia" w:eastAsiaTheme="majorEastAsia"/>
                <w:szCs w:val="21"/>
                <w:lang w:eastAsia="zh-CN"/>
              </w:rPr>
              <w:t>二</w:t>
            </w:r>
            <w:r>
              <w:rPr>
                <w:rFonts w:hint="eastAsia" w:asciiTheme="majorEastAsia" w:hAnsiTheme="majorEastAsia" w:eastAsiaTheme="majorEastAsia"/>
                <w:szCs w:val="21"/>
              </w:rPr>
              <w:t xml:space="preserve">、配置清单： </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1、麻醉系统主机：2 套；</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2、呼末二氧化碳监测模块2个；</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3、≥1套具备高流量给氧功能或单机，流速≥80L/min。</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lang w:eastAsia="zh-CN"/>
              </w:rPr>
              <w:t>三</w:t>
            </w:r>
            <w:r>
              <w:rPr>
                <w:rFonts w:hint="eastAsia" w:asciiTheme="majorEastAsia" w:hAnsiTheme="majorEastAsia" w:eastAsiaTheme="majorEastAsia"/>
                <w:szCs w:val="21"/>
              </w:rPr>
              <w:t>、技术参数：</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1、电源：220V，50/60Hz，后备电池使用时间：≥120分钟，具有RJ45接口、HL7、以太网连接功能；</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2、机架：大工作台侧栏杆推车，脚轮刹车，≥4个附属输出电源接口；</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lang w:val="en-US" w:eastAsia="zh-CN"/>
              </w:rPr>
              <w:t>3</w:t>
            </w:r>
            <w:r>
              <w:rPr>
                <w:rFonts w:hint="eastAsia" w:asciiTheme="majorEastAsia" w:hAnsiTheme="majorEastAsia" w:eastAsiaTheme="majorEastAsia"/>
                <w:szCs w:val="21"/>
              </w:rPr>
              <w:t>、氧气、空气双气源，可选笑气气源，具备机械的笑、氧保护装置，不受停电影响，保证任何流量下氧浓度≥25%，快速充氧范围25-75 L/min；</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w:t>
            </w:r>
            <w:r>
              <w:rPr>
                <w:rFonts w:hint="eastAsia" w:asciiTheme="majorEastAsia" w:hAnsiTheme="majorEastAsia" w:eastAsiaTheme="majorEastAsia"/>
                <w:szCs w:val="21"/>
                <w:lang w:val="en-US" w:eastAsia="zh-CN"/>
              </w:rPr>
              <w:t>4</w:t>
            </w:r>
            <w:r>
              <w:rPr>
                <w:rFonts w:hint="eastAsia" w:asciiTheme="majorEastAsia" w:hAnsiTheme="majorEastAsia" w:eastAsiaTheme="majorEastAsia"/>
                <w:szCs w:val="21"/>
              </w:rPr>
              <w:t>、电子显示流量计：</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lang w:val="en-US" w:eastAsia="zh-CN"/>
              </w:rPr>
              <w:t>4</w:t>
            </w:r>
            <w:r>
              <w:rPr>
                <w:rFonts w:hint="eastAsia" w:asciiTheme="majorEastAsia" w:hAnsiTheme="majorEastAsia" w:eastAsiaTheme="majorEastAsia"/>
                <w:szCs w:val="21"/>
              </w:rPr>
              <w:t>.1空气范围：0L/min-15L/min；</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lang w:val="en-US" w:eastAsia="zh-CN"/>
              </w:rPr>
              <w:t>4</w:t>
            </w:r>
            <w:r>
              <w:rPr>
                <w:rFonts w:hint="eastAsia" w:asciiTheme="majorEastAsia" w:hAnsiTheme="majorEastAsia" w:eastAsiaTheme="majorEastAsia"/>
                <w:szCs w:val="21"/>
              </w:rPr>
              <w:t>.2氧气范围：0L/min-15L/min；</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lang w:val="en-US" w:eastAsia="zh-CN"/>
              </w:rPr>
              <w:t>4</w:t>
            </w:r>
            <w:r>
              <w:rPr>
                <w:rFonts w:hint="eastAsia" w:asciiTheme="majorEastAsia" w:hAnsiTheme="majorEastAsia" w:eastAsiaTheme="majorEastAsia"/>
                <w:szCs w:val="21"/>
              </w:rPr>
              <w:t>.3笑气范围：0L/min～10L/min；</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lang w:val="en-US" w:eastAsia="zh-CN"/>
              </w:rPr>
              <w:t>4</w:t>
            </w:r>
            <w:r>
              <w:rPr>
                <w:rFonts w:hint="eastAsia" w:asciiTheme="majorEastAsia" w:hAnsiTheme="majorEastAsia" w:eastAsiaTheme="majorEastAsia"/>
                <w:szCs w:val="21"/>
              </w:rPr>
              <w:t>.4电子流量计配备LED数字显示和屏幕虚拟流量管显示，屏幕可显示新鲜气体设置总流量和氧浓度；</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lang w:val="en-US" w:eastAsia="zh-CN"/>
              </w:rPr>
              <w:t>5</w:t>
            </w:r>
            <w:r>
              <w:rPr>
                <w:rFonts w:hint="eastAsia" w:asciiTheme="majorEastAsia" w:hAnsiTheme="majorEastAsia" w:eastAsiaTheme="majorEastAsia"/>
                <w:szCs w:val="21"/>
              </w:rPr>
              <w:t>、直观显示适宜低流量麻醉的新鲜气体流量指示工具；</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lang w:val="en-US" w:eastAsia="zh-CN"/>
              </w:rPr>
              <w:t>6</w:t>
            </w:r>
            <w:r>
              <w:rPr>
                <w:rFonts w:hint="eastAsia" w:asciiTheme="majorEastAsia" w:hAnsiTheme="majorEastAsia" w:eastAsiaTheme="majorEastAsia"/>
                <w:szCs w:val="21"/>
              </w:rPr>
              <w:t>、可升级或配置单机版麻药消耗量统计功能和经鼻高流量给氧功能，输出流速：0-60L/min；</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lang w:val="en-US" w:eastAsia="zh-CN"/>
              </w:rPr>
              <w:t>7</w:t>
            </w:r>
            <w:r>
              <w:rPr>
                <w:rFonts w:hint="eastAsia" w:asciiTheme="majorEastAsia" w:hAnsiTheme="majorEastAsia" w:eastAsiaTheme="majorEastAsia"/>
                <w:color w:val="auto"/>
                <w:szCs w:val="21"/>
              </w:rPr>
              <w:t>、含挥发罐1</w:t>
            </w:r>
            <w:r>
              <w:rPr>
                <w:rFonts w:hint="eastAsia" w:asciiTheme="majorEastAsia" w:hAnsiTheme="majorEastAsia" w:eastAsiaTheme="majorEastAsia"/>
                <w:szCs w:val="21"/>
              </w:rPr>
              <w:t>个，具备压力、流速和温度补偿，首次加药量(干药芯)≥350ml，再次加药量≥300ml；</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lang w:val="en-US" w:eastAsia="zh-CN"/>
              </w:rPr>
              <w:t>8</w:t>
            </w:r>
            <w:r>
              <w:rPr>
                <w:rFonts w:hint="eastAsia" w:asciiTheme="majorEastAsia" w:hAnsiTheme="majorEastAsia" w:eastAsiaTheme="majorEastAsia"/>
                <w:szCs w:val="21"/>
              </w:rPr>
              <w:t>、可拆卸一体化回路，整体可旋转，回路部件可耐受≥134℃高温高压消毒，二氧化碳吸收罐，容积≥1500ml，分别在吸入端、呼出端内置双流量传感器；</w:t>
            </w:r>
          </w:p>
          <w:p>
            <w:pPr>
              <w:spacing w:line="560" w:lineRule="exact"/>
              <w:jc w:val="left"/>
              <w:rPr>
                <w:rFonts w:hint="eastAsia" w:asciiTheme="majorEastAsia" w:hAnsiTheme="majorEastAsia" w:eastAsiaTheme="majorEastAsia"/>
                <w:szCs w:val="21"/>
              </w:rPr>
            </w:pPr>
            <w:r>
              <w:rPr>
                <w:rFonts w:hint="eastAsia" w:asciiTheme="majorEastAsia" w:hAnsiTheme="majorEastAsia" w:eastAsiaTheme="majorEastAsia"/>
                <w:szCs w:val="21"/>
                <w:lang w:val="en-US" w:eastAsia="zh-CN"/>
              </w:rPr>
              <w:t>9</w:t>
            </w:r>
            <w:r>
              <w:rPr>
                <w:rFonts w:hint="eastAsia" w:asciiTheme="majorEastAsia" w:hAnsiTheme="majorEastAsia" w:eastAsiaTheme="majorEastAsia"/>
                <w:szCs w:val="21"/>
              </w:rPr>
              <w:t>、低回路系统容积，共同新鲜气体输出口，输出口可直接连接如Bain回路、T管等的开放式回路；</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1</w:t>
            </w:r>
            <w:r>
              <w:rPr>
                <w:rFonts w:hint="eastAsia" w:asciiTheme="majorEastAsia" w:hAnsiTheme="majorEastAsia" w:eastAsiaTheme="majorEastAsia"/>
                <w:szCs w:val="21"/>
                <w:lang w:val="en-US" w:eastAsia="zh-CN"/>
              </w:rPr>
              <w:t>0</w:t>
            </w:r>
            <w:r>
              <w:rPr>
                <w:rFonts w:hint="eastAsia" w:asciiTheme="majorEastAsia" w:hAnsiTheme="majorEastAsia" w:eastAsiaTheme="majorEastAsia"/>
                <w:szCs w:val="21"/>
              </w:rPr>
              <w:t>、有回路加温功能，不受积水影响，保证流量传感器精准及向病人提供温暖气体，标配CO2旁路功能，机械通气过程中可直接更换钠石灰罐，具备钠石灰罐未安装到位智能回路识别报警系统；</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1</w:t>
            </w:r>
            <w:r>
              <w:rPr>
                <w:rFonts w:hint="eastAsia" w:asciiTheme="majorEastAsia" w:hAnsiTheme="majorEastAsia" w:eastAsiaTheme="majorEastAsia"/>
                <w:szCs w:val="21"/>
                <w:lang w:val="en-US" w:eastAsia="zh-CN"/>
              </w:rPr>
              <w:t>1</w:t>
            </w:r>
            <w:r>
              <w:rPr>
                <w:rFonts w:hint="eastAsia" w:asciiTheme="majorEastAsia" w:hAnsiTheme="majorEastAsia" w:eastAsiaTheme="majorEastAsia"/>
                <w:szCs w:val="21"/>
              </w:rPr>
              <w:t>、气动电控呼吸机，全中文操作和显示；</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★1</w:t>
            </w:r>
            <w:r>
              <w:rPr>
                <w:rFonts w:hint="eastAsia" w:asciiTheme="majorEastAsia" w:hAnsiTheme="majorEastAsia" w:eastAsiaTheme="majorEastAsia"/>
                <w:szCs w:val="21"/>
                <w:lang w:val="en-US" w:eastAsia="zh-CN"/>
              </w:rPr>
              <w:t>2</w:t>
            </w:r>
            <w:r>
              <w:rPr>
                <w:rFonts w:hint="eastAsia" w:asciiTheme="majorEastAsia" w:hAnsiTheme="majorEastAsia" w:eastAsiaTheme="majorEastAsia"/>
                <w:szCs w:val="21"/>
              </w:rPr>
              <w:t>、潮气量设置范围：10ml-1500ml（容控模式下），标配多种通气模式；VCV、PCV、SIMV（SIMV-VC、SIMV-PC）通气模式，可选配升级压力控制容量保证通气（PCV-VG）及SIMV-VG通气模式；</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1</w:t>
            </w:r>
            <w:r>
              <w:rPr>
                <w:rFonts w:hint="eastAsia" w:asciiTheme="majorEastAsia" w:hAnsiTheme="majorEastAsia" w:eastAsiaTheme="majorEastAsia"/>
                <w:szCs w:val="21"/>
                <w:lang w:val="en-US" w:eastAsia="zh-CN"/>
              </w:rPr>
              <w:t>3</w:t>
            </w:r>
            <w:r>
              <w:rPr>
                <w:rFonts w:hint="eastAsia" w:asciiTheme="majorEastAsia" w:hAnsiTheme="majorEastAsia" w:eastAsiaTheme="majorEastAsia"/>
                <w:szCs w:val="21"/>
              </w:rPr>
              <w:t>、吸气压力设置范围：PEEP+5～70 cmH2O， 呼吸频率：4 - 100 次/分钟，吸呼比：4:1到1:8，压力限制范围：10 - 100 cmH2O，电子PEEP，显示屏设置，范围：OFF，3 - 30 cmH2O，吸气暂停：OFF，5% - 60%；</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1</w:t>
            </w:r>
            <w:r>
              <w:rPr>
                <w:rFonts w:hint="eastAsia" w:asciiTheme="majorEastAsia" w:hAnsiTheme="majorEastAsia" w:eastAsiaTheme="majorEastAsia"/>
                <w:szCs w:val="21"/>
                <w:lang w:val="en-US" w:eastAsia="zh-CN"/>
              </w:rPr>
              <w:t>4</w:t>
            </w:r>
            <w:r>
              <w:rPr>
                <w:rFonts w:hint="eastAsia" w:asciiTheme="majorEastAsia" w:hAnsiTheme="majorEastAsia" w:eastAsiaTheme="majorEastAsia"/>
                <w:szCs w:val="21"/>
              </w:rPr>
              <w:t>、上升式风箱，可以直接观察病人实际呼吸状态。具备吸入端，呼出端双流量传感器，实现动态潮气量实时自动补偿功能，补偿新鲜气体变化、气体压缩、回路顺应性变化以及小的回路泄漏造成的吸入潮气量和设置潮气量的误差；</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1</w:t>
            </w:r>
            <w:r>
              <w:rPr>
                <w:rFonts w:hint="eastAsia" w:asciiTheme="majorEastAsia" w:hAnsiTheme="majorEastAsia" w:eastAsiaTheme="majorEastAsia"/>
                <w:szCs w:val="21"/>
                <w:lang w:val="en-US" w:eastAsia="zh-CN"/>
              </w:rPr>
              <w:t>5</w:t>
            </w:r>
            <w:r>
              <w:rPr>
                <w:rFonts w:hint="eastAsia" w:asciiTheme="majorEastAsia" w:hAnsiTheme="majorEastAsia" w:eastAsiaTheme="majorEastAsia"/>
                <w:szCs w:val="21"/>
              </w:rPr>
              <w:t>、≥3级声光报警功能，有独立≥2种颜色报警灯显示；</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1</w:t>
            </w:r>
            <w:r>
              <w:rPr>
                <w:rFonts w:hint="eastAsia" w:asciiTheme="majorEastAsia" w:hAnsiTheme="majorEastAsia" w:eastAsiaTheme="majorEastAsia"/>
                <w:szCs w:val="21"/>
                <w:lang w:val="en-US" w:eastAsia="zh-CN"/>
              </w:rPr>
              <w:t>6</w:t>
            </w:r>
            <w:r>
              <w:rPr>
                <w:rFonts w:hint="eastAsia" w:asciiTheme="majorEastAsia" w:hAnsiTheme="majorEastAsia" w:eastAsiaTheme="majorEastAsia"/>
                <w:szCs w:val="21"/>
              </w:rPr>
              <w:t>、≥15寸一体化彩色触摸屏，同屏显示≥3通道波形；</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▲1</w:t>
            </w:r>
            <w:r>
              <w:rPr>
                <w:rFonts w:hint="eastAsia" w:asciiTheme="majorEastAsia" w:hAnsiTheme="majorEastAsia" w:eastAsiaTheme="majorEastAsia"/>
                <w:szCs w:val="21"/>
                <w:lang w:val="en-US" w:eastAsia="zh-CN"/>
              </w:rPr>
              <w:t>7</w:t>
            </w:r>
            <w:r>
              <w:rPr>
                <w:rFonts w:hint="eastAsia" w:asciiTheme="majorEastAsia" w:hAnsiTheme="majorEastAsia" w:eastAsiaTheme="majorEastAsia"/>
                <w:szCs w:val="21"/>
              </w:rPr>
              <w:t>、内置插件槽，可热插拔插件，插件可在监护仪和麻醉机之间通用；</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rPr>
              <w:t>1</w:t>
            </w:r>
            <w:r>
              <w:rPr>
                <w:rFonts w:hint="eastAsia" w:asciiTheme="majorEastAsia" w:hAnsiTheme="majorEastAsia" w:eastAsiaTheme="majorEastAsia"/>
                <w:szCs w:val="21"/>
                <w:lang w:val="en-US" w:eastAsia="zh-CN"/>
              </w:rPr>
              <w:t>8</w:t>
            </w:r>
            <w:r>
              <w:rPr>
                <w:rFonts w:hint="eastAsia" w:asciiTheme="majorEastAsia" w:hAnsiTheme="majorEastAsia" w:eastAsiaTheme="majorEastAsia"/>
                <w:szCs w:val="21"/>
              </w:rPr>
              <w:t>、含EtCO2（呼末二氧化碳）监测模块，可监测参数：呼吸频率、潮气量、分钟通气量、吸呼比、气道压（峰压、平台压、平均压、PEEP）、气道阻力、顺应性；</w:t>
            </w:r>
          </w:p>
          <w:p>
            <w:pPr>
              <w:spacing w:line="560" w:lineRule="exact"/>
              <w:jc w:val="left"/>
              <w:rPr>
                <w:rFonts w:asciiTheme="majorEastAsia" w:hAnsiTheme="majorEastAsia" w:eastAsiaTheme="majorEastAsia"/>
                <w:szCs w:val="21"/>
              </w:rPr>
            </w:pPr>
            <w:r>
              <w:rPr>
                <w:rFonts w:hint="eastAsia" w:asciiTheme="majorEastAsia" w:hAnsiTheme="majorEastAsia" w:eastAsiaTheme="majorEastAsia"/>
                <w:szCs w:val="21"/>
                <w:lang w:val="en-US" w:eastAsia="zh-CN"/>
              </w:rPr>
              <w:t>19</w:t>
            </w:r>
            <w:r>
              <w:rPr>
                <w:rFonts w:hint="eastAsia" w:asciiTheme="majorEastAsia" w:hAnsiTheme="majorEastAsia" w:eastAsiaTheme="majorEastAsia"/>
                <w:szCs w:val="21"/>
              </w:rPr>
              <w:t>、支持升级麻醉气体分析（N2O，EtCO2，自动识别五种麻醉气体吸入呼出浓度监测）、呼吸环（P-V，P-F，F-V）监测；</w:t>
            </w:r>
          </w:p>
          <w:p>
            <w:pPr>
              <w:spacing w:line="560" w:lineRule="exact"/>
              <w:jc w:val="left"/>
              <w:rPr>
                <w:rFonts w:hint="eastAsia" w:asciiTheme="majorEastAsia" w:hAnsiTheme="majorEastAsia" w:eastAsiaTheme="majorEastAsia"/>
                <w:szCs w:val="21"/>
              </w:rPr>
            </w:pPr>
            <w:r>
              <w:rPr>
                <w:rFonts w:hint="eastAsia" w:asciiTheme="majorEastAsia" w:hAnsiTheme="majorEastAsia" w:eastAsiaTheme="majorEastAsia"/>
                <w:szCs w:val="21"/>
              </w:rPr>
              <w:t>2</w:t>
            </w:r>
            <w:r>
              <w:rPr>
                <w:rFonts w:hint="eastAsia" w:asciiTheme="majorEastAsia" w:hAnsiTheme="majorEastAsia" w:eastAsiaTheme="majorEastAsia"/>
                <w:szCs w:val="21"/>
                <w:lang w:val="en-US" w:eastAsia="zh-CN"/>
              </w:rPr>
              <w:t>0</w:t>
            </w:r>
            <w:r>
              <w:rPr>
                <w:rFonts w:hint="eastAsia" w:asciiTheme="majorEastAsia" w:hAnsiTheme="majorEastAsia" w:eastAsiaTheme="majorEastAsia"/>
                <w:szCs w:val="21"/>
              </w:rPr>
              <w:t>、同屏幕≥3通道任意波形显示（压力时间波形，流速时间波形，容量时间波形，可选呼末CO2波形等），波形和环图可以同屏显示，潮气量监测范围：0 - 2500ml，分钟通气量监测范围：0L/min -100L/min。</w:t>
            </w:r>
          </w:p>
        </w:tc>
        <w:tc>
          <w:tcPr>
            <w:tcW w:w="850" w:type="dxa"/>
            <w:tcBorders>
              <w:top w:val="nil"/>
              <w:left w:val="nil"/>
              <w:bottom w:val="single" w:color="auto" w:sz="4" w:space="0"/>
              <w:right w:val="single" w:color="auto" w:sz="4" w:space="0"/>
            </w:tcBorders>
            <w:shd w:val="clear" w:color="000000" w:fill="FFFFFF"/>
            <w:vAlign w:val="center"/>
          </w:tcPr>
          <w:p>
            <w:pPr>
              <w:spacing w:line="560" w:lineRule="exact"/>
              <w:jc w:val="center"/>
              <w:rPr>
                <w:rFonts w:asciiTheme="majorEastAsia" w:hAnsiTheme="majorEastAsia" w:eastAsiaTheme="majorEastAsia"/>
                <w:szCs w:val="21"/>
              </w:rPr>
            </w:pPr>
          </w:p>
        </w:tc>
      </w:tr>
    </w:tbl>
    <w:p>
      <w:pPr>
        <w:spacing w:line="560" w:lineRule="exact"/>
        <w:jc w:val="left"/>
        <w:rPr>
          <w:rFonts w:asciiTheme="majorEastAsia" w:hAnsiTheme="majorEastAsia" w:eastAsiaTheme="majorEastAsia"/>
          <w:sz w:val="24"/>
        </w:rPr>
        <w:sectPr>
          <w:pgSz w:w="11906" w:h="16838"/>
          <w:pgMar w:top="1440" w:right="1797" w:bottom="1440" w:left="1797" w:header="851" w:footer="992" w:gutter="0"/>
          <w:cols w:space="425" w:num="1"/>
          <w:docGrid w:linePitch="312" w:charSpace="0"/>
        </w:sectPr>
      </w:pPr>
    </w:p>
    <w:p>
      <w:pPr>
        <w:spacing w:line="560" w:lineRule="exact"/>
        <w:ind w:firstLine="482" w:firstLineChars="200"/>
        <w:jc w:val="left"/>
        <w:rPr>
          <w:rFonts w:asciiTheme="majorEastAsia" w:hAnsiTheme="majorEastAsia" w:eastAsiaTheme="majorEastAsia"/>
          <w:sz w:val="24"/>
        </w:rPr>
      </w:pPr>
      <w:r>
        <w:rPr>
          <w:rFonts w:hint="eastAsia" w:cs="仿宋_GB2312" w:asciiTheme="majorEastAsia" w:hAnsiTheme="majorEastAsia" w:eastAsiaTheme="majorEastAsia"/>
          <w:b/>
          <w:sz w:val="24"/>
        </w:rPr>
        <w:t>★</w:t>
      </w:r>
      <w:r>
        <w:rPr>
          <w:rFonts w:hint="eastAsia" w:asciiTheme="majorEastAsia" w:hAnsiTheme="majorEastAsia" w:eastAsiaTheme="majorEastAsia"/>
          <w:sz w:val="24"/>
        </w:rPr>
        <w:t>三、技术要求：</w:t>
      </w:r>
    </w:p>
    <w:p>
      <w:pPr>
        <w:spacing w:line="5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1、投标人必须保证提供的货物(包括零部件等)是全新的、未使用过的，具有稳定性、可靠性、安全性，并完全符合国家、行业规定的质量、规格和性能要求等技术标准，凡招标文件中未提及的设备配件、附件、安装材料、调试验收所需的附属配件及投标人应向采购人提供设备安装、维修所需的专用工具和仪器，并列出清单与价格，该价格包括在投标总价格中。</w:t>
      </w:r>
    </w:p>
    <w:p>
      <w:pPr>
        <w:spacing w:line="560" w:lineRule="exact"/>
        <w:ind w:firstLine="480" w:firstLineChars="200"/>
        <w:jc w:val="left"/>
        <w:rPr>
          <w:rFonts w:hint="eastAsia" w:asciiTheme="majorEastAsia" w:hAnsiTheme="majorEastAsia" w:eastAsiaTheme="majorEastAsia"/>
          <w:sz w:val="24"/>
        </w:rPr>
      </w:pPr>
      <w:r>
        <w:rPr>
          <w:rFonts w:hint="eastAsia" w:asciiTheme="majorEastAsia" w:hAnsiTheme="majorEastAsia" w:eastAsiaTheme="majorEastAsia"/>
          <w:sz w:val="24"/>
        </w:rPr>
        <w:t>2、中标人应按采购文件规定的时间及质量要求交货，货物在送到使用单位时，且货物的表面无划伤、碰撞现象，设备运行正常。</w:t>
      </w:r>
    </w:p>
    <w:p>
      <w:pPr>
        <w:spacing w:line="560" w:lineRule="exact"/>
        <w:ind w:firstLine="480" w:firstLineChars="200"/>
        <w:jc w:val="left"/>
        <w:rPr>
          <w:rFonts w:hint="eastAsia" w:asciiTheme="majorEastAsia" w:hAnsiTheme="majorEastAsia" w:eastAsiaTheme="majorEastAsia"/>
          <w:sz w:val="24"/>
        </w:rPr>
      </w:pPr>
      <w:r>
        <w:rPr>
          <w:rFonts w:hint="eastAsia" w:asciiTheme="majorEastAsia" w:hAnsiTheme="majorEastAsia" w:eastAsiaTheme="majorEastAsia"/>
          <w:sz w:val="24"/>
        </w:rPr>
        <w:t>3、安装调试要求：</w:t>
      </w:r>
    </w:p>
    <w:p>
      <w:pPr>
        <w:spacing w:line="560" w:lineRule="exact"/>
        <w:ind w:firstLine="480" w:firstLineChars="200"/>
        <w:jc w:val="left"/>
        <w:rPr>
          <w:rFonts w:hint="eastAsia" w:asciiTheme="majorEastAsia" w:hAnsiTheme="majorEastAsia" w:eastAsiaTheme="majorEastAsia"/>
          <w:sz w:val="24"/>
        </w:rPr>
      </w:pPr>
      <w:r>
        <w:rPr>
          <w:rFonts w:hint="eastAsia" w:asciiTheme="majorEastAsia" w:hAnsiTheme="majorEastAsia" w:eastAsiaTheme="majorEastAsia"/>
          <w:sz w:val="24"/>
        </w:rPr>
        <w:t>（1）中标人负责设备安装、调试，直至采购人能正常使用，所需的一切材料、备件、专业工具均由中标人负责提供。中标人应向采购人提供设备安装、维修所需的专用工具和仪器，并列出清单与价格，该价格包括在投标总价格中。</w:t>
      </w:r>
    </w:p>
    <w:p>
      <w:pPr>
        <w:spacing w:line="560" w:lineRule="exact"/>
        <w:ind w:firstLine="480" w:firstLineChars="200"/>
        <w:jc w:val="left"/>
        <w:rPr>
          <w:rFonts w:asciiTheme="majorEastAsia" w:hAnsiTheme="majorEastAsia" w:eastAsiaTheme="majorEastAsia"/>
          <w:color w:val="FF0000"/>
          <w:sz w:val="24"/>
        </w:rPr>
      </w:pPr>
      <w:r>
        <w:rPr>
          <w:rFonts w:hint="eastAsia" w:asciiTheme="majorEastAsia" w:hAnsiTheme="majorEastAsia" w:eastAsiaTheme="majorEastAsia"/>
          <w:color w:val="auto"/>
          <w:sz w:val="24"/>
        </w:rPr>
        <w:t>（2）根据设备安装条件要求，应在合同签订后3天内，中标人应提供安装、调试、维修和操作所需技术文件的复印件，提供设备安装规划，包括运行使用的环境要求、设备安装</w:t>
      </w:r>
      <w:r>
        <w:rPr>
          <w:rFonts w:hint="eastAsia" w:asciiTheme="majorEastAsia" w:hAnsiTheme="majorEastAsia" w:eastAsiaTheme="majorEastAsia"/>
          <w:color w:val="auto"/>
          <w:sz w:val="24"/>
          <w:lang w:eastAsia="zh-CN"/>
        </w:rPr>
        <w:t>场地要求</w:t>
      </w:r>
      <w:r>
        <w:rPr>
          <w:rFonts w:hint="eastAsia" w:asciiTheme="majorEastAsia" w:hAnsiTheme="majorEastAsia" w:eastAsiaTheme="majorEastAsia"/>
          <w:color w:val="auto"/>
          <w:sz w:val="24"/>
        </w:rPr>
        <w:t>等。</w:t>
      </w:r>
    </w:p>
    <w:p>
      <w:pPr>
        <w:spacing w:line="560" w:lineRule="exact"/>
        <w:ind w:firstLine="480" w:firstLineChars="200"/>
        <w:jc w:val="left"/>
        <w:rPr>
          <w:rFonts w:hint="eastAsia" w:asciiTheme="majorEastAsia" w:hAnsiTheme="majorEastAsia" w:eastAsiaTheme="majorEastAsia"/>
          <w:sz w:val="24"/>
        </w:rPr>
      </w:pPr>
      <w:r>
        <w:rPr>
          <w:rFonts w:hint="eastAsia" w:asciiTheme="majorEastAsia" w:hAnsiTheme="majorEastAsia" w:eastAsiaTheme="majorEastAsia"/>
          <w:sz w:val="24"/>
        </w:rPr>
        <w:t>（3）设备到达采购人</w:t>
      </w:r>
      <w:r>
        <w:rPr>
          <w:rFonts w:hint="eastAsia" w:asciiTheme="majorEastAsia" w:hAnsiTheme="majorEastAsia" w:eastAsiaTheme="majorEastAsia"/>
          <w:sz w:val="24"/>
          <w:lang w:eastAsia="zh-CN"/>
        </w:rPr>
        <w:t>安装</w:t>
      </w:r>
      <w:r>
        <w:rPr>
          <w:rFonts w:hint="eastAsia" w:asciiTheme="majorEastAsia" w:hAnsiTheme="majorEastAsia" w:eastAsiaTheme="majorEastAsia"/>
          <w:sz w:val="24"/>
        </w:rPr>
        <w:t>现场后，中标人应在3日内到达现场组织安装、调试，达到正常运行要求，保证采购人正常使用。所需的费用包括在投标总价格中。</w:t>
      </w:r>
    </w:p>
    <w:p>
      <w:pPr>
        <w:spacing w:line="5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4）设备安装调试期间，中标人应服从采购人相关管理规章制度，不损坏采购人房屋建筑及设施设备，进行破坏性操作前必须取得相关职能科室同意方可操作，安装调试期间不妨碍医院工作正常开展，保持现场清洁卫生，做到人走净场。</w:t>
      </w:r>
    </w:p>
    <w:p>
      <w:pPr>
        <w:spacing w:line="560" w:lineRule="exact"/>
        <w:ind w:firstLine="480" w:firstLineChars="200"/>
        <w:jc w:val="left"/>
        <w:rPr>
          <w:rFonts w:asciiTheme="majorEastAsia" w:hAnsiTheme="majorEastAsia" w:eastAsiaTheme="majorEastAsia"/>
          <w:color w:val="FF0000"/>
          <w:sz w:val="24"/>
        </w:rPr>
      </w:pPr>
      <w:r>
        <w:rPr>
          <w:rFonts w:hint="eastAsia" w:asciiTheme="majorEastAsia" w:hAnsiTheme="majorEastAsia" w:eastAsiaTheme="majorEastAsia"/>
          <w:sz w:val="24"/>
        </w:rPr>
        <w:t>4、中标人须提供的技术资料：</w:t>
      </w:r>
    </w:p>
    <w:p>
      <w:pPr>
        <w:spacing w:line="5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lang w:val="en-US" w:eastAsia="zh-CN"/>
        </w:rPr>
        <w:t>1</w:t>
      </w:r>
      <w:r>
        <w:rPr>
          <w:rFonts w:hint="eastAsia" w:asciiTheme="majorEastAsia" w:hAnsiTheme="majorEastAsia" w:eastAsiaTheme="majorEastAsia"/>
          <w:sz w:val="24"/>
        </w:rPr>
        <w:t>）提供主机及配套设备使用说明书、维护手册；</w:t>
      </w:r>
    </w:p>
    <w:p>
      <w:pPr>
        <w:spacing w:line="5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lang w:val="en-US" w:eastAsia="zh-CN"/>
        </w:rPr>
        <w:t>2</w:t>
      </w:r>
      <w:r>
        <w:rPr>
          <w:rFonts w:hint="eastAsia" w:asciiTheme="majorEastAsia" w:hAnsiTheme="majorEastAsia" w:eastAsiaTheme="majorEastAsia"/>
          <w:sz w:val="24"/>
        </w:rPr>
        <w:t>）备件手册、零件及易损件的图纸及相关资料；</w:t>
      </w:r>
    </w:p>
    <w:p>
      <w:pPr>
        <w:spacing w:line="5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lang w:val="en-US" w:eastAsia="zh-CN"/>
        </w:rPr>
        <w:t>3</w:t>
      </w:r>
      <w:r>
        <w:rPr>
          <w:rFonts w:hint="eastAsia" w:asciiTheme="majorEastAsia" w:hAnsiTheme="majorEastAsia" w:eastAsiaTheme="majorEastAsia"/>
          <w:sz w:val="24"/>
        </w:rPr>
        <w:t>）提供详细的设备配置清单；</w:t>
      </w:r>
    </w:p>
    <w:p>
      <w:pPr>
        <w:spacing w:line="5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lang w:val="en-US" w:eastAsia="zh-CN"/>
        </w:rPr>
        <w:t>4</w:t>
      </w:r>
      <w:r>
        <w:rPr>
          <w:rFonts w:hint="eastAsia" w:asciiTheme="majorEastAsia" w:hAnsiTheme="majorEastAsia" w:eastAsiaTheme="majorEastAsia"/>
          <w:sz w:val="24"/>
        </w:rPr>
        <w:t>）其它相关技术资料：</w:t>
      </w:r>
    </w:p>
    <w:p>
      <w:pPr>
        <w:spacing w:line="5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以上技术资料应在项目完成前提交采购人备存，均应有中文版本，若有图纸必须有清楚的尺寸标准。</w:t>
      </w:r>
    </w:p>
    <w:p>
      <w:pPr>
        <w:spacing w:line="5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四、商务要求：</w:t>
      </w:r>
    </w:p>
    <w:p>
      <w:pPr>
        <w:spacing w:line="5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1、交货期：签订合同后15日内完成交货和安装调试并通过采购人验收使用。</w:t>
      </w:r>
    </w:p>
    <w:p>
      <w:pPr>
        <w:spacing w:line="5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2、交货地点: 旺苍县人民医院。</w:t>
      </w:r>
    </w:p>
    <w:p>
      <w:pPr>
        <w:spacing w:line="560" w:lineRule="exact"/>
        <w:ind w:firstLine="480" w:firstLineChars="200"/>
        <w:jc w:val="left"/>
        <w:rPr>
          <w:rFonts w:hint="eastAsia" w:asciiTheme="majorEastAsia" w:hAnsiTheme="majorEastAsia" w:eastAsiaTheme="majorEastAsia"/>
          <w:sz w:val="24"/>
        </w:rPr>
      </w:pPr>
      <w:r>
        <w:rPr>
          <w:rFonts w:hint="eastAsia" w:asciiTheme="majorEastAsia" w:hAnsiTheme="majorEastAsia" w:eastAsiaTheme="majorEastAsia"/>
          <w:sz w:val="24"/>
        </w:rPr>
        <w:t>3、支付方式：</w:t>
      </w:r>
    </w:p>
    <w:p>
      <w:pPr>
        <w:spacing w:line="560" w:lineRule="exact"/>
        <w:ind w:firstLine="480" w:firstLineChars="200"/>
        <w:jc w:val="left"/>
        <w:rPr>
          <w:rFonts w:hint="eastAsia" w:asciiTheme="majorEastAsia" w:hAnsiTheme="majorEastAsia" w:eastAsiaTheme="majorEastAsia"/>
          <w:sz w:val="24"/>
        </w:rPr>
      </w:pPr>
      <w:r>
        <w:rPr>
          <w:rFonts w:hint="eastAsia" w:asciiTheme="majorEastAsia" w:hAnsiTheme="majorEastAsia" w:eastAsiaTheme="majorEastAsia"/>
          <w:sz w:val="24"/>
          <w:lang w:eastAsia="zh-CN"/>
        </w:rPr>
        <w:t>包一：合同签订后预付合同金额</w:t>
      </w:r>
      <w:r>
        <w:rPr>
          <w:rFonts w:hint="eastAsia" w:asciiTheme="majorEastAsia" w:hAnsiTheme="majorEastAsia" w:eastAsiaTheme="majorEastAsia"/>
          <w:sz w:val="24"/>
          <w:lang w:val="en-US" w:eastAsia="zh-CN"/>
        </w:rPr>
        <w:t>30%，</w:t>
      </w:r>
      <w:r>
        <w:rPr>
          <w:rFonts w:hint="eastAsia" w:asciiTheme="majorEastAsia" w:hAnsiTheme="majorEastAsia" w:eastAsiaTheme="majorEastAsia"/>
          <w:sz w:val="24"/>
        </w:rPr>
        <w:t>验收合格后中标人凭全额</w:t>
      </w:r>
      <w:r>
        <w:rPr>
          <w:rFonts w:hint="eastAsia" w:asciiTheme="majorEastAsia" w:hAnsiTheme="majorEastAsia" w:eastAsiaTheme="majorEastAsia"/>
          <w:sz w:val="24"/>
          <w:lang w:eastAsia="zh-CN"/>
        </w:rPr>
        <w:t>有效</w:t>
      </w:r>
      <w:r>
        <w:rPr>
          <w:rFonts w:hint="eastAsia" w:asciiTheme="majorEastAsia" w:hAnsiTheme="majorEastAsia" w:eastAsiaTheme="majorEastAsia"/>
          <w:sz w:val="24"/>
        </w:rPr>
        <w:t>发票，采购人支付合同价款的50%，设备运行十二个月</w:t>
      </w:r>
      <w:r>
        <w:rPr>
          <w:rFonts w:hint="eastAsia" w:asciiTheme="majorEastAsia" w:hAnsiTheme="majorEastAsia" w:eastAsiaTheme="majorEastAsia"/>
          <w:sz w:val="24"/>
          <w:lang w:eastAsia="zh-CN"/>
        </w:rPr>
        <w:t>（验收合格次日起计算）</w:t>
      </w:r>
      <w:r>
        <w:rPr>
          <w:rFonts w:hint="eastAsia" w:asciiTheme="majorEastAsia" w:hAnsiTheme="majorEastAsia" w:eastAsiaTheme="majorEastAsia"/>
          <w:sz w:val="24"/>
        </w:rPr>
        <w:t>无任何</w:t>
      </w:r>
      <w:r>
        <w:rPr>
          <w:rFonts w:hint="eastAsia" w:asciiTheme="majorEastAsia" w:hAnsiTheme="majorEastAsia" w:eastAsiaTheme="majorEastAsia"/>
          <w:sz w:val="24"/>
          <w:lang w:eastAsia="zh-CN"/>
        </w:rPr>
        <w:t>质量问题三十日内</w:t>
      </w:r>
      <w:r>
        <w:rPr>
          <w:rFonts w:hint="eastAsia" w:asciiTheme="majorEastAsia" w:hAnsiTheme="majorEastAsia" w:eastAsiaTheme="majorEastAsia"/>
          <w:sz w:val="24"/>
        </w:rPr>
        <w:t>采购人支付合同价款的15%，剩余合同价款在设备运行</w:t>
      </w:r>
      <w:r>
        <w:rPr>
          <w:rFonts w:hint="eastAsia" w:asciiTheme="majorEastAsia" w:hAnsiTheme="majorEastAsia" w:eastAsiaTheme="majorEastAsia"/>
          <w:sz w:val="24"/>
          <w:lang w:eastAsia="zh-CN"/>
        </w:rPr>
        <w:t>三十六</w:t>
      </w:r>
      <w:r>
        <w:rPr>
          <w:rFonts w:hint="eastAsia" w:asciiTheme="majorEastAsia" w:hAnsiTheme="majorEastAsia" w:eastAsiaTheme="majorEastAsia"/>
          <w:sz w:val="24"/>
        </w:rPr>
        <w:t>个月后无任何</w:t>
      </w:r>
      <w:r>
        <w:rPr>
          <w:rFonts w:hint="eastAsia" w:asciiTheme="majorEastAsia" w:hAnsiTheme="majorEastAsia" w:eastAsiaTheme="majorEastAsia"/>
          <w:sz w:val="24"/>
          <w:lang w:eastAsia="zh-CN"/>
        </w:rPr>
        <w:t>质量问题三十日</w:t>
      </w:r>
      <w:r>
        <w:rPr>
          <w:rFonts w:hint="eastAsia" w:asciiTheme="majorEastAsia" w:hAnsiTheme="majorEastAsia" w:eastAsiaTheme="majorEastAsia"/>
          <w:sz w:val="24"/>
        </w:rPr>
        <w:t>内支付。</w:t>
      </w:r>
    </w:p>
    <w:p>
      <w:pPr>
        <w:spacing w:line="560" w:lineRule="exact"/>
        <w:ind w:firstLine="480" w:firstLineChars="200"/>
        <w:jc w:val="left"/>
        <w:rPr>
          <w:rFonts w:asciiTheme="majorEastAsia" w:hAnsiTheme="majorEastAsia" w:eastAsiaTheme="majorEastAsia"/>
          <w:color w:val="FF0000"/>
          <w:sz w:val="24"/>
        </w:rPr>
      </w:pPr>
      <w:r>
        <w:rPr>
          <w:rFonts w:hint="eastAsia" w:asciiTheme="majorEastAsia" w:hAnsiTheme="majorEastAsia" w:eastAsiaTheme="majorEastAsia"/>
          <w:sz w:val="24"/>
          <w:lang w:eastAsia="zh-CN"/>
        </w:rPr>
        <w:t>包二：合同签订后预付合同金额</w:t>
      </w:r>
      <w:r>
        <w:rPr>
          <w:rFonts w:hint="eastAsia" w:asciiTheme="majorEastAsia" w:hAnsiTheme="majorEastAsia" w:eastAsiaTheme="majorEastAsia"/>
          <w:sz w:val="24"/>
          <w:lang w:val="en-US" w:eastAsia="zh-CN"/>
        </w:rPr>
        <w:t>30%，</w:t>
      </w:r>
      <w:r>
        <w:rPr>
          <w:rFonts w:hint="eastAsia" w:asciiTheme="majorEastAsia" w:hAnsiTheme="majorEastAsia" w:eastAsiaTheme="majorEastAsia"/>
          <w:sz w:val="24"/>
        </w:rPr>
        <w:t>验收合格后中标人凭全额</w:t>
      </w:r>
      <w:r>
        <w:rPr>
          <w:rFonts w:hint="eastAsia" w:asciiTheme="majorEastAsia" w:hAnsiTheme="majorEastAsia" w:eastAsiaTheme="majorEastAsia"/>
          <w:sz w:val="24"/>
          <w:lang w:eastAsia="zh-CN"/>
        </w:rPr>
        <w:t>有效</w:t>
      </w:r>
      <w:r>
        <w:rPr>
          <w:rFonts w:hint="eastAsia" w:asciiTheme="majorEastAsia" w:hAnsiTheme="majorEastAsia" w:eastAsiaTheme="majorEastAsia"/>
          <w:sz w:val="24"/>
        </w:rPr>
        <w:t>发票，采购人支付合同价款的50%，设备运行十二个月</w:t>
      </w:r>
      <w:r>
        <w:rPr>
          <w:rFonts w:hint="eastAsia" w:asciiTheme="majorEastAsia" w:hAnsiTheme="majorEastAsia" w:eastAsiaTheme="majorEastAsia"/>
          <w:sz w:val="24"/>
          <w:lang w:eastAsia="zh-CN"/>
        </w:rPr>
        <w:t>（验收合格次日起计算）</w:t>
      </w:r>
      <w:r>
        <w:rPr>
          <w:rFonts w:hint="eastAsia" w:asciiTheme="majorEastAsia" w:hAnsiTheme="majorEastAsia" w:eastAsiaTheme="majorEastAsia"/>
          <w:sz w:val="24"/>
        </w:rPr>
        <w:t>无任何</w:t>
      </w:r>
      <w:r>
        <w:rPr>
          <w:rFonts w:hint="eastAsia" w:asciiTheme="majorEastAsia" w:hAnsiTheme="majorEastAsia" w:eastAsiaTheme="majorEastAsia"/>
          <w:sz w:val="24"/>
          <w:lang w:eastAsia="zh-CN"/>
        </w:rPr>
        <w:t>质量问题三十日内</w:t>
      </w:r>
      <w:r>
        <w:rPr>
          <w:rFonts w:hint="eastAsia" w:asciiTheme="majorEastAsia" w:hAnsiTheme="majorEastAsia" w:eastAsiaTheme="majorEastAsia"/>
          <w:sz w:val="24"/>
        </w:rPr>
        <w:t>采购人支付合同价款的15%，剩余合同价款在设备运行</w:t>
      </w:r>
      <w:r>
        <w:rPr>
          <w:rFonts w:hint="eastAsia" w:asciiTheme="majorEastAsia" w:hAnsiTheme="majorEastAsia" w:eastAsiaTheme="majorEastAsia"/>
          <w:sz w:val="24"/>
          <w:lang w:eastAsia="zh-CN"/>
        </w:rPr>
        <w:t>二十四</w:t>
      </w:r>
      <w:r>
        <w:rPr>
          <w:rFonts w:hint="eastAsia" w:asciiTheme="majorEastAsia" w:hAnsiTheme="majorEastAsia" w:eastAsiaTheme="majorEastAsia"/>
          <w:sz w:val="24"/>
        </w:rPr>
        <w:t>个月后无任何</w:t>
      </w:r>
      <w:r>
        <w:rPr>
          <w:rFonts w:hint="eastAsia" w:asciiTheme="majorEastAsia" w:hAnsiTheme="majorEastAsia" w:eastAsiaTheme="majorEastAsia"/>
          <w:sz w:val="24"/>
          <w:lang w:eastAsia="zh-CN"/>
        </w:rPr>
        <w:t>质量问题三十日</w:t>
      </w:r>
      <w:r>
        <w:rPr>
          <w:rFonts w:hint="eastAsia" w:asciiTheme="majorEastAsia" w:hAnsiTheme="majorEastAsia" w:eastAsiaTheme="majorEastAsia"/>
          <w:sz w:val="24"/>
        </w:rPr>
        <w:t>内支付。</w:t>
      </w:r>
    </w:p>
    <w:p>
      <w:pPr>
        <w:spacing w:line="560" w:lineRule="exact"/>
        <w:ind w:firstLine="480" w:firstLineChars="200"/>
        <w:jc w:val="left"/>
        <w:rPr>
          <w:rFonts w:asciiTheme="majorEastAsia" w:hAnsiTheme="majorEastAsia" w:eastAsiaTheme="majorEastAsia"/>
          <w:color w:val="FF0000"/>
          <w:sz w:val="24"/>
        </w:rPr>
      </w:pPr>
      <w:r>
        <w:rPr>
          <w:rFonts w:hint="eastAsia" w:asciiTheme="majorEastAsia" w:hAnsiTheme="majorEastAsia" w:eastAsiaTheme="majorEastAsia"/>
          <w:sz w:val="24"/>
        </w:rPr>
        <w:t>4、验收：本项目货物质量符合国家或行业现行相关规定以及采购人提出的技术服务要求，其他未尽事宜，采购人将严格按照政府采购相关法律法规以及《财政部关于进一步加强政府采购需求和履约验收管理的指导意见》财库【2016】205文件要求、招标文件规定的要求和响应文件及合同承诺的内容进行验收</w:t>
      </w:r>
      <w:r>
        <w:rPr>
          <w:rFonts w:hint="eastAsia" w:asciiTheme="majorEastAsia" w:hAnsiTheme="majorEastAsia" w:eastAsiaTheme="majorEastAsia"/>
          <w:color w:val="FF0000"/>
          <w:sz w:val="24"/>
        </w:rPr>
        <w:t>。</w:t>
      </w:r>
    </w:p>
    <w:p>
      <w:pPr>
        <w:spacing w:line="5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5、投标人的报价应包括货物成本、货物运输、人工、安装、调试、培训、利润、税费等完成本项目所需的一切费用，采购人不再支付其他任何费用。</w:t>
      </w:r>
      <w:bookmarkStart w:id="0" w:name="_GoBack"/>
      <w:bookmarkEnd w:id="0"/>
    </w:p>
    <w:p>
      <w:pPr>
        <w:spacing w:line="5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★六、售后服务要求：</w:t>
      </w:r>
    </w:p>
    <w:p>
      <w:pPr>
        <w:spacing w:line="5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1、本项目包件1血液透析机的质保期为验收合格之日起3年</w:t>
      </w:r>
      <w:r>
        <w:rPr>
          <w:rFonts w:hint="eastAsia" w:asciiTheme="majorEastAsia" w:hAnsiTheme="majorEastAsia" w:eastAsiaTheme="majorEastAsia"/>
          <w:sz w:val="24"/>
          <w:lang w:eastAsia="zh-CN"/>
        </w:rPr>
        <w:t>、</w:t>
      </w:r>
      <w:r>
        <w:rPr>
          <w:rFonts w:hint="eastAsia" w:asciiTheme="majorEastAsia" w:hAnsiTheme="majorEastAsia" w:eastAsiaTheme="majorEastAsia"/>
          <w:sz w:val="24"/>
        </w:rPr>
        <w:t>包件2麻醉机的质保期为验收合格之日起</w:t>
      </w:r>
      <w:r>
        <w:rPr>
          <w:rFonts w:hint="eastAsia" w:asciiTheme="majorEastAsia" w:hAnsiTheme="majorEastAsia" w:eastAsiaTheme="majorEastAsia"/>
          <w:sz w:val="24"/>
          <w:lang w:val="en-US" w:eastAsia="zh-CN"/>
        </w:rPr>
        <w:t>2</w:t>
      </w:r>
      <w:r>
        <w:rPr>
          <w:rFonts w:hint="eastAsia" w:asciiTheme="majorEastAsia" w:hAnsiTheme="majorEastAsia" w:eastAsiaTheme="majorEastAsia"/>
          <w:sz w:val="24"/>
        </w:rPr>
        <w:t>年，质保期内中标人应免费负责产品的维修及抢修。故障报修后应在2小时内做出维修方案决定，4小时内如无法电话解决问题，中标人的维修工程师必须在接到故障报告后24小时内到达现场修理和更换零配件，最迟在3日内修复，费用（包括材料及零配件等）由中标人承担。如3日内不能修复，应采取无偿提供投标产品备用整机等措施，以保证采购人的正常生产工作。质保期后，中标人应向采购人提供及时的、优质的、价格优惠的技术服务和备品备件供应。质保期结束后的维修维护，除材料费由采购人按照成本价支付外，其余所有费用由中标人自行承担，即保证终身免费上门维修维护。售后服务部门在接到电话后4小时内响应，8小时内如无法电话解决问题，48小时内派维修工程师到达现场解决问题，最迟在5日内修复。如不能修复应采取无偿提供采购物品的备用件或整机等措施，以保证采购人的正常生产工作，中标人有其它服务承诺的一并履行。在保修期内中标人不得以任何理由影响设备正常使用。</w:t>
      </w:r>
    </w:p>
    <w:p>
      <w:pPr>
        <w:spacing w:line="560" w:lineRule="exact"/>
        <w:ind w:firstLine="480" w:firstLineChars="200"/>
        <w:jc w:val="left"/>
        <w:rPr>
          <w:rFonts w:hint="eastAsia" w:asciiTheme="majorEastAsia" w:hAnsiTheme="majorEastAsia" w:eastAsiaTheme="majorEastAsia"/>
          <w:sz w:val="24"/>
        </w:rPr>
      </w:pPr>
      <w:r>
        <w:rPr>
          <w:rFonts w:hint="eastAsia" w:asciiTheme="majorEastAsia" w:hAnsiTheme="majorEastAsia" w:eastAsiaTheme="majorEastAsia"/>
          <w:sz w:val="24"/>
        </w:rPr>
        <w:t>2、中标人保证成交设备质保期内年正常使用率≥96％（365天/年计算），若＜96％则应相应延长保修期（每降低1个百分点则延长5天）。</w:t>
      </w:r>
    </w:p>
    <w:p>
      <w:pPr>
        <w:spacing w:line="560" w:lineRule="exact"/>
        <w:ind w:firstLine="480" w:firstLineChars="200"/>
        <w:jc w:val="left"/>
        <w:rPr>
          <w:rFonts w:hint="eastAsia" w:asciiTheme="majorEastAsia" w:hAnsiTheme="majorEastAsia" w:eastAsiaTheme="majorEastAsia"/>
          <w:sz w:val="24"/>
        </w:rPr>
      </w:pPr>
      <w:r>
        <w:rPr>
          <w:rFonts w:hint="eastAsia" w:asciiTheme="majorEastAsia" w:hAnsiTheme="majorEastAsia" w:eastAsiaTheme="majorEastAsia"/>
          <w:sz w:val="24"/>
        </w:rPr>
        <w:t>3、备件送达期限：在产品的使用寿命期内，中标人应保证国内不超过7天，国外不超过21天。</w:t>
      </w:r>
    </w:p>
    <w:p>
      <w:pPr>
        <w:spacing w:line="560" w:lineRule="exact"/>
        <w:ind w:firstLine="480" w:firstLineChars="200"/>
        <w:jc w:val="left"/>
        <w:rPr>
          <w:rFonts w:hint="eastAsia" w:asciiTheme="majorEastAsia" w:hAnsiTheme="majorEastAsia" w:eastAsiaTheme="majorEastAsia"/>
          <w:sz w:val="24"/>
        </w:rPr>
      </w:pPr>
      <w:r>
        <w:rPr>
          <w:rFonts w:hint="eastAsia" w:asciiTheme="majorEastAsia" w:hAnsiTheme="majorEastAsia" w:eastAsiaTheme="majorEastAsia"/>
          <w:sz w:val="24"/>
        </w:rPr>
        <w:t>4、终身零配件供应：中标人应保证产品停产后的备件供应保证≥10年，并以最优惠的价格提供该设备所需的维修零配件。</w:t>
      </w:r>
    </w:p>
    <w:p>
      <w:pPr>
        <w:spacing w:line="560" w:lineRule="exact"/>
        <w:ind w:firstLine="480" w:firstLineChars="200"/>
        <w:jc w:val="left"/>
        <w:rPr>
          <w:rFonts w:asciiTheme="majorEastAsia" w:hAnsiTheme="majorEastAsia" w:eastAsiaTheme="majorEastAsia"/>
          <w:color w:val="FF0000"/>
          <w:sz w:val="24"/>
        </w:rPr>
      </w:pPr>
      <w:r>
        <w:rPr>
          <w:rFonts w:hint="eastAsia" w:asciiTheme="majorEastAsia" w:hAnsiTheme="majorEastAsia" w:eastAsiaTheme="majorEastAsia"/>
          <w:sz w:val="24"/>
        </w:rPr>
        <w:t>5、中标人在国内应有售后服务部门，24小时电话维修系统，并列出工程师名单、联系电话及备件库地址和备件的详细目录, 并提供售后服务机构</w:t>
      </w:r>
      <w:r>
        <w:rPr>
          <w:rFonts w:hint="eastAsia" w:asciiTheme="majorEastAsia" w:hAnsiTheme="majorEastAsia" w:eastAsiaTheme="majorEastAsia"/>
          <w:sz w:val="24"/>
          <w:lang w:eastAsia="zh-CN"/>
        </w:rPr>
        <w:t>营业</w:t>
      </w:r>
      <w:r>
        <w:rPr>
          <w:rFonts w:hint="eastAsia" w:asciiTheme="majorEastAsia" w:hAnsiTheme="majorEastAsia" w:eastAsiaTheme="majorEastAsia"/>
          <w:sz w:val="24"/>
        </w:rPr>
        <w:t>执照和</w:t>
      </w:r>
      <w:r>
        <w:rPr>
          <w:rFonts w:hint="eastAsia" w:asciiTheme="majorEastAsia" w:hAnsiTheme="majorEastAsia" w:eastAsiaTheme="majorEastAsia"/>
          <w:sz w:val="24"/>
          <w:lang w:eastAsia="zh-CN"/>
        </w:rPr>
        <w:t>工程师</w:t>
      </w:r>
      <w:r>
        <w:rPr>
          <w:rFonts w:hint="eastAsia" w:asciiTheme="majorEastAsia" w:hAnsiTheme="majorEastAsia" w:eastAsiaTheme="majorEastAsia"/>
          <w:sz w:val="24"/>
        </w:rPr>
        <w:t>资质证书。</w:t>
      </w:r>
    </w:p>
    <w:p>
      <w:pPr>
        <w:spacing w:line="5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6、中标人的售后服务部门必须派遣</w:t>
      </w:r>
      <w:r>
        <w:rPr>
          <w:rFonts w:hint="eastAsia" w:asciiTheme="majorEastAsia" w:hAnsiTheme="majorEastAsia" w:eastAsiaTheme="majorEastAsia"/>
          <w:sz w:val="24"/>
          <w:lang w:eastAsia="zh-CN"/>
        </w:rPr>
        <w:t>专业</w:t>
      </w:r>
      <w:r>
        <w:rPr>
          <w:rFonts w:hint="eastAsia" w:asciiTheme="majorEastAsia" w:hAnsiTheme="majorEastAsia" w:eastAsiaTheme="majorEastAsia"/>
          <w:sz w:val="24"/>
        </w:rPr>
        <w:t>的售后技术维护人员每年不少于两次对成交产品进行免费预防性维护保养。</w:t>
      </w:r>
    </w:p>
    <w:p>
      <w:pPr>
        <w:spacing w:line="5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7、中标人应为采购人提供免费培训服务。主要培训内容为设备及系统的基本结构、性能、主要部件的构造，日常使用操作、维护、保养与管理、常见故障的排除、紧急情况的处理等，直至采购人的技术人员能独立操作，同时能完成一般常见故障的维修工作，培训时间和地点由采购人安排。</w:t>
      </w:r>
    </w:p>
    <w:p>
      <w:pPr>
        <w:spacing w:line="5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注：以上★项为本项目实质性要求，不允许负偏离，否则做无效投标处理。</w:t>
      </w: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23050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wps:spPr>
                    <wps:txbx>
                      <w:txbxContent>
                        <w:p>
                          <w:pPr>
                            <w:pStyle w:val="7"/>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49.05pt;mso-position-horizontal:outside;mso-position-horizontal-relative:margin;mso-wrap-style:none;z-index:251659264;mso-width-relative:page;mso-height-relative:page;" filled="f" stroked="f" coordsize="21600,21600" o:gfxdata="UEsDBAoAAAAAAIdO4kAAAAAAAAAAAAAAAAAEAAAAZHJzL1BLAwQUAAAACACHTuJASDMzFdEAAAAD&#10;AQAADwAAAGRycy9kb3ducmV2LnhtbE2PwU7DMBBE70j9B2srcaNOqFRCiNNDJS7cKAiJmxtv4wh7&#10;Hdlumvw9Cxe4rDSa0czbZj97JyaMaQikoNwUIJC6YAbqFby/Pd9VIFLWZLQLhAoWTLBvVzeNrk24&#10;0itOx9wLLqFUawU257GWMnUWvU6bMCKxdw7R68wy9tJEfeVy7+R9Ueyk1wPxgtUjHix2X8eLV/Aw&#10;fwQcEx7w8zx10Q5L5V4WpW7XZfEEIuOc/8Lwg8/o0DLTKVzIJOEU8CP597L3WJUgTgq2uy3ItpH/&#10;2dtvUEsDBBQAAAAIAIdO4kCvSATuCgIAAAIEAAAOAAAAZHJzL2Uyb0RvYy54bWytU82O0zAQviPx&#10;DpbvNGlWXUHUdLVsVYS0/EgLD+A6TmOReKyx26Q8ALwBJy5757n6HIydpCzLZQ9crLE9/ub7vhkv&#10;r/q2YQeFToMp+HyWcqaMhFKbXcE/f9q8eMmZ88KUogGjCn5Ujl+tnj9bdjZXGdTQlAoZgRiXd7bg&#10;tfc2TxIna9UKNwOrDF1WgK3wtMVdUqLoCL1tkixNL5MOsLQIUjlHp+vhko+I+BRAqCot1RrkvlXG&#10;D6ioGuFJkqu1dXwV2VaVkv5DVTnlWVNwUurjSkUo3oY1WS1FvkNhay1HCuIpFB5paoU2VPQMtRZe&#10;sD3qf6BaLREcVH4moU0GIdERUjFPH3lzVwurohay2tmz6e7/wcr3h4/IdFnwjDMjWmr46cf3089f&#10;p/tvLAv2dNbllHVnKc/3r6GnoYlSnb0F+cUxAze1MDt1jQhdrURJ9ObhZfLg6YDjAsi2ewcl1RF7&#10;DxGor7AN3pEbjNCpNcdza1TvmaTDyyx7dbHgTNJVdpEu0kWsIPLpsUXn3yhoWQgKjtT5CC4Ot84H&#10;MiKfUkItAxvdNLH7jfnrgBLDSSQf+A7Mfb/tRzO2UB5JBsIwTPSVKKgBv3LW0SAV3NC/4ax5a8iI&#10;MHNTgFOwnQJhJD0suOdsCG/8MJt7i3pXE+5k9TWZtdFRSHB14DCypNGI+sYxDrP3cB+z/nzd1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IMzMV0QAAAAMBAAAPAAAAAAAAAAEAIAAAACIAAABkcnMv&#10;ZG93bnJldi54bWxQSwECFAAUAAAACACHTuJAr0gE7goCAAACBAAADgAAAAAAAAABACAAAAAgAQAA&#10;ZHJzL2Uyb0RvYy54bWxQSwUGAAAAAAYABgBZAQAAnAUAAAAA&#10;">
              <v:fill on="f" focussize="0,0"/>
              <v:stroke on="f"/>
              <v:imagedata o:title=""/>
              <o:lock v:ext="edit" aspectratio="f"/>
              <v:textbox inset="0mm,0mm,0mm,0mm" style="mso-fit-shape-to-text:t;">
                <w:txbxContent>
                  <w:p>
                    <w:pPr>
                      <w:pStyle w:val="7"/>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0759017"/>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jc w:val="right"/>
      <w:rPr>
        <w:rFonts w:ascii="宋体" w:hAnsi="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6D4E15"/>
    <w:multiLevelType w:val="singleLevel"/>
    <w:tmpl w:val="546D4E1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3ODdjODc0MGRiMmZlMzA1NzcwN2NhMDdiYTkxYjkifQ=="/>
  </w:docVars>
  <w:rsids>
    <w:rsidRoot w:val="00DD46BF"/>
    <w:rsid w:val="0007596B"/>
    <w:rsid w:val="000801B0"/>
    <w:rsid w:val="00195728"/>
    <w:rsid w:val="001E0D3B"/>
    <w:rsid w:val="001E513B"/>
    <w:rsid w:val="001F32E9"/>
    <w:rsid w:val="0020136B"/>
    <w:rsid w:val="002734FA"/>
    <w:rsid w:val="00274FF9"/>
    <w:rsid w:val="002928E7"/>
    <w:rsid w:val="002E24FC"/>
    <w:rsid w:val="003369BF"/>
    <w:rsid w:val="00393E2C"/>
    <w:rsid w:val="004571D1"/>
    <w:rsid w:val="00461C2B"/>
    <w:rsid w:val="00492D21"/>
    <w:rsid w:val="004E6C5F"/>
    <w:rsid w:val="005E3A1B"/>
    <w:rsid w:val="006259CB"/>
    <w:rsid w:val="006438AC"/>
    <w:rsid w:val="00652C1D"/>
    <w:rsid w:val="0069057F"/>
    <w:rsid w:val="00754D22"/>
    <w:rsid w:val="00771935"/>
    <w:rsid w:val="007A6CFA"/>
    <w:rsid w:val="007B6E37"/>
    <w:rsid w:val="007F6115"/>
    <w:rsid w:val="00823218"/>
    <w:rsid w:val="0082360C"/>
    <w:rsid w:val="00892AE2"/>
    <w:rsid w:val="008A789C"/>
    <w:rsid w:val="009238D6"/>
    <w:rsid w:val="009B263C"/>
    <w:rsid w:val="009E5726"/>
    <w:rsid w:val="009F2BDE"/>
    <w:rsid w:val="00A12C0A"/>
    <w:rsid w:val="00A547BF"/>
    <w:rsid w:val="00A9026E"/>
    <w:rsid w:val="00AA45C2"/>
    <w:rsid w:val="00AC387C"/>
    <w:rsid w:val="00AE4A3F"/>
    <w:rsid w:val="00AE5A8B"/>
    <w:rsid w:val="00AE6CAC"/>
    <w:rsid w:val="00B737DF"/>
    <w:rsid w:val="00BB5AF5"/>
    <w:rsid w:val="00C14454"/>
    <w:rsid w:val="00CE1C69"/>
    <w:rsid w:val="00CF72C6"/>
    <w:rsid w:val="00D4622C"/>
    <w:rsid w:val="00D90719"/>
    <w:rsid w:val="00D91758"/>
    <w:rsid w:val="00DC230B"/>
    <w:rsid w:val="00DD46BF"/>
    <w:rsid w:val="00DD5523"/>
    <w:rsid w:val="00DE2953"/>
    <w:rsid w:val="00E0119E"/>
    <w:rsid w:val="00E0179F"/>
    <w:rsid w:val="00E11554"/>
    <w:rsid w:val="00E1455C"/>
    <w:rsid w:val="00E15797"/>
    <w:rsid w:val="00E42AAA"/>
    <w:rsid w:val="00E6638E"/>
    <w:rsid w:val="00E7565C"/>
    <w:rsid w:val="00EE5237"/>
    <w:rsid w:val="00EF17F3"/>
    <w:rsid w:val="00F0226E"/>
    <w:rsid w:val="00F66792"/>
    <w:rsid w:val="00FC5644"/>
    <w:rsid w:val="00FC7682"/>
    <w:rsid w:val="00FD43A4"/>
    <w:rsid w:val="05E744BA"/>
    <w:rsid w:val="060868FA"/>
    <w:rsid w:val="071B37D7"/>
    <w:rsid w:val="0C2B1A59"/>
    <w:rsid w:val="140A1D9B"/>
    <w:rsid w:val="191B5804"/>
    <w:rsid w:val="1B464EFA"/>
    <w:rsid w:val="1F1FC489"/>
    <w:rsid w:val="23FC2323"/>
    <w:rsid w:val="243B04B1"/>
    <w:rsid w:val="278C2E12"/>
    <w:rsid w:val="2CC15D95"/>
    <w:rsid w:val="33BD62CD"/>
    <w:rsid w:val="3424031E"/>
    <w:rsid w:val="38475E2D"/>
    <w:rsid w:val="3A1A6AE5"/>
    <w:rsid w:val="3BE80FBA"/>
    <w:rsid w:val="3C9B4F65"/>
    <w:rsid w:val="40FE5C52"/>
    <w:rsid w:val="469C6178"/>
    <w:rsid w:val="4B665467"/>
    <w:rsid w:val="4CB142AE"/>
    <w:rsid w:val="4FF266CD"/>
    <w:rsid w:val="56BF4A4F"/>
    <w:rsid w:val="56FA6143"/>
    <w:rsid w:val="586066B5"/>
    <w:rsid w:val="5AFD70F3"/>
    <w:rsid w:val="69701466"/>
    <w:rsid w:val="6A350C4E"/>
    <w:rsid w:val="6F6A4693"/>
    <w:rsid w:val="73B944E7"/>
    <w:rsid w:val="77B553C5"/>
    <w:rsid w:val="7A992B33"/>
    <w:rsid w:val="7E2F5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link w:val="19"/>
    <w:autoRedefine/>
    <w:qFormat/>
    <w:uiPriority w:val="0"/>
    <w:pPr>
      <w:keepNext/>
      <w:keepLines/>
      <w:spacing w:before="260" w:after="260" w:line="416" w:lineRule="auto"/>
      <w:outlineLvl w:val="2"/>
    </w:pPr>
    <w:rPr>
      <w:rFonts w:ascii="Times New Roman" w:hAnsi="Times New Roman"/>
      <w:b/>
      <w:bCs/>
      <w:sz w:val="32"/>
      <w:szCs w:val="32"/>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unhideWhenUsed/>
    <w:qFormat/>
    <w:uiPriority w:val="1"/>
    <w:pPr>
      <w:spacing w:after="120"/>
    </w:pPr>
    <w:rPr>
      <w:kern w:val="0"/>
      <w:sz w:val="20"/>
    </w:rPr>
  </w:style>
  <w:style w:type="paragraph" w:styleId="4">
    <w:name w:val="annotation text"/>
    <w:basedOn w:val="1"/>
    <w:autoRedefine/>
    <w:semiHidden/>
    <w:unhideWhenUsed/>
    <w:qFormat/>
    <w:uiPriority w:val="99"/>
    <w:pPr>
      <w:jc w:val="left"/>
    </w:pPr>
  </w:style>
  <w:style w:type="paragraph" w:styleId="5">
    <w:name w:val="Body Text Indent 2"/>
    <w:basedOn w:val="1"/>
    <w:link w:val="15"/>
    <w:autoRedefine/>
    <w:semiHidden/>
    <w:unhideWhenUsed/>
    <w:qFormat/>
    <w:uiPriority w:val="99"/>
    <w:pPr>
      <w:spacing w:after="120" w:line="480" w:lineRule="auto"/>
      <w:ind w:left="420" w:leftChars="200"/>
    </w:pPr>
  </w:style>
  <w:style w:type="paragraph" w:styleId="6">
    <w:name w:val="Balloon Text"/>
    <w:basedOn w:val="1"/>
    <w:link w:val="17"/>
    <w:autoRedefine/>
    <w:semiHidden/>
    <w:unhideWhenUsed/>
    <w:qFormat/>
    <w:uiPriority w:val="99"/>
    <w:rPr>
      <w:sz w:val="18"/>
      <w:szCs w:val="18"/>
    </w:rPr>
  </w:style>
  <w:style w:type="paragraph" w:styleId="7">
    <w:name w:val="footer"/>
    <w:basedOn w:val="1"/>
    <w:link w:val="14"/>
    <w:autoRedefine/>
    <w:qFormat/>
    <w:uiPriority w:val="99"/>
    <w:pPr>
      <w:tabs>
        <w:tab w:val="center" w:pos="4153"/>
        <w:tab w:val="right" w:pos="8306"/>
      </w:tabs>
      <w:snapToGrid w:val="0"/>
      <w:jc w:val="left"/>
    </w:pPr>
    <w:rPr>
      <w:sz w:val="18"/>
      <w:szCs w:val="18"/>
    </w:rPr>
  </w:style>
  <w:style w:type="paragraph" w:styleId="8">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link w:val="18"/>
    <w:autoRedefine/>
    <w:qFormat/>
    <w:uiPriority w:val="0"/>
    <w:pPr>
      <w:widowControl/>
      <w:jc w:val="left"/>
    </w:pPr>
    <w:rPr>
      <w:rFonts w:ascii="宋体" w:hAnsi="宋体" w:cs="宋体"/>
      <w:kern w:val="0"/>
      <w:sz w:val="24"/>
    </w:rPr>
  </w:style>
  <w:style w:type="table" w:styleId="11">
    <w:name w:val="Table Grid"/>
    <w:basedOn w:val="10"/>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autoRedefine/>
    <w:qFormat/>
    <w:uiPriority w:val="99"/>
    <w:rPr>
      <w:rFonts w:cs="Times New Roman"/>
    </w:rPr>
  </w:style>
  <w:style w:type="character" w:customStyle="1" w:styleId="14">
    <w:name w:val="页脚 Char"/>
    <w:basedOn w:val="12"/>
    <w:link w:val="7"/>
    <w:autoRedefine/>
    <w:qFormat/>
    <w:uiPriority w:val="99"/>
    <w:rPr>
      <w:rFonts w:ascii="Calibri" w:hAnsi="Calibri" w:eastAsia="宋体" w:cs="Times New Roman"/>
      <w:sz w:val="18"/>
      <w:szCs w:val="18"/>
    </w:rPr>
  </w:style>
  <w:style w:type="character" w:customStyle="1" w:styleId="15">
    <w:name w:val="正文文本缩进 2 Char"/>
    <w:basedOn w:val="12"/>
    <w:link w:val="5"/>
    <w:autoRedefine/>
    <w:semiHidden/>
    <w:qFormat/>
    <w:uiPriority w:val="99"/>
    <w:rPr>
      <w:rFonts w:ascii="Calibri" w:hAnsi="Calibri" w:eastAsia="宋体" w:cs="Times New Roman"/>
      <w:szCs w:val="24"/>
    </w:rPr>
  </w:style>
  <w:style w:type="character" w:customStyle="1" w:styleId="16">
    <w:name w:val="页眉 Char"/>
    <w:basedOn w:val="12"/>
    <w:link w:val="8"/>
    <w:autoRedefine/>
    <w:qFormat/>
    <w:uiPriority w:val="99"/>
    <w:rPr>
      <w:rFonts w:ascii="Calibri" w:hAnsi="Calibri" w:eastAsia="宋体" w:cs="Times New Roman"/>
      <w:sz w:val="18"/>
      <w:szCs w:val="18"/>
    </w:rPr>
  </w:style>
  <w:style w:type="character" w:customStyle="1" w:styleId="17">
    <w:name w:val="批注框文本 Char"/>
    <w:basedOn w:val="12"/>
    <w:link w:val="6"/>
    <w:autoRedefine/>
    <w:semiHidden/>
    <w:qFormat/>
    <w:uiPriority w:val="99"/>
    <w:rPr>
      <w:rFonts w:ascii="Calibri" w:hAnsi="Calibri" w:eastAsia="宋体" w:cs="Times New Roman"/>
      <w:sz w:val="18"/>
      <w:szCs w:val="18"/>
    </w:rPr>
  </w:style>
  <w:style w:type="character" w:customStyle="1" w:styleId="18">
    <w:name w:val="普通(网站) Char"/>
    <w:link w:val="9"/>
    <w:autoRedefine/>
    <w:qFormat/>
    <w:uiPriority w:val="0"/>
    <w:rPr>
      <w:rFonts w:ascii="宋体" w:hAnsi="宋体" w:eastAsia="宋体" w:cs="宋体"/>
      <w:kern w:val="0"/>
      <w:sz w:val="24"/>
      <w:szCs w:val="24"/>
    </w:rPr>
  </w:style>
  <w:style w:type="character" w:customStyle="1" w:styleId="19">
    <w:name w:val="标题 3 Char"/>
    <w:basedOn w:val="12"/>
    <w:link w:val="3"/>
    <w:autoRedefine/>
    <w:qFormat/>
    <w:uiPriority w:val="0"/>
    <w:rPr>
      <w:rFonts w:ascii="Times New Roman" w:hAnsi="Times New Roman" w:eastAsia="宋体" w:cs="Times New Roman"/>
      <w:b/>
      <w:bCs/>
      <w:sz w:val="32"/>
      <w:szCs w:val="32"/>
    </w:rPr>
  </w:style>
  <w:style w:type="paragraph" w:customStyle="1" w:styleId="20">
    <w:name w:val="p0"/>
    <w:basedOn w:val="1"/>
    <w:autoRedefine/>
    <w:qFormat/>
    <w:uiPriority w:val="0"/>
    <w:pPr>
      <w:widowControl/>
    </w:pPr>
    <w:rPr>
      <w:rFonts w:ascii="Times New Roman" w:hAnsi="Times New Roman"/>
      <w:szCs w:val="21"/>
    </w:rPr>
  </w:style>
  <w:style w:type="paragraph" w:customStyle="1" w:styleId="21">
    <w:name w:val="bn"/>
    <w:basedOn w:val="1"/>
    <w:autoRedefine/>
    <w:qFormat/>
    <w:uiPriority w:val="0"/>
    <w:pPr>
      <w:topLinePunct/>
      <w:snapToGrid w:val="0"/>
      <w:ind w:left="20" w:leftChars="20" w:right="20" w:rightChars="20"/>
      <w:jc w:val="center"/>
    </w:pPr>
    <w:rPr>
      <w:rFonts w:hint="eastAsia" w:ascii="Times New Roman" w:hAnsi="Times New Roman"/>
      <w:color w:val="000000"/>
      <w:kern w:val="18"/>
      <w:sz w:val="18"/>
      <w:szCs w:val="22"/>
    </w:rPr>
  </w:style>
  <w:style w:type="paragraph" w:customStyle="1" w:styleId="22">
    <w:name w:val="正文_2"/>
    <w:link w:val="23"/>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23">
    <w:name w:val="正文_2 Char"/>
    <w:link w:val="22"/>
    <w:autoRedefine/>
    <w:qFormat/>
    <w:uiPriority w:val="0"/>
    <w:rPr>
      <w:rFonts w:ascii="Calibri" w:hAnsi="Calibri" w:eastAsia="宋体" w:cs="Times New Roman"/>
    </w:rPr>
  </w:style>
  <w:style w:type="character" w:customStyle="1" w:styleId="24">
    <w:name w:val="font81"/>
    <w:basedOn w:val="12"/>
    <w:autoRedefine/>
    <w:qFormat/>
    <w:uiPriority w:val="0"/>
    <w:rPr>
      <w:rFonts w:hint="eastAsia" w:ascii="宋体" w:hAnsi="宋体" w:eastAsia="宋体" w:cs="宋体"/>
      <w:color w:val="FF0000"/>
      <w:sz w:val="22"/>
      <w:szCs w:val="22"/>
      <w:u w:val="none"/>
    </w:rPr>
  </w:style>
  <w:style w:type="paragraph" w:customStyle="1" w:styleId="25">
    <w:name w:val="正文_29"/>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正文_1"/>
    <w:autoRedefine/>
    <w:qFormat/>
    <w:uiPriority w:val="0"/>
    <w:pPr>
      <w:widowControl w:val="0"/>
      <w:jc w:val="both"/>
    </w:pPr>
    <w:rPr>
      <w:rFonts w:ascii="Calibri" w:hAnsi="Calibri" w:eastAsia="宋体" w:cs="Times New Roman"/>
      <w:kern w:val="2"/>
      <w:sz w:val="21"/>
      <w:szCs w:val="24"/>
      <w:lang w:val="en-US" w:eastAsia="zh-CN" w:bidi="ar-SA"/>
    </w:rPr>
  </w:style>
  <w:style w:type="paragraph" w:styleId="27">
    <w:name w:val="List Paragraph"/>
    <w:basedOn w:val="1"/>
    <w:autoRedefine/>
    <w:unhideWhenUsed/>
    <w:qFormat/>
    <w:uiPriority w:val="99"/>
    <w:pPr>
      <w:widowControl/>
      <w:kinsoku w:val="0"/>
      <w:autoSpaceDE w:val="0"/>
      <w:autoSpaceDN w:val="0"/>
      <w:adjustRightInd w:val="0"/>
      <w:snapToGrid w:val="0"/>
      <w:ind w:firstLine="420" w:firstLineChars="200"/>
      <w:jc w:val="left"/>
      <w:textAlignment w:val="baseline"/>
    </w:pPr>
    <w:rPr>
      <w:rFonts w:ascii="Arial" w:hAnsi="Arial" w:eastAsia="Arial" w:cs="Arial"/>
      <w:snapToGrid w:val="0"/>
      <w:color w:val="000000"/>
      <w:kern w:val="0"/>
      <w:szCs w:val="21"/>
    </w:rPr>
  </w:style>
  <w:style w:type="paragraph" w:customStyle="1" w:styleId="28">
    <w:name w:val="Char Char1 Char"/>
    <w:basedOn w:val="1"/>
    <w:autoRedefine/>
    <w:qFormat/>
    <w:uiPriority w:val="0"/>
    <w:pPr>
      <w:widowControl/>
      <w:spacing w:line="240" w:lineRule="exact"/>
      <w:jc w:val="left"/>
    </w:pPr>
    <w:rPr>
      <w:rFonts w:ascii="Verdana" w:hAnsi="Verdana" w:eastAsia="仿宋_GB2312"/>
      <w:kern w:val="0"/>
      <w:sz w:val="24"/>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773</Words>
  <Characters>4411</Characters>
  <Lines>36</Lines>
  <Paragraphs>10</Paragraphs>
  <TotalTime>6</TotalTime>
  <ScaleCrop>false</ScaleCrop>
  <LinksUpToDate>false</LinksUpToDate>
  <CharactersWithSpaces>5174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2022-04-22T09:14:00Z</dcterms:created>
  <dc:creator>Administrator</dc:creator>
  <cp:lastModifiedBy>1</cp:lastModifiedBy>
  <cp:lastPrinted>2024-04-03T02:10:00Z</cp:lastPrinted>
  <dcterms:modified xsi:type="dcterms:W3CDTF">2024-04-19T02:00:37Z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F65F75FE6E5E4446B7779F1A06F18E56_13</vt:lpwstr>
  </property>
</Properties>
</file>