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outlineLvl w:val="0"/>
        <w:rPr>
          <w:rFonts w:hint="eastAsia" w:hAnsi="宋体"/>
          <w:b/>
          <w:bCs/>
          <w:snapToGrid w:val="0"/>
          <w:color w:val="000000" w:themeColor="text1"/>
          <w:sz w:val="24"/>
          <w:szCs w:val="24"/>
          <w:lang w:val="zh-TW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竞争性磋商项目内容</w:t>
      </w:r>
      <w:bookmarkStart w:id="0" w:name="_Toc27927"/>
      <w:bookmarkStart w:id="1" w:name="_Toc26478"/>
    </w:p>
    <w:bookmarkEnd w:id="0"/>
    <w:bookmarkEnd w:id="1"/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before="120" w:beforeLines="50" w:after="120" w:afterLines="50" w:line="500" w:lineRule="atLeast"/>
        <w:textAlignment w:val="auto"/>
        <w:outlineLvl w:val="1"/>
        <w:rPr>
          <w:rFonts w:hint="eastAsia" w:ascii="宋体" w:hAnsi="宋体" w:eastAsia="宋体" w:cs="宋体"/>
          <w:b/>
          <w:bCs/>
          <w:snapToGrid w:val="0"/>
          <w:color w:val="000000" w:themeColor="text1"/>
          <w:sz w:val="24"/>
          <w:szCs w:val="24"/>
          <w:lang w:val="zh-TW"/>
          <w14:textFill>
            <w14:solidFill>
              <w14:schemeClr w14:val="tx1"/>
            </w14:solidFill>
          </w14:textFill>
        </w:rPr>
      </w:pPr>
      <w:bookmarkStart w:id="2" w:name="_Toc4376"/>
      <w:r>
        <w:rPr>
          <w:rFonts w:hint="eastAsia" w:ascii="宋体" w:hAnsi="宋体" w:eastAsia="宋体" w:cs="宋体"/>
          <w:b/>
          <w:bCs/>
          <w:snapToGrid w:val="0"/>
          <w:color w:val="000000" w:themeColor="text1"/>
          <w:sz w:val="24"/>
          <w:szCs w:val="24"/>
          <w:lang w:val="zh-TW"/>
          <w14:textFill>
            <w14:solidFill>
              <w14:schemeClr w14:val="tx1"/>
            </w14:solidFill>
          </w14:textFill>
        </w:rPr>
        <w:t>一、项目名称、</w:t>
      </w:r>
      <w:bookmarkEnd w:id="2"/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最高限价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atLeas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1．项目名称：</w:t>
      </w:r>
      <w:r>
        <w:rPr>
          <w:rFonts w:hint="eastAsia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遂宁市船山区教育招生考试中心</w:t>
      </w:r>
      <w:r>
        <w:rPr>
          <w:rFonts w:hint="eastAsia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国家教育考试安防项目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00" w:lineRule="atLeast"/>
        <w:ind w:left="0" w:firstLine="481" w:firstLineChars="0"/>
        <w:jc w:val="left"/>
        <w:textAlignment w:val="auto"/>
        <w:rPr>
          <w:rFonts w:hint="eastAsia" w:ascii="宋体" w:hAnsi="宋体" w:eastAsia="宋体" w:cs="宋体"/>
          <w:b/>
          <w:bCs/>
          <w:snapToGrid w:val="0"/>
          <w:color w:val="000000" w:themeColor="text1"/>
          <w:sz w:val="24"/>
          <w:szCs w:val="24"/>
          <w:lang w:val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2．最高限价：</w:t>
      </w:r>
      <w:bookmarkStart w:id="3" w:name="_Toc22906"/>
      <w:bookmarkStart w:id="4" w:name="_Toc29458"/>
      <w:r>
        <w:rPr>
          <w:rFonts w:hint="eastAsia" w:ascii="宋体" w:hAnsi="宋体" w:eastAsia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本项目最高限价为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/年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（其中屏蔽器</w:t>
      </w:r>
      <w:r>
        <w:rPr>
          <w:rFonts w:hint="eastAsia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单价最高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限价：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¥</w:t>
      </w:r>
      <w:r>
        <w:rPr>
          <w:rFonts w:hint="eastAsia" w:hAnsi="宋体" w:cs="宋体"/>
          <w:b/>
          <w:bCs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/台/堂次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；智能安检门</w:t>
      </w:r>
      <w:r>
        <w:rPr>
          <w:rFonts w:hint="eastAsia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单价最高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限价：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¥</w:t>
      </w:r>
      <w:r>
        <w:rPr>
          <w:rFonts w:hint="eastAsia" w:hAnsi="宋体" w:cs="宋体"/>
          <w:b/>
          <w:bCs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8000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/台/次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/>
          <w:color w:val="000000" w:themeColor="text1"/>
          <w:sz w:val="18"/>
          <w:szCs w:val="13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超过最高限价作无效报价处理</w:t>
      </w:r>
      <w:r>
        <w:rPr>
          <w:rFonts w:hint="eastAsia" w:ascii="宋体" w:hAnsi="宋体" w:eastAsia="宋体" w:cs="宋体"/>
          <w:b/>
          <w:color w:val="000000" w:themeColor="text1"/>
          <w:sz w:val="18"/>
          <w:szCs w:val="13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Cs/>
          <w:color w:val="000000" w:themeColor="text1"/>
          <w:sz w:val="20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before="120" w:beforeLines="50" w:after="120" w:afterLines="50" w:line="500" w:lineRule="atLeast"/>
        <w:textAlignment w:val="auto"/>
        <w:outlineLvl w:val="1"/>
        <w:rPr>
          <w:rFonts w:hint="eastAsia" w:ascii="宋体" w:hAnsi="宋体" w:eastAsia="宋体" w:cs="宋体"/>
          <w:b/>
          <w:bCs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snapToGrid w:val="0"/>
          <w:color w:val="000000" w:themeColor="text1"/>
          <w:sz w:val="24"/>
          <w:szCs w:val="24"/>
          <w:lang w:val="zh-TW"/>
          <w14:textFill>
            <w14:solidFill>
              <w14:schemeClr w14:val="tx1"/>
            </w14:solidFill>
          </w14:textFill>
        </w:rPr>
        <w:t>二、</w:t>
      </w:r>
      <w:bookmarkEnd w:id="3"/>
      <w:bookmarkEnd w:id="4"/>
      <w:r>
        <w:rPr>
          <w:rFonts w:hint="eastAsia" w:ascii="宋体" w:hAnsi="宋体" w:eastAsia="宋体" w:cs="宋体"/>
          <w:b/>
          <w:bCs/>
          <w:snapToGrid w:val="0"/>
          <w:color w:val="000000" w:themeColor="text1"/>
          <w:sz w:val="24"/>
          <w:szCs w:val="24"/>
          <w:lang w:val="zh-TW" w:eastAsia="zh-CN"/>
          <w14:textFill>
            <w14:solidFill>
              <w14:schemeClr w14:val="tx1"/>
            </w14:solidFill>
          </w14:textFill>
        </w:rPr>
        <w:t>租赁清单</w:t>
      </w:r>
    </w:p>
    <w:tbl>
      <w:tblPr>
        <w:tblStyle w:val="3"/>
        <w:tblW w:w="9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811"/>
        <w:gridCol w:w="2222"/>
        <w:gridCol w:w="727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5" w:name="_Toc11626"/>
            <w:bookmarkStart w:id="6" w:name="_Toc21364"/>
            <w:bookmarkStart w:id="7" w:name="_Toc20991"/>
            <w:bookmarkStart w:id="8" w:name="_Toc21289"/>
            <w:bookmarkStart w:id="9" w:name="_Toc32102"/>
            <w:bookmarkStart w:id="10" w:name="_Toc4359"/>
            <w:bookmarkStart w:id="11" w:name="_Toc17819"/>
            <w:bookmarkStart w:id="12" w:name="_Toc17257"/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outlineLvl w:val="1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租赁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设备名称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全年合计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租赁数量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atLeast"/>
              <w:jc w:val="center"/>
              <w:textAlignment w:val="auto"/>
              <w:outlineLvl w:val="1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atLeas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屏蔽器</w:t>
            </w:r>
          </w:p>
        </w:tc>
        <w:tc>
          <w:tcPr>
            <w:tcW w:w="2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atLeast"/>
              <w:jc w:val="center"/>
              <w:textAlignment w:val="auto"/>
              <w:outlineLvl w:val="1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4160</w:t>
            </w:r>
          </w:p>
        </w:tc>
        <w:tc>
          <w:tcPr>
            <w:tcW w:w="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atLeas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堂次</w:t>
            </w:r>
          </w:p>
        </w:tc>
        <w:tc>
          <w:tcPr>
            <w:tcW w:w="378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1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本项目采用单价报价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租赁数量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为预估数量，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全年预计7次考试使用该项目，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每次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3-4堂考试，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每次考试实际需求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atLeast"/>
              <w:jc w:val="center"/>
              <w:textAlignment w:val="auto"/>
              <w:outlineLvl w:val="1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atLeas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智能安检门</w:t>
            </w:r>
          </w:p>
        </w:tc>
        <w:tc>
          <w:tcPr>
            <w:tcW w:w="2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atLeast"/>
              <w:jc w:val="center"/>
              <w:textAlignment w:val="auto"/>
              <w:outlineLvl w:val="1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atLeas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37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atLeas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0" w:firstLineChars="0"/>
        <w:textAlignment w:val="auto"/>
        <w:outlineLvl w:val="1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三、技术服务要求</w:t>
      </w:r>
      <w:r>
        <w:rPr>
          <w:rFonts w:hint="eastAsia" w:hAnsi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（服务应答内容）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0" w:firstLineChars="0"/>
        <w:textAlignment w:val="auto"/>
        <w:outlineLvl w:val="1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（一）屏蔽器技术服务要求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有效屏蔽联通、电信、移动、广电运营商GSM、CDMA、DCS、TD-SCDMA、WCDMA、4G/E、4G/D、5G（含最新广电700MHz）手机信号和2.4GWIFI等无线信号、蓝牙信号及其他利用无线传输的信号，不干扰其它电子教学设备工作,手机离开隔断范围,即可恢复正常使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2、支持定制拓展特殊频段，可连续长时间工作；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3、产品预留网络接口以及网络模块位置，可升级使用先进的物联网卡技术，极简部署，无需通过布网线/电源线来实现远程一键开启或关闭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（提供承诺函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加盖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公章）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▲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4、设备需带有双LED液晶显示自动检测系统，开机自动侦测系统信号，显示设备电压、电流、温度、信号正常与否；仪器面板有工作指示灯，不少于12个频段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（提供证明材料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加盖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公章）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5、设备开机后完成屏蔽时间≤30 秒；环境温度-25-60℃；相对</w:t>
      </w:r>
      <w:r>
        <w:rPr>
          <w:rFonts w:hint="eastAsia" w:hAnsi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湿度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25-95%；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6、为方便使用管理要求，设备采用内置天线、电源，塑料外壳，有凹槽提手设计便于携带，也可以固定使用，有效屏蔽距离： 1～30 米（视使用场所信号强弱情况）；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▲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7、所投产品拥有符合GBZ/T189.5-2007微波辐射限值的检测报告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（提供第三方检测机构出具的带有CMA或CNAS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标识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检测报告复印件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加盖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公章）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▲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8、</w:t>
      </w: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投标产品拥有符合GB/T4214.1-2017噪声限值的检测报告</w:t>
      </w:r>
      <w:r>
        <w:rPr>
          <w:rFonts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提供第三方检测机构出具的带有CMA或CNAS标识检测报告复印件</w:t>
      </w:r>
      <w:r>
        <w:rPr>
          <w:rFonts w:hint="eastAsia" w:hAnsi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加盖供应商公章</w:t>
      </w:r>
      <w:r>
        <w:rPr>
          <w:rFonts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▲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9、所投产品有害物质符合GB/T 26572-2011《电子电气产品中限用物质的限量要求》，外壳以及内部金属中铅、汞镉、六价铬等有害物质符合相关限值要求并提供检测报告复印件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（提供第三方检测机构出具的检测报告复印件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加盖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公章）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0" w:firstLineChars="0"/>
        <w:textAlignment w:val="auto"/>
        <w:outlineLvl w:val="1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（二）智能安检门技术服务要求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▲1.显示屏：具有≥7寸显示屏，可查看预警情况（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需提供第三方检测机构出具的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带有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CNAS标识的检测报告复印件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加盖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▲2.金属探测分类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val="en-US" w:eastAsia="zh-CN" w:bidi="ar-SA"/>
        </w:rPr>
        <w:t>（注：以下（1）-（4）按一条参数计算）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（需提供第三方检测机构出具的带有CNAS标识的检测报告复印件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加盖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公章）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（1）日常用品不报警，包括戒指、皮带扣、项链、烟盒、打火机、手表等（可设置报警）；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（2）刀具、枪支类，主动报警（电子产品探测模式时可设置不报警）；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（3）马口铁罐类（易燃易爆气、液罐），主动报警（电子产品探测模式时可设置不报警）；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（4）智能手机及电子产品（智能手表），主动报警。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▲3.探测通行效率：≥30 人/分钟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（需提供第三方检测机构出具的带有CNAS标识的检测报告复印件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加盖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公章）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▲4.手机检测率：≥99%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（需提供第三方检测机构出具的带有CNAS标识的检测报告复印件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加盖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公章）</w:t>
      </w:r>
      <w:r>
        <w:rPr>
          <w:rFonts w:hint="eastAsia" w:hAnsi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▲5.探测区域：支持冬、夏季各类衣服场景，支持对人体头部上方、腰部中央、大腿内侧中间、脚底脚裸等区域。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（需提供第三方检测机构出具的带有CNAS标识的检测报告复印件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加盖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6.通行方式：单向/双向。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▲7.工作模式：电子产品探测模式及电子产品加金属违禁品模式。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（需第三方检测机构出具的带有CNAS标识的检测报告复印件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加盖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8.报警提示：声/光/图报警结合。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9.通讯接口：RJ45。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10.设置报警声音：能够设置报警声音，包括音量、音长、音调</w:t>
      </w:r>
      <w:r>
        <w:rPr>
          <w:rFonts w:hint="eastAsia" w:hAnsi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11.工作频率设置功能：能够设置设备的工作频率以避免相邻门相互干扰。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▲12.计数功能：具有通行人数、报警人数、报警物品类别、报警物品藏匿位置等信息查看功能。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（需提供跟踪计数相关软件著作权证书复印件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加盖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▲13.信息采集：能进行基础数据的采集，同一台设备调装完成后，携带同一种金属物品分次通过不同的探测区域，在不同的区域所得到的材质特征值是一致的。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（需提供信息采集核查相关软件著作权证书复印件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加盖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14.工作模式设置功能：可预设多种工作模式或工作场景，每种模式或场景对应一套参数设置值。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▲15.用户认证功能：只有输入正确的密码才能修改参数，非操作人员无法改变安检门参数设置</w:t>
      </w:r>
      <w:r>
        <w:rPr>
          <w:rFonts w:hint="eastAsia" w:hAnsi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（需提供身份认证相关软件著作权证书复印件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加盖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16.联网功能：能够接入网络，远程管理设备。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80" w:firstLineChars="200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▲17.后期可扩展人脸识别：结合考务编排数据，支持考生的入场人脸识别，核实考生身份，考试编排验证数据可终端直接从人脸识别身份验证系统获取，考试验证结果数据可终端直接上传到人脸识别身份验证系统。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（需提供活体人脸检测软件相关著作权证书复印件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加盖</w:t>
      </w:r>
      <w:r>
        <w:rPr>
          <w:rFonts w:hint="eastAsia" w:hAnsi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0" w:firstLineChars="0"/>
        <w:textAlignment w:val="auto"/>
        <w:outlineLvl w:val="1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四、租赁要求</w:t>
      </w:r>
      <w:r>
        <w:rPr>
          <w:rFonts w:hint="eastAsia" w:hAnsi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（服务应答内容）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 w:firstLineChars="200"/>
        <w:textAlignment w:val="auto"/>
        <w:outlineLvl w:val="1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本项目设备租赁服务报价的范围包括设备、备品备件、专用工具及设备的安装、运输、调试、税费等相关服务费用，以及设备维护、技术培训等各类技术服务费用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2.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成交供应商需派技术人员对现场工作人员进行操作培训，直到其能操作使用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80" w:firstLineChars="200"/>
        <w:jc w:val="both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3.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成交供应商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应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保证在设备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能正常使用并针对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使用过程中突发的故障维修服务妥善处置。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服务期间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根据需求指派专职技术工程师跟踪服务，技术服务电话将提供 7*24 小时故障受理，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因设备问题给采购人造成的损失，供应商需要承担相应的责任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 w:firstLineChars="200"/>
        <w:textAlignment w:val="auto"/>
        <w:outlineLvl w:val="1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成</w:t>
      </w: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交供应商备足设备正常运行的配件，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应保证</w:t>
      </w: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每个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考</w:t>
      </w: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点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位应保证备用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设备的到位时间，</w:t>
      </w: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在重大故障不能及时处理的情况下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更换备机，保证正常进行。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 w:firstLineChars="200"/>
        <w:textAlignment w:val="auto"/>
        <w:outlineLvl w:val="1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5.考点的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屏蔽器、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安检门需要供应商在现场做好售后保障服务至</w:t>
      </w:r>
      <w:r>
        <w:rPr>
          <w:rFonts w:hint="eastAsia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每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次考试结束。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outlineLvl w:val="1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bookmarkEnd w:id="5"/>
      <w:bookmarkEnd w:id="6"/>
      <w:bookmarkEnd w:id="7"/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商务要求</w:t>
      </w:r>
    </w:p>
    <w:bookmarkEnd w:id="8"/>
    <w:bookmarkEnd w:id="9"/>
    <w:bookmarkEnd w:id="10"/>
    <w:bookmarkEnd w:id="11"/>
    <w:bookmarkEnd w:id="1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outlineLvl w:val="0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租赁时间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hAnsi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服务期限、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服务地点、验收方法和验收标准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482" w:firstLineChars="200"/>
        <w:jc w:val="both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1．租赁时间：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每次考前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天供货到位并安装、调试成功至考试结束止；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/>
          <w:bCs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2. 服务期限：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自合同签订之日起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年</w:t>
      </w:r>
      <w:r>
        <w:rPr>
          <w:rFonts w:hint="eastAsia" w:hAnsi="宋体" w:cs="宋体"/>
          <w:b w:val="0"/>
          <w:bCs w:val="0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采购合同一年一签，经采购人考核合格后，续签下一年合同，</w:t>
      </w:r>
      <w:r>
        <w:rPr>
          <w:rFonts w:hint="eastAsia" w:hAnsi="宋体" w:cs="宋体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考核内容及方式由采购人和成交人双方另行约定，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考核不合格，采购人有权拒签合同；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/>
          <w:bCs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．服务地点：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采购人指定地点；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13" w:name="_Toc8120"/>
      <w:r>
        <w:rPr>
          <w:rFonts w:hint="eastAsia" w:ascii="宋体" w:hAnsi="宋体" w:eastAsia="宋体" w:cs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．验收交付标准和方法：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按照财政部发布的《关于进一步加强政府采购需求和履约验收管理的指导意见》（财库[2016]205号）的要求以及磋商文件、成交人的响应文件进行验收；符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合国家相关行业标准。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验收</w:t>
      </w:r>
      <w:r>
        <w:rPr>
          <w:rFonts w:hint="eastAsia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主体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）验收内容：按采购文件内容验收。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（二）付款方式</w:t>
      </w:r>
      <w:bookmarkEnd w:id="13"/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480" w:firstLineChars="200"/>
        <w:textAlignment w:val="auto"/>
        <w:rPr>
          <w:rFonts w:hint="eastAsia" w:ascii="Times New Roman" w:hAnsi="Times New Roman" w:eastAsia="方正小标宋简体" w:cs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每</w:t>
      </w: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次考试结束后十五个工作日内向成交人支付</w:t>
      </w:r>
      <w:r>
        <w:rPr>
          <w:rFonts w:hint="eastAsia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当次实际使用设备租赁费用</w:t>
      </w: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总金额</w:t>
      </w:r>
      <w:r>
        <w:rPr>
          <w:rFonts w:hint="eastAsia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小标宋简体" w:cs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br w:type="page"/>
      </w:r>
      <w:bookmarkStart w:id="14" w:name="_GoBack"/>
      <w:bookmarkEnd w:id="14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OWQ5ZDFmNGFkNTIxMzllNjdjMDk3YWU1NjkyM2EifQ=="/>
  </w:docVars>
  <w:rsids>
    <w:rsidRoot w:val="00000000"/>
    <w:rsid w:val="6494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alibri" w:eastAsia="宋体" w:cs="宋体"/>
      <w:kern w:val="0"/>
      <w:sz w:val="34"/>
      <w:szCs w:val="3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2024-03-29T08:02:38Z</dcterms:created>
  <dc:creator>Administrator</dc:creator>
  <cp:lastModifiedBy>andyliu</cp:lastModifiedBy>
  <dcterms:modified xsi:type="dcterms:W3CDTF">2024-03-29T08:05:56Z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AF0F61D13CDF4DBFA97A0849BD19813B_12</vt:lpwstr>
  </property>
</Properties>
</file>