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sz w:val="32"/>
          <w:szCs w:val="32"/>
        </w:rPr>
      </w:pPr>
      <w:r>
        <w:rPr>
          <w:sz w:val="32"/>
          <w:szCs w:val="32"/>
        </w:rPr>
        <w:t>采购项目技术、服务、政府采购合同内容条款及其他商务要求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eastAsia="宋体"/>
          <w:sz w:val="24"/>
          <w:szCs w:val="24"/>
          <w:lang w:val="en-US" w:eastAsia="zh-CN"/>
        </w:rPr>
      </w:pPr>
      <w:bookmarkStart w:id="0" w:name="_Toc26478"/>
      <w:bookmarkStart w:id="1" w:name="_Toc27927"/>
      <w:r>
        <w:rPr>
          <w:rFonts w:hint="eastAsia"/>
          <w:b/>
          <w:bCs/>
          <w:sz w:val="24"/>
          <w:szCs w:val="24"/>
          <w:lang w:val="zh-TW"/>
        </w:rPr>
        <w:t>一、项目</w:t>
      </w:r>
      <w:bookmarkEnd w:id="0"/>
      <w:bookmarkEnd w:id="1"/>
      <w:r>
        <w:rPr>
          <w:rFonts w:hint="eastAsia"/>
          <w:b/>
          <w:bCs/>
          <w:sz w:val="24"/>
          <w:szCs w:val="24"/>
          <w:lang w:val="en-US" w:eastAsia="zh-CN"/>
        </w:rPr>
        <w:t>技术参数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1268"/>
        <w:gridCol w:w="5072"/>
        <w:gridCol w:w="819"/>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66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b/>
                <w:bCs/>
                <w:color w:val="auto"/>
                <w:kern w:val="2"/>
                <w:sz w:val="21"/>
                <w:szCs w:val="21"/>
                <w:vertAlign w:val="baseline"/>
                <w:lang w:val="en-US" w:eastAsia="zh-CN"/>
              </w:rPr>
            </w:pPr>
            <w:bookmarkStart w:id="2" w:name="_Toc11230"/>
            <w:bookmarkStart w:id="3" w:name="_Toc12912"/>
            <w:bookmarkStart w:id="4" w:name="_Toc10025"/>
            <w:r>
              <w:rPr>
                <w:rFonts w:hint="eastAsia" w:ascii="宋体" w:hAnsi="宋体" w:eastAsia="宋体" w:cs="宋体"/>
                <w:b/>
                <w:bCs/>
                <w:i w:val="0"/>
                <w:iCs w:val="0"/>
                <w:caps w:val="0"/>
                <w:color w:val="auto"/>
                <w:spacing w:val="0"/>
                <w:kern w:val="2"/>
                <w:sz w:val="21"/>
                <w:szCs w:val="21"/>
                <w:shd w:val="clear" w:fill="FFFFFF"/>
              </w:rPr>
              <w:t>序号</w:t>
            </w:r>
          </w:p>
        </w:tc>
        <w:tc>
          <w:tcPr>
            <w:tcW w:w="126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b/>
                <w:bCs/>
                <w:color w:val="auto"/>
                <w:kern w:val="2"/>
                <w:sz w:val="21"/>
                <w:szCs w:val="21"/>
                <w:vertAlign w:val="baseline"/>
                <w:lang w:val="en-US" w:eastAsia="zh-CN"/>
              </w:rPr>
            </w:pPr>
            <w:r>
              <w:rPr>
                <w:rFonts w:hint="eastAsia" w:ascii="宋体" w:hAnsi="宋体" w:eastAsia="宋体" w:cs="宋体"/>
                <w:b/>
                <w:bCs/>
                <w:i w:val="0"/>
                <w:iCs w:val="0"/>
                <w:caps w:val="0"/>
                <w:color w:val="auto"/>
                <w:spacing w:val="0"/>
                <w:kern w:val="2"/>
                <w:sz w:val="21"/>
                <w:szCs w:val="21"/>
                <w:shd w:val="clear" w:fill="FFFFFF"/>
              </w:rPr>
              <w:t>标的名称</w:t>
            </w:r>
          </w:p>
        </w:tc>
        <w:tc>
          <w:tcPr>
            <w:tcW w:w="507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b/>
                <w:bCs/>
                <w:color w:val="auto"/>
                <w:kern w:val="2"/>
                <w:sz w:val="21"/>
                <w:szCs w:val="21"/>
                <w:vertAlign w:val="baseline"/>
                <w:lang w:val="en-US" w:eastAsia="zh-CN"/>
              </w:rPr>
            </w:pPr>
            <w:r>
              <w:rPr>
                <w:rFonts w:hint="eastAsia" w:ascii="宋体" w:hAnsi="宋体" w:eastAsia="宋体" w:cs="宋体"/>
                <w:b/>
                <w:bCs/>
                <w:i w:val="0"/>
                <w:iCs w:val="0"/>
                <w:caps w:val="0"/>
                <w:color w:val="auto"/>
                <w:spacing w:val="0"/>
                <w:kern w:val="2"/>
                <w:sz w:val="21"/>
                <w:szCs w:val="21"/>
                <w:shd w:val="clear" w:fill="FFFFFF"/>
              </w:rPr>
              <w:t>技术参数</w:t>
            </w:r>
          </w:p>
        </w:tc>
        <w:tc>
          <w:tcPr>
            <w:tcW w:w="81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b/>
                <w:bCs/>
                <w:color w:val="auto"/>
                <w:kern w:val="2"/>
                <w:sz w:val="21"/>
                <w:szCs w:val="21"/>
                <w:vertAlign w:val="baseline"/>
                <w:lang w:val="en-US" w:eastAsia="zh-CN"/>
              </w:rPr>
            </w:pPr>
            <w:r>
              <w:rPr>
                <w:rFonts w:hint="eastAsia" w:ascii="宋体" w:hAnsi="宋体" w:eastAsia="宋体" w:cs="宋体"/>
                <w:b/>
                <w:bCs/>
                <w:color w:val="auto"/>
                <w:kern w:val="2"/>
                <w:sz w:val="21"/>
                <w:szCs w:val="21"/>
                <w:vertAlign w:val="baseline"/>
                <w:lang w:val="en-US" w:eastAsia="zh-CN"/>
              </w:rPr>
              <w:t>数量</w:t>
            </w:r>
          </w:p>
        </w:tc>
        <w:tc>
          <w:tcPr>
            <w:tcW w:w="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b/>
                <w:bCs/>
                <w:color w:val="auto"/>
                <w:kern w:val="2"/>
                <w:sz w:val="21"/>
                <w:szCs w:val="21"/>
                <w:vertAlign w:val="baseline"/>
                <w:lang w:val="en-US" w:eastAsia="zh-CN"/>
              </w:rPr>
            </w:pPr>
            <w:r>
              <w:rPr>
                <w:rFonts w:hint="eastAsia" w:ascii="宋体" w:hAnsi="宋体" w:eastAsia="宋体" w:cs="宋体"/>
                <w:b/>
                <w:bCs/>
                <w:color w:val="auto"/>
                <w:kern w:val="2"/>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b w:val="0"/>
                <w:bCs w:val="0"/>
                <w:color w:val="auto"/>
                <w:kern w:val="2"/>
                <w:sz w:val="21"/>
                <w:szCs w:val="21"/>
                <w:vertAlign w:val="baseline"/>
                <w:lang w:val="en-US" w:eastAsia="zh-CN"/>
              </w:rPr>
            </w:pPr>
            <w:r>
              <w:rPr>
                <w:rFonts w:hint="eastAsia" w:cs="宋体"/>
                <w:b w:val="0"/>
                <w:bCs w:val="0"/>
                <w:color w:val="auto"/>
                <w:kern w:val="2"/>
                <w:sz w:val="21"/>
                <w:szCs w:val="21"/>
                <w:vertAlign w:val="baseline"/>
                <w:lang w:val="en-US" w:eastAsia="zh-CN"/>
              </w:rPr>
              <w:t>1</w:t>
            </w:r>
          </w:p>
        </w:tc>
        <w:tc>
          <w:tcPr>
            <w:tcW w:w="1268"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i w:val="0"/>
                <w:iCs w:val="0"/>
                <w:caps w:val="0"/>
                <w:color w:val="auto"/>
                <w:spacing w:val="0"/>
                <w:kern w:val="2"/>
                <w:sz w:val="21"/>
                <w:szCs w:val="21"/>
                <w:shd w:val="clear" w:fill="FFFFFF"/>
              </w:rPr>
              <w:t>有机肥料</w:t>
            </w:r>
          </w:p>
        </w:tc>
        <w:tc>
          <w:tcPr>
            <w:tcW w:w="5072" w:type="dxa"/>
          </w:tcPr>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1、剂型：粉状</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2、规格≤50公斤/袋</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3、技术指标：总养分（N+P₂O₅+K₂O）（以干基计）≥4%；</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4、有机质（以干基计）≥30%，</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5、游离氨基酸≥0.02%，</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6、水分≤30%，pH值5.5~8.5，</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7、种子发芽指数≥70%，</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8、机械杂质的质量分数≤0.5%，</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9、粪大肠菌群数≤100个/g，</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10、蛔虫卵死亡率≥95%，</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11、总砷（As）（以干基计）≤15mg/kg，</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12、总镉（Cd）（以干基计）≤3mg/kg，</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13、总铅（Pb）（以干基计）≤50mg/kg，</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14、总铬（Cr）（以干基计）≤150mg/kg，</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15、总汞（Hg）（以干基计）≤2mg/kg；</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16、铊（Tl）的质量分数≤2.5mg/kg；</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17、执行NY/T 525-2021、GB38400-2019标准。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18、有机质原料必须为纯植物源，不接受任何畜禽粪便，需提供相关证明材料予以佐证；游离氨基酸必须为动物源游离氨基酸，不接受植物源或化工类游离氨基酸，需提供相关证明材料予以佐证。</w:t>
            </w:r>
          </w:p>
        </w:tc>
        <w:tc>
          <w:tcPr>
            <w:tcW w:w="81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i w:val="0"/>
                <w:iCs w:val="0"/>
                <w:caps w:val="0"/>
                <w:color w:val="auto"/>
                <w:spacing w:val="0"/>
                <w:kern w:val="2"/>
                <w:sz w:val="21"/>
                <w:szCs w:val="21"/>
                <w:shd w:val="clear" w:fill="FFFFFF"/>
              </w:rPr>
              <w:t>200吨</w:t>
            </w:r>
          </w:p>
        </w:tc>
        <w:tc>
          <w:tcPr>
            <w:tcW w:w="69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val="0"/>
                <w:color w:val="auto"/>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b w:val="0"/>
                <w:bCs w:val="0"/>
                <w:color w:val="auto"/>
                <w:kern w:val="2"/>
                <w:sz w:val="21"/>
                <w:szCs w:val="21"/>
                <w:vertAlign w:val="baseline"/>
                <w:lang w:val="en-US" w:eastAsia="zh-CN"/>
              </w:rPr>
            </w:pPr>
            <w:r>
              <w:rPr>
                <w:rFonts w:hint="eastAsia" w:cs="宋体"/>
                <w:b w:val="0"/>
                <w:bCs w:val="0"/>
                <w:color w:val="auto"/>
                <w:kern w:val="2"/>
                <w:sz w:val="21"/>
                <w:szCs w:val="21"/>
                <w:vertAlign w:val="baseline"/>
                <w:lang w:val="en-US" w:eastAsia="zh-CN"/>
              </w:rPr>
              <w:t>2</w:t>
            </w:r>
          </w:p>
        </w:tc>
        <w:tc>
          <w:tcPr>
            <w:tcW w:w="1268"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i w:val="0"/>
                <w:iCs w:val="0"/>
                <w:caps w:val="0"/>
                <w:color w:val="auto"/>
                <w:spacing w:val="0"/>
                <w:kern w:val="2"/>
                <w:sz w:val="21"/>
                <w:szCs w:val="21"/>
                <w:shd w:val="clear" w:fill="FFFFFF"/>
              </w:rPr>
              <w:t>有机无机复混肥</w:t>
            </w:r>
          </w:p>
        </w:tc>
        <w:tc>
          <w:tcPr>
            <w:tcW w:w="5072" w:type="dxa"/>
          </w:tcPr>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1、外观:颗粒状</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2、规格：25kg/袋。</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cs="宋体"/>
                <w:b w:val="0"/>
                <w:bCs w:val="0"/>
                <w:color w:val="auto"/>
                <w:kern w:val="2"/>
                <w:sz w:val="21"/>
                <w:szCs w:val="21"/>
                <w:vertAlign w:val="baseline"/>
                <w:lang w:val="en-US" w:eastAsia="zh-CN"/>
              </w:rPr>
              <w:t>3</w:t>
            </w:r>
            <w:r>
              <w:rPr>
                <w:rFonts w:hint="eastAsia" w:ascii="宋体" w:hAnsi="宋体" w:eastAsia="宋体" w:cs="宋体"/>
                <w:b w:val="0"/>
                <w:bCs w:val="0"/>
                <w:color w:val="auto"/>
                <w:kern w:val="2"/>
                <w:sz w:val="21"/>
                <w:szCs w:val="21"/>
                <w:vertAlign w:val="baseline"/>
                <w:lang w:val="en-US" w:eastAsia="zh-CN"/>
              </w:rPr>
              <w:t>、N+P₂O₅+K₂O≥25%（N≥15%，</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cs="宋体"/>
                <w:b w:val="0"/>
                <w:bCs w:val="0"/>
                <w:color w:val="auto"/>
                <w:kern w:val="2"/>
                <w:sz w:val="21"/>
                <w:szCs w:val="21"/>
                <w:vertAlign w:val="baseline"/>
                <w:lang w:val="en-US" w:eastAsia="zh-CN"/>
              </w:rPr>
              <w:t>4</w:t>
            </w:r>
            <w:r>
              <w:rPr>
                <w:rFonts w:hint="eastAsia" w:ascii="宋体" w:hAnsi="宋体" w:eastAsia="宋体" w:cs="宋体"/>
                <w:b w:val="0"/>
                <w:bCs w:val="0"/>
                <w:color w:val="auto"/>
                <w:kern w:val="2"/>
                <w:sz w:val="21"/>
                <w:szCs w:val="21"/>
                <w:vertAlign w:val="baseline"/>
                <w:lang w:val="en-US" w:eastAsia="zh-CN"/>
              </w:rPr>
              <w:t>、P₂O₅≥7%，K₂O≥3%）；</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cs="宋体"/>
                <w:b w:val="0"/>
                <w:bCs w:val="0"/>
                <w:color w:val="auto"/>
                <w:kern w:val="2"/>
                <w:sz w:val="21"/>
                <w:szCs w:val="21"/>
                <w:vertAlign w:val="baseline"/>
                <w:lang w:val="en-US" w:eastAsia="zh-CN"/>
              </w:rPr>
              <w:t>5</w:t>
            </w:r>
            <w:r>
              <w:rPr>
                <w:rFonts w:hint="eastAsia" w:ascii="宋体" w:hAnsi="宋体" w:eastAsia="宋体" w:cs="宋体"/>
                <w:b w:val="0"/>
                <w:bCs w:val="0"/>
                <w:color w:val="auto"/>
                <w:kern w:val="2"/>
                <w:sz w:val="21"/>
                <w:szCs w:val="21"/>
                <w:vertAlign w:val="baseline"/>
                <w:lang w:val="en-US" w:eastAsia="zh-CN"/>
              </w:rPr>
              <w:t>、有机质≥15%；</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cs="宋体"/>
                <w:b w:val="0"/>
                <w:bCs w:val="0"/>
                <w:color w:val="auto"/>
                <w:kern w:val="2"/>
                <w:sz w:val="21"/>
                <w:szCs w:val="21"/>
                <w:vertAlign w:val="baseline"/>
                <w:lang w:val="en-US" w:eastAsia="zh-CN"/>
              </w:rPr>
              <w:t>6</w:t>
            </w:r>
            <w:r>
              <w:rPr>
                <w:rFonts w:hint="eastAsia" w:ascii="宋体" w:hAnsi="宋体" w:eastAsia="宋体" w:cs="宋体"/>
                <w:b w:val="0"/>
                <w:bCs w:val="0"/>
                <w:color w:val="auto"/>
                <w:kern w:val="2"/>
                <w:sz w:val="21"/>
                <w:szCs w:val="21"/>
                <w:vertAlign w:val="baseline"/>
                <w:lang w:val="en-US" w:eastAsia="zh-CN"/>
              </w:rPr>
              <w:t>、氯离子≤3%；</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cs="宋体"/>
                <w:b w:val="0"/>
                <w:bCs w:val="0"/>
                <w:color w:val="auto"/>
                <w:kern w:val="2"/>
                <w:sz w:val="21"/>
                <w:szCs w:val="21"/>
                <w:vertAlign w:val="baseline"/>
                <w:lang w:val="en-US" w:eastAsia="zh-CN"/>
              </w:rPr>
              <w:t>7</w:t>
            </w:r>
            <w:r>
              <w:rPr>
                <w:rFonts w:hint="eastAsia" w:ascii="宋体" w:hAnsi="宋体" w:eastAsia="宋体" w:cs="宋体"/>
                <w:b w:val="0"/>
                <w:bCs w:val="0"/>
                <w:color w:val="auto"/>
                <w:kern w:val="2"/>
                <w:sz w:val="21"/>
                <w:szCs w:val="21"/>
                <w:vertAlign w:val="baseline"/>
                <w:lang w:val="en-US" w:eastAsia="zh-CN"/>
              </w:rPr>
              <w:t>、水份≤12%；</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cs="宋体"/>
                <w:b w:val="0"/>
                <w:bCs w:val="0"/>
                <w:color w:val="auto"/>
                <w:kern w:val="2"/>
                <w:sz w:val="21"/>
                <w:szCs w:val="21"/>
                <w:vertAlign w:val="baseline"/>
                <w:lang w:val="en-US" w:eastAsia="zh-CN"/>
              </w:rPr>
              <w:t>8</w:t>
            </w:r>
            <w:r>
              <w:rPr>
                <w:rFonts w:hint="eastAsia" w:ascii="宋体" w:hAnsi="宋体" w:eastAsia="宋体" w:cs="宋体"/>
                <w:b w:val="0"/>
                <w:bCs w:val="0"/>
                <w:color w:val="auto"/>
                <w:kern w:val="2"/>
                <w:sz w:val="21"/>
                <w:szCs w:val="21"/>
                <w:vertAlign w:val="baseline"/>
                <w:lang w:val="en-US" w:eastAsia="zh-CN"/>
              </w:rPr>
              <w:t>、PH值5.5~8.5；</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cs="宋体"/>
                <w:b w:val="0"/>
                <w:bCs w:val="0"/>
                <w:color w:val="auto"/>
                <w:kern w:val="2"/>
                <w:sz w:val="21"/>
                <w:szCs w:val="21"/>
                <w:vertAlign w:val="baseline"/>
                <w:lang w:val="en-US" w:eastAsia="zh-CN"/>
              </w:rPr>
              <w:t>9</w:t>
            </w:r>
            <w:r>
              <w:rPr>
                <w:rFonts w:hint="eastAsia" w:ascii="宋体" w:hAnsi="宋体" w:eastAsia="宋体" w:cs="宋体"/>
                <w:b w:val="0"/>
                <w:bCs w:val="0"/>
                <w:color w:val="auto"/>
                <w:kern w:val="2"/>
                <w:sz w:val="21"/>
                <w:szCs w:val="21"/>
                <w:vertAlign w:val="baseline"/>
                <w:lang w:val="en-US" w:eastAsia="zh-CN"/>
              </w:rPr>
              <w:t>、钠离子含量≤3%；</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w:t>
            </w:r>
            <w:r>
              <w:rPr>
                <w:rFonts w:hint="eastAsia" w:cs="宋体"/>
                <w:b w:val="0"/>
                <w:bCs w:val="0"/>
                <w:color w:val="auto"/>
                <w:kern w:val="2"/>
                <w:sz w:val="21"/>
                <w:szCs w:val="21"/>
                <w:vertAlign w:val="baseline"/>
                <w:lang w:val="en-US" w:eastAsia="zh-CN"/>
              </w:rPr>
              <w:t>0</w:t>
            </w:r>
            <w:r>
              <w:rPr>
                <w:rFonts w:hint="eastAsia" w:ascii="宋体" w:hAnsi="宋体" w:eastAsia="宋体" w:cs="宋体"/>
                <w:b w:val="0"/>
                <w:bCs w:val="0"/>
                <w:color w:val="auto"/>
                <w:kern w:val="2"/>
                <w:sz w:val="21"/>
                <w:szCs w:val="21"/>
                <w:vertAlign w:val="baseline"/>
                <w:lang w:val="en-US" w:eastAsia="zh-CN"/>
              </w:rPr>
              <w:t>、缩二脲含量≤0.8%；</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w:t>
            </w:r>
            <w:r>
              <w:rPr>
                <w:rFonts w:hint="eastAsia" w:cs="宋体"/>
                <w:b w:val="0"/>
                <w:bCs w:val="0"/>
                <w:color w:val="auto"/>
                <w:kern w:val="2"/>
                <w:sz w:val="21"/>
                <w:szCs w:val="21"/>
                <w:vertAlign w:val="baseline"/>
                <w:lang w:val="en-US" w:eastAsia="zh-CN"/>
              </w:rPr>
              <w:t>1</w:t>
            </w:r>
            <w:r>
              <w:rPr>
                <w:rFonts w:hint="eastAsia" w:ascii="宋体" w:hAnsi="宋体" w:eastAsia="宋体" w:cs="宋体"/>
                <w:b w:val="0"/>
                <w:bCs w:val="0"/>
                <w:color w:val="auto"/>
                <w:kern w:val="2"/>
                <w:sz w:val="21"/>
                <w:szCs w:val="21"/>
                <w:vertAlign w:val="baseline"/>
                <w:lang w:val="en-US" w:eastAsia="zh-CN"/>
              </w:rPr>
              <w:t>、粒度（1.00mm-4.75mm）≥70%；</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w:t>
            </w:r>
            <w:r>
              <w:rPr>
                <w:rFonts w:hint="eastAsia" w:cs="宋体"/>
                <w:b w:val="0"/>
                <w:bCs w:val="0"/>
                <w:color w:val="auto"/>
                <w:kern w:val="2"/>
                <w:sz w:val="21"/>
                <w:szCs w:val="21"/>
                <w:vertAlign w:val="baseline"/>
                <w:lang w:val="en-US" w:eastAsia="zh-CN"/>
              </w:rPr>
              <w:t>2</w:t>
            </w:r>
            <w:r>
              <w:rPr>
                <w:rFonts w:hint="eastAsia" w:ascii="宋体" w:hAnsi="宋体" w:eastAsia="宋体" w:cs="宋体"/>
                <w:b w:val="0"/>
                <w:bCs w:val="0"/>
                <w:color w:val="auto"/>
                <w:kern w:val="2"/>
                <w:sz w:val="21"/>
                <w:szCs w:val="21"/>
                <w:vertAlign w:val="baseline"/>
                <w:lang w:val="en-US" w:eastAsia="zh-CN"/>
              </w:rPr>
              <w:t>、粪大肠菌群数≤100个/g,</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w:t>
            </w:r>
            <w:r>
              <w:rPr>
                <w:rFonts w:hint="eastAsia" w:cs="宋体"/>
                <w:b w:val="0"/>
                <w:bCs w:val="0"/>
                <w:color w:val="auto"/>
                <w:kern w:val="2"/>
                <w:sz w:val="21"/>
                <w:szCs w:val="21"/>
                <w:vertAlign w:val="baseline"/>
                <w:lang w:val="en-US" w:eastAsia="zh-CN"/>
              </w:rPr>
              <w:t>3</w:t>
            </w:r>
            <w:r>
              <w:rPr>
                <w:rFonts w:hint="eastAsia" w:ascii="宋体" w:hAnsi="宋体" w:eastAsia="宋体" w:cs="宋体"/>
                <w:b w:val="0"/>
                <w:bCs w:val="0"/>
                <w:color w:val="auto"/>
                <w:kern w:val="2"/>
                <w:sz w:val="21"/>
                <w:szCs w:val="21"/>
                <w:vertAlign w:val="baseline"/>
                <w:lang w:val="en-US" w:eastAsia="zh-CN"/>
              </w:rPr>
              <w:t>、蛔虫卵死亡率≥95%，</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w:t>
            </w:r>
            <w:r>
              <w:rPr>
                <w:rFonts w:hint="eastAsia" w:cs="宋体"/>
                <w:b w:val="0"/>
                <w:bCs w:val="0"/>
                <w:color w:val="auto"/>
                <w:kern w:val="2"/>
                <w:sz w:val="21"/>
                <w:szCs w:val="21"/>
                <w:vertAlign w:val="baseline"/>
                <w:lang w:val="en-US" w:eastAsia="zh-CN"/>
              </w:rPr>
              <w:t>4</w:t>
            </w:r>
            <w:r>
              <w:rPr>
                <w:rFonts w:hint="eastAsia" w:ascii="宋体" w:hAnsi="宋体" w:eastAsia="宋体" w:cs="宋体"/>
                <w:b w:val="0"/>
                <w:bCs w:val="0"/>
                <w:color w:val="auto"/>
                <w:kern w:val="2"/>
                <w:sz w:val="21"/>
                <w:szCs w:val="21"/>
                <w:vertAlign w:val="baseline"/>
                <w:lang w:val="en-US" w:eastAsia="zh-CN"/>
              </w:rPr>
              <w:t>、砷（AS）的质量分数≤50mg/kg，</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w:t>
            </w:r>
            <w:r>
              <w:rPr>
                <w:rFonts w:hint="eastAsia" w:cs="宋体"/>
                <w:b w:val="0"/>
                <w:bCs w:val="0"/>
                <w:color w:val="auto"/>
                <w:kern w:val="2"/>
                <w:sz w:val="21"/>
                <w:szCs w:val="21"/>
                <w:vertAlign w:val="baseline"/>
                <w:lang w:val="en-US" w:eastAsia="zh-CN"/>
              </w:rPr>
              <w:t>5</w:t>
            </w:r>
            <w:r>
              <w:rPr>
                <w:rFonts w:hint="eastAsia" w:ascii="宋体" w:hAnsi="宋体" w:eastAsia="宋体" w:cs="宋体"/>
                <w:b w:val="0"/>
                <w:bCs w:val="0"/>
                <w:color w:val="auto"/>
                <w:kern w:val="2"/>
                <w:sz w:val="21"/>
                <w:szCs w:val="21"/>
                <w:vertAlign w:val="baseline"/>
                <w:lang w:val="en-US" w:eastAsia="zh-CN"/>
              </w:rPr>
              <w:t>、铅（Pb）的质量分数≤150mg/kg，</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w:t>
            </w:r>
            <w:r>
              <w:rPr>
                <w:rFonts w:hint="eastAsia" w:cs="宋体"/>
                <w:b w:val="0"/>
                <w:bCs w:val="0"/>
                <w:color w:val="auto"/>
                <w:kern w:val="2"/>
                <w:sz w:val="21"/>
                <w:szCs w:val="21"/>
                <w:vertAlign w:val="baseline"/>
                <w:lang w:val="en-US" w:eastAsia="zh-CN"/>
              </w:rPr>
              <w:t>6</w:t>
            </w:r>
            <w:r>
              <w:rPr>
                <w:rFonts w:hint="eastAsia" w:ascii="宋体" w:hAnsi="宋体" w:eastAsia="宋体" w:cs="宋体"/>
                <w:b w:val="0"/>
                <w:bCs w:val="0"/>
                <w:color w:val="auto"/>
                <w:kern w:val="2"/>
                <w:sz w:val="21"/>
                <w:szCs w:val="21"/>
                <w:vertAlign w:val="baseline"/>
                <w:lang w:val="en-US" w:eastAsia="zh-CN"/>
              </w:rPr>
              <w:t>、镉（Cd）的质量分数≤10mg/kg，</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w:t>
            </w:r>
            <w:r>
              <w:rPr>
                <w:rFonts w:hint="eastAsia" w:cs="宋体"/>
                <w:b w:val="0"/>
                <w:bCs w:val="0"/>
                <w:color w:val="auto"/>
                <w:kern w:val="2"/>
                <w:sz w:val="21"/>
                <w:szCs w:val="21"/>
                <w:vertAlign w:val="baseline"/>
                <w:lang w:val="en-US" w:eastAsia="zh-CN"/>
              </w:rPr>
              <w:t>7</w:t>
            </w:r>
            <w:r>
              <w:rPr>
                <w:rFonts w:hint="eastAsia" w:ascii="宋体" w:hAnsi="宋体" w:eastAsia="宋体" w:cs="宋体"/>
                <w:b w:val="0"/>
                <w:bCs w:val="0"/>
                <w:color w:val="auto"/>
                <w:kern w:val="2"/>
                <w:sz w:val="21"/>
                <w:szCs w:val="21"/>
                <w:vertAlign w:val="baseline"/>
                <w:lang w:val="en-US" w:eastAsia="zh-CN"/>
              </w:rPr>
              <w:t>、铬（Cr）的质量分数≤500mg/kg，</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1</w:t>
            </w:r>
            <w:r>
              <w:rPr>
                <w:rFonts w:hint="eastAsia" w:cs="宋体"/>
                <w:b w:val="0"/>
                <w:bCs w:val="0"/>
                <w:color w:val="auto"/>
                <w:kern w:val="2"/>
                <w:sz w:val="21"/>
                <w:szCs w:val="21"/>
                <w:vertAlign w:val="baseline"/>
                <w:lang w:val="en-US" w:eastAsia="zh-CN"/>
              </w:rPr>
              <w:t>8</w:t>
            </w:r>
            <w:r>
              <w:rPr>
                <w:rFonts w:hint="eastAsia" w:ascii="宋体" w:hAnsi="宋体" w:eastAsia="宋体" w:cs="宋体"/>
                <w:b w:val="0"/>
                <w:bCs w:val="0"/>
                <w:color w:val="auto"/>
                <w:kern w:val="2"/>
                <w:sz w:val="21"/>
                <w:szCs w:val="21"/>
                <w:vertAlign w:val="baseline"/>
                <w:lang w:val="en-US" w:eastAsia="zh-CN"/>
              </w:rPr>
              <w:t>、汞（Hg）的质量分数≤5mg/kg；</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cs="宋体"/>
                <w:b w:val="0"/>
                <w:bCs w:val="0"/>
                <w:color w:val="auto"/>
                <w:kern w:val="2"/>
                <w:sz w:val="21"/>
                <w:szCs w:val="21"/>
                <w:vertAlign w:val="baseline"/>
                <w:lang w:val="en-US" w:eastAsia="zh-CN"/>
              </w:rPr>
              <w:t>19</w:t>
            </w:r>
            <w:r>
              <w:rPr>
                <w:rFonts w:hint="eastAsia" w:ascii="宋体" w:hAnsi="宋体" w:eastAsia="宋体" w:cs="宋体"/>
                <w:b w:val="0"/>
                <w:bCs w:val="0"/>
                <w:color w:val="auto"/>
                <w:kern w:val="2"/>
                <w:sz w:val="21"/>
                <w:szCs w:val="21"/>
                <w:vertAlign w:val="baseline"/>
                <w:lang w:val="en-US" w:eastAsia="zh-CN"/>
              </w:rPr>
              <w:t>、腐植酸≥2%</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2</w:t>
            </w:r>
            <w:r>
              <w:rPr>
                <w:rFonts w:hint="eastAsia" w:cs="宋体"/>
                <w:b w:val="0"/>
                <w:bCs w:val="0"/>
                <w:color w:val="auto"/>
                <w:kern w:val="2"/>
                <w:sz w:val="21"/>
                <w:szCs w:val="21"/>
                <w:vertAlign w:val="baseline"/>
                <w:lang w:val="en-US" w:eastAsia="zh-CN"/>
              </w:rPr>
              <w:t>0</w:t>
            </w:r>
            <w:r>
              <w:rPr>
                <w:rFonts w:hint="eastAsia" w:ascii="宋体" w:hAnsi="宋体" w:eastAsia="宋体" w:cs="宋体"/>
                <w:b w:val="0"/>
                <w:bCs w:val="0"/>
                <w:color w:val="auto"/>
                <w:kern w:val="2"/>
                <w:sz w:val="21"/>
                <w:szCs w:val="21"/>
                <w:vertAlign w:val="baseline"/>
                <w:lang w:val="en-US" w:eastAsia="zh-CN"/>
              </w:rPr>
              <w:t>、游离氨基酸≥0.02%</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2</w:t>
            </w:r>
            <w:r>
              <w:rPr>
                <w:rFonts w:hint="eastAsia" w:cs="宋体"/>
                <w:b w:val="0"/>
                <w:bCs w:val="0"/>
                <w:color w:val="auto"/>
                <w:kern w:val="2"/>
                <w:sz w:val="21"/>
                <w:szCs w:val="21"/>
                <w:vertAlign w:val="baseline"/>
                <w:lang w:val="en-US" w:eastAsia="zh-CN"/>
              </w:rPr>
              <w:t>1</w:t>
            </w:r>
            <w:r>
              <w:rPr>
                <w:rFonts w:hint="eastAsia" w:ascii="宋体" w:hAnsi="宋体" w:eastAsia="宋体" w:cs="宋体"/>
                <w:b w:val="0"/>
                <w:bCs w:val="0"/>
                <w:color w:val="auto"/>
                <w:kern w:val="2"/>
                <w:sz w:val="21"/>
                <w:szCs w:val="21"/>
                <w:vertAlign w:val="baseline"/>
                <w:lang w:val="en-US" w:eastAsia="zh-CN"/>
              </w:rPr>
              <w:t>、投标产品执行GB/T</w:t>
            </w:r>
            <w:r>
              <w:rPr>
                <w:rFonts w:hint="eastAsia" w:cs="宋体"/>
                <w:b w:val="0"/>
                <w:bCs w:val="0"/>
                <w:color w:val="auto"/>
                <w:kern w:val="2"/>
                <w:sz w:val="21"/>
                <w:szCs w:val="21"/>
                <w:vertAlign w:val="baseline"/>
                <w:lang w:val="en-US" w:eastAsia="zh-CN"/>
              </w:rPr>
              <w:t xml:space="preserve"> </w:t>
            </w:r>
            <w:r>
              <w:rPr>
                <w:rFonts w:hint="eastAsia" w:ascii="宋体" w:hAnsi="宋体" w:eastAsia="宋体" w:cs="宋体"/>
                <w:b w:val="0"/>
                <w:bCs w:val="0"/>
                <w:color w:val="auto"/>
                <w:kern w:val="2"/>
                <w:sz w:val="21"/>
                <w:szCs w:val="21"/>
                <w:vertAlign w:val="baseline"/>
                <w:lang w:val="en-US" w:eastAsia="zh-CN"/>
              </w:rPr>
              <w:t>18877-2020（有机无机复混肥料）标准。</w:t>
            </w:r>
          </w:p>
        </w:tc>
        <w:tc>
          <w:tcPr>
            <w:tcW w:w="81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val="0"/>
                <w:color w:val="auto"/>
                <w:kern w:val="2"/>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rPr>
              <w:t>50吨</w:t>
            </w:r>
          </w:p>
        </w:tc>
        <w:tc>
          <w:tcPr>
            <w:tcW w:w="69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val="0"/>
                <w:color w:val="auto"/>
                <w:kern w:val="2"/>
                <w:sz w:val="21"/>
                <w:szCs w:val="21"/>
                <w:vertAlign w:val="baseline"/>
                <w:lang w:val="en-US" w:eastAsia="zh-CN"/>
              </w:rPr>
            </w:pP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b/>
          <w:bCs/>
          <w:color w:val="auto"/>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color w:val="auto"/>
          <w:sz w:val="24"/>
          <w:szCs w:val="24"/>
        </w:rPr>
      </w:pPr>
      <w:r>
        <w:rPr>
          <w:rFonts w:hint="eastAsia"/>
          <w:b/>
          <w:bCs/>
          <w:color w:val="auto"/>
          <w:sz w:val="24"/>
          <w:szCs w:val="24"/>
          <w:lang w:val="en-US" w:eastAsia="zh-CN"/>
        </w:rPr>
        <w:t>二</w:t>
      </w:r>
      <w:r>
        <w:rPr>
          <w:rFonts w:hint="eastAsia"/>
          <w:b/>
          <w:bCs/>
          <w:color w:val="auto"/>
          <w:sz w:val="24"/>
          <w:szCs w:val="24"/>
        </w:rPr>
        <w:t>、商务要求</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textAlignment w:val="auto"/>
        <w:rPr>
          <w:rFonts w:hint="eastAsia" w:ascii="宋体" w:hAnsi="宋体" w:eastAsia="宋体" w:cs="宋体"/>
          <w:b w:val="0"/>
          <w:bCs w:val="0"/>
          <w:color w:val="auto"/>
          <w:spacing w:val="1"/>
          <w:sz w:val="24"/>
          <w:szCs w:val="24"/>
        </w:rPr>
      </w:pPr>
      <w:r>
        <w:rPr>
          <w:rFonts w:hint="eastAsia" w:ascii="宋体" w:hAnsi="宋体" w:eastAsia="宋体" w:cs="宋体"/>
          <w:b w:val="0"/>
          <w:bCs w:val="0"/>
          <w:color w:val="auto"/>
          <w:spacing w:val="1"/>
          <w:sz w:val="24"/>
          <w:szCs w:val="24"/>
        </w:rPr>
        <w:t>1、交货期及地点</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textAlignment w:val="auto"/>
        <w:rPr>
          <w:rFonts w:hint="eastAsia" w:ascii="宋体" w:hAnsi="宋体" w:eastAsia="宋体" w:cs="宋体"/>
          <w:b w:val="0"/>
          <w:bCs w:val="0"/>
          <w:color w:val="auto"/>
          <w:spacing w:val="1"/>
          <w:sz w:val="24"/>
          <w:szCs w:val="24"/>
        </w:rPr>
      </w:pPr>
      <w:r>
        <w:rPr>
          <w:rFonts w:hint="eastAsia" w:ascii="宋体" w:hAnsi="宋体" w:eastAsia="宋体" w:cs="宋体"/>
          <w:b w:val="0"/>
          <w:bCs w:val="0"/>
          <w:color w:val="auto"/>
          <w:spacing w:val="1"/>
          <w:sz w:val="24"/>
          <w:szCs w:val="24"/>
        </w:rPr>
        <w:t>1.1交货日期：签订合同后</w:t>
      </w:r>
      <w:r>
        <w:rPr>
          <w:rFonts w:hint="eastAsia" w:cs="宋体"/>
          <w:b w:val="0"/>
          <w:bCs w:val="0"/>
          <w:color w:val="auto"/>
          <w:spacing w:val="1"/>
          <w:sz w:val="24"/>
          <w:szCs w:val="24"/>
          <w:lang w:val="en-US" w:eastAsia="zh-CN"/>
        </w:rPr>
        <w:t>3</w:t>
      </w:r>
      <w:r>
        <w:rPr>
          <w:rFonts w:hint="eastAsia" w:ascii="宋体" w:hAnsi="宋体" w:eastAsia="宋体" w:cs="宋体"/>
          <w:b w:val="0"/>
          <w:bCs w:val="0"/>
          <w:color w:val="auto"/>
          <w:spacing w:val="1"/>
          <w:sz w:val="24"/>
          <w:szCs w:val="24"/>
          <w:lang w:val="en-US" w:eastAsia="zh-CN"/>
        </w:rPr>
        <w:t>0</w:t>
      </w:r>
      <w:r>
        <w:rPr>
          <w:rFonts w:hint="eastAsia" w:cs="宋体"/>
          <w:b w:val="0"/>
          <w:bCs w:val="0"/>
          <w:color w:val="auto"/>
          <w:spacing w:val="1"/>
          <w:sz w:val="24"/>
          <w:szCs w:val="24"/>
          <w:lang w:val="en-US" w:eastAsia="zh-CN"/>
        </w:rPr>
        <w:t>日</w:t>
      </w:r>
      <w:r>
        <w:rPr>
          <w:rFonts w:hint="eastAsia" w:ascii="宋体" w:hAnsi="宋体" w:eastAsia="宋体" w:cs="宋体"/>
          <w:b w:val="0"/>
          <w:bCs w:val="0"/>
          <w:color w:val="auto"/>
          <w:spacing w:val="1"/>
          <w:sz w:val="24"/>
          <w:szCs w:val="24"/>
        </w:rPr>
        <w:t>内完成交货。</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textAlignment w:val="auto"/>
        <w:rPr>
          <w:rFonts w:hint="eastAsia" w:cs="宋体"/>
          <w:b w:val="0"/>
          <w:bCs w:val="0"/>
          <w:color w:val="auto"/>
          <w:spacing w:val="1"/>
          <w:sz w:val="24"/>
          <w:szCs w:val="24"/>
          <w:lang w:val="en-US" w:eastAsia="zh-CN"/>
        </w:rPr>
      </w:pPr>
      <w:r>
        <w:rPr>
          <w:rFonts w:hint="eastAsia" w:cs="宋体"/>
          <w:b w:val="0"/>
          <w:bCs w:val="0"/>
          <w:color w:val="auto"/>
          <w:spacing w:val="1"/>
          <w:sz w:val="24"/>
          <w:szCs w:val="24"/>
          <w:lang w:val="en-US" w:eastAsia="zh-CN"/>
        </w:rPr>
        <w:t>1.2交货地点：采购人指定地点。</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textAlignment w:val="auto"/>
        <w:rPr>
          <w:rFonts w:hint="eastAsia" w:cs="宋体"/>
          <w:b w:val="0"/>
          <w:bCs w:val="0"/>
          <w:color w:val="auto"/>
          <w:spacing w:val="1"/>
          <w:sz w:val="24"/>
          <w:szCs w:val="24"/>
          <w:lang w:val="en-US" w:eastAsia="zh-CN"/>
        </w:rPr>
      </w:pPr>
      <w:r>
        <w:rPr>
          <w:rFonts w:hint="eastAsia" w:cs="宋体"/>
          <w:b w:val="0"/>
          <w:bCs w:val="0"/>
          <w:color w:val="auto"/>
          <w:spacing w:val="1"/>
          <w:sz w:val="24"/>
          <w:szCs w:val="24"/>
          <w:lang w:val="en-US" w:eastAsia="zh-CN"/>
        </w:rPr>
        <w:t>2、付款方式：货物验收合格后30日内，支付全部合同价款的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4" w:firstLineChars="200"/>
        <w:jc w:val="left"/>
        <w:textAlignment w:val="auto"/>
        <w:outlineLvl w:val="9"/>
        <w:rPr>
          <w:rFonts w:hint="eastAsia" w:ascii="宋体" w:hAnsi="宋体" w:eastAsia="宋体" w:cs="宋体"/>
          <w:b w:val="0"/>
          <w:bCs w:val="0"/>
          <w:color w:val="auto"/>
          <w:spacing w:val="1"/>
          <w:sz w:val="24"/>
          <w:szCs w:val="24"/>
          <w:lang w:val="en-US" w:eastAsia="zh-CN"/>
        </w:rPr>
      </w:pPr>
      <w:r>
        <w:rPr>
          <w:rFonts w:hint="eastAsia" w:cs="宋体"/>
          <w:b w:val="0"/>
          <w:bCs w:val="0"/>
          <w:color w:val="auto"/>
          <w:spacing w:val="1"/>
          <w:sz w:val="24"/>
          <w:szCs w:val="24"/>
          <w:lang w:val="en-US" w:eastAsia="zh-CN"/>
        </w:rPr>
        <w:t>3、</w:t>
      </w:r>
      <w:r>
        <w:rPr>
          <w:rFonts w:hint="eastAsia" w:ascii="宋体" w:hAnsi="宋体" w:eastAsia="宋体" w:cs="宋体"/>
          <w:b w:val="0"/>
          <w:bCs w:val="0"/>
          <w:color w:val="auto"/>
          <w:spacing w:val="1"/>
          <w:sz w:val="24"/>
          <w:szCs w:val="24"/>
          <w:lang w:val="en-US" w:eastAsia="zh-CN"/>
        </w:rPr>
        <w:t>履约验收内容：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4" w:firstLineChars="200"/>
        <w:jc w:val="left"/>
        <w:textAlignment w:val="auto"/>
        <w:outlineLvl w:val="9"/>
        <w:rPr>
          <w:rFonts w:hint="eastAsia" w:ascii="宋体" w:hAnsi="宋体" w:eastAsia="宋体" w:cs="宋体"/>
          <w:b w:val="0"/>
          <w:bCs w:val="0"/>
          <w:color w:val="auto"/>
          <w:spacing w:val="1"/>
          <w:sz w:val="24"/>
          <w:szCs w:val="24"/>
          <w:lang w:val="en-US" w:eastAsia="zh-CN"/>
        </w:rPr>
      </w:pPr>
      <w:r>
        <w:rPr>
          <w:rFonts w:hint="eastAsia" w:cs="宋体"/>
          <w:b w:val="0"/>
          <w:bCs w:val="0"/>
          <w:color w:val="auto"/>
          <w:spacing w:val="1"/>
          <w:sz w:val="24"/>
          <w:szCs w:val="24"/>
          <w:lang w:val="en-US" w:eastAsia="zh-CN"/>
        </w:rPr>
        <w:t>3.1</w:t>
      </w:r>
      <w:r>
        <w:rPr>
          <w:rFonts w:hint="eastAsia" w:ascii="宋体" w:hAnsi="宋体" w:eastAsia="宋体" w:cs="宋体"/>
          <w:b w:val="0"/>
          <w:bCs w:val="0"/>
          <w:color w:val="auto"/>
          <w:spacing w:val="1"/>
          <w:sz w:val="24"/>
          <w:szCs w:val="24"/>
          <w:lang w:val="en-US" w:eastAsia="zh-CN"/>
        </w:rPr>
        <w:t>、成交人自行办理在货物交付前产品的所有费用均由成交人负责，与采购人和采购代理机构无关，供应商不得以任何理由要求采购人或代理机构承担相关责任或赔偿。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4" w:firstLineChars="200"/>
        <w:jc w:val="left"/>
        <w:textAlignment w:val="auto"/>
        <w:outlineLvl w:val="9"/>
        <w:rPr>
          <w:rFonts w:hint="eastAsia" w:ascii="宋体" w:hAnsi="宋体" w:eastAsia="宋体" w:cs="宋体"/>
          <w:b w:val="0"/>
          <w:bCs w:val="0"/>
          <w:color w:val="auto"/>
          <w:spacing w:val="1"/>
          <w:sz w:val="24"/>
          <w:szCs w:val="24"/>
          <w:lang w:val="en-US" w:eastAsia="zh-CN"/>
        </w:rPr>
      </w:pPr>
      <w:r>
        <w:rPr>
          <w:rFonts w:hint="eastAsia" w:cs="宋体"/>
          <w:b w:val="0"/>
          <w:bCs w:val="0"/>
          <w:color w:val="auto"/>
          <w:spacing w:val="1"/>
          <w:sz w:val="24"/>
          <w:szCs w:val="24"/>
          <w:lang w:val="en-US" w:eastAsia="zh-CN"/>
        </w:rPr>
        <w:t>3.2</w:t>
      </w:r>
      <w:r>
        <w:rPr>
          <w:rFonts w:hint="eastAsia" w:ascii="宋体" w:hAnsi="宋体" w:eastAsia="宋体" w:cs="宋体"/>
          <w:b w:val="0"/>
          <w:bCs w:val="0"/>
          <w:color w:val="auto"/>
          <w:spacing w:val="1"/>
          <w:sz w:val="24"/>
          <w:szCs w:val="24"/>
          <w:lang w:val="en-US" w:eastAsia="zh-CN"/>
        </w:rPr>
        <w:t>、供应商自行负责货物运输，在采购人清点验收前的保存、管理由供应商自行负责，供应商应在送货之前与采购人的收货人联系，确认到货时间、验货具体地点等相关事宜。如出现未和采购人的收货人确认到货时间、验货具体地点等相关事宜的情况，将自行承担可能出现无人收货及验收的情况，如造成损失由供应商自行承担。</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textAlignment w:val="auto"/>
        <w:rPr>
          <w:rFonts w:hint="eastAsia" w:ascii="宋体" w:hAnsi="宋体" w:eastAsia="宋体" w:cs="宋体"/>
          <w:b w:val="0"/>
          <w:bCs w:val="0"/>
          <w:color w:val="auto"/>
          <w:spacing w:val="1"/>
          <w:sz w:val="24"/>
          <w:szCs w:val="24"/>
          <w:lang w:val="en-US" w:eastAsia="zh-CN"/>
        </w:rPr>
      </w:pPr>
      <w:r>
        <w:rPr>
          <w:rFonts w:hint="eastAsia" w:cs="宋体"/>
          <w:b w:val="0"/>
          <w:bCs w:val="0"/>
          <w:color w:val="auto"/>
          <w:spacing w:val="1"/>
          <w:sz w:val="24"/>
          <w:szCs w:val="24"/>
          <w:lang w:val="en-US" w:eastAsia="zh-CN"/>
        </w:rPr>
        <w:t>3.3</w:t>
      </w:r>
      <w:r>
        <w:rPr>
          <w:rFonts w:hint="eastAsia" w:ascii="宋体" w:hAnsi="宋体" w:eastAsia="宋体" w:cs="宋体"/>
          <w:b w:val="0"/>
          <w:bCs w:val="0"/>
          <w:color w:val="auto"/>
          <w:spacing w:val="1"/>
          <w:sz w:val="24"/>
          <w:szCs w:val="24"/>
          <w:lang w:val="en-US" w:eastAsia="zh-CN"/>
        </w:rPr>
        <w:t>、在履约过程中，成交人未按谈判文件要求及响应文件应答进行提供规定时间内提供货物的，累计出现两次的，将视供应商违约，采购人有权终止合同并追究供应商的相关责任。</w:t>
      </w:r>
    </w:p>
    <w:p>
      <w:r>
        <w:rPr>
          <w:rFonts w:hint="eastAsia" w:cs="宋体"/>
          <w:b w:val="0"/>
          <w:bCs w:val="0"/>
          <w:color w:val="auto"/>
          <w:spacing w:val="1"/>
          <w:sz w:val="24"/>
          <w:szCs w:val="24"/>
          <w:lang w:val="en-US" w:eastAsia="zh-CN"/>
        </w:rPr>
        <w:t>3.4</w:t>
      </w:r>
      <w:r>
        <w:rPr>
          <w:rFonts w:hint="eastAsia" w:cs="宋体"/>
          <w:b w:val="0"/>
          <w:bCs w:val="0"/>
          <w:color w:val="auto"/>
          <w:sz w:val="24"/>
          <w:szCs w:val="24"/>
          <w:lang w:eastAsia="zh-CN"/>
        </w:rPr>
        <w:t>、</w:t>
      </w:r>
      <w:r>
        <w:rPr>
          <w:rFonts w:hint="eastAsia" w:ascii="宋体" w:hAnsi="宋体" w:eastAsia="宋体" w:cs="宋体"/>
          <w:b w:val="0"/>
          <w:bCs w:val="0"/>
          <w:color w:val="auto"/>
          <w:sz w:val="24"/>
          <w:szCs w:val="24"/>
        </w:rPr>
        <w:t>验收：</w:t>
      </w:r>
      <w:r>
        <w:rPr>
          <w:rFonts w:hint="eastAsia" w:ascii="宋体" w:hAnsi="宋体" w:eastAsia="宋体" w:cs="宋体"/>
          <w:b w:val="0"/>
          <w:bCs w:val="0"/>
          <w:color w:val="auto"/>
          <w:sz w:val="24"/>
          <w:szCs w:val="24"/>
          <w:lang w:val="en-US"/>
        </w:rPr>
        <w:t>按照《财政部关于进一步加强政府采购需求和履约验收管理的指导意见》（财库〔2016〕205号）</w:t>
      </w:r>
      <w:r>
        <w:rPr>
          <w:rFonts w:hint="eastAsia" w:ascii="宋体" w:hAnsi="宋体" w:eastAsia="宋体" w:cs="宋体"/>
          <w:b w:val="0"/>
          <w:bCs w:val="0"/>
          <w:color w:val="auto"/>
          <w:sz w:val="24"/>
          <w:szCs w:val="24"/>
        </w:rPr>
        <w:t>及招标文件技术要求、投标文件响应情况和国家、行业标准进行验收，或以合同另行约定为准</w:t>
      </w:r>
      <w:r>
        <w:rPr>
          <w:rFonts w:hint="eastAsia"/>
          <w:color w:val="auto"/>
          <w:sz w:val="24"/>
          <w:szCs w:val="24"/>
        </w:rPr>
        <w:t>。</w:t>
      </w:r>
      <w:bookmarkEnd w:id="2"/>
      <w:bookmarkEnd w:id="3"/>
      <w:bookmarkEnd w:id="4"/>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mZjk3ZjkwZDMwZGRjMGE4YmYxMzFjYjE1ZGYzZDUifQ=="/>
  </w:docVars>
  <w:rsids>
    <w:rsidRoot w:val="046A03EE"/>
    <w:rsid w:val="046A03EE"/>
    <w:rsid w:val="54D65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line="480" w:lineRule="auto"/>
      <w:ind w:right="0"/>
      <w:jc w:val="center"/>
      <w:outlineLvl w:val="0"/>
    </w:pPr>
    <w:rPr>
      <w:rFonts w:ascii="宋体" w:hAnsi="宋体" w:eastAsia="宋体"/>
      <w:b/>
      <w:bCs/>
      <w:sz w:val="28"/>
      <w:szCs w:val="36"/>
    </w:rPr>
  </w:style>
  <w:style w:type="paragraph" w:styleId="4">
    <w:name w:val="heading 4"/>
    <w:basedOn w:val="1"/>
    <w:next w:val="1"/>
    <w:autoRedefine/>
    <w:semiHidden/>
    <w:unhideWhenUsed/>
    <w:qFormat/>
    <w:uiPriority w:val="0"/>
    <w:pPr>
      <w:keepNext/>
      <w:keepLines/>
      <w:spacing w:line="360" w:lineRule="auto"/>
      <w:ind w:firstLine="402" w:firstLineChars="0"/>
      <w:jc w:val="left"/>
      <w:outlineLvl w:val="3"/>
    </w:pPr>
    <w:rPr>
      <w:rFonts w:ascii="等线 Light" w:hAnsi="等线 Light" w:eastAsia="宋体" w:cs="Times New Roman"/>
      <w:b/>
      <w:bCs/>
      <w:sz w:val="28"/>
      <w:szCs w:val="28"/>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table" w:styleId="6">
    <w:name w:val="Table Grid"/>
    <w:basedOn w:val="5"/>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2024-03-29T03:23:00Z</dcterms:created>
  <dc:creator>所谓无所谓</dc:creator>
  <cp:lastModifiedBy>所谓无所谓</cp:lastModifiedBy>
  <dcterms:modified xsi:type="dcterms:W3CDTF">2024-03-29T03:23:26Z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BBC87CDE453A4EB49D95E0799AF339D4_11</vt:lpwstr>
  </property>
</Properties>
</file>