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为有效地改善土壤理化状况和生物特性，熟化土壤，增强土壤的保肥供肥能力和缓冲能力，为作物的生长创造良好的土壤条件,为农作物提供营养，本次拟购买有机肥料一批，包括产品的配送、发放及售后等。</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786,800.00</w:t>
      </w:r>
    </w:p>
    <w:p>
      <w:pPr>
        <w:pStyle w:val="4"/>
      </w:pPr>
      <w:r>
        <w:t>采购包最高限价（元）: 786,800.00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2022年高标准农田建设项目有机肥</w:t>
            </w:r>
          </w:p>
        </w:tc>
        <w:tc>
          <w:tcPr>
            <w:tcW w:w="848" w:type="dxa"/>
          </w:tcPr>
          <w:p>
            <w:pPr>
              <w:pStyle w:val="4"/>
              <w:jc w:val="right"/>
            </w:pPr>
            <w:r>
              <w:t>562.00</w:t>
            </w:r>
          </w:p>
        </w:tc>
        <w:tc>
          <w:tcPr>
            <w:tcW w:w="1356" w:type="dxa"/>
          </w:tcPr>
          <w:p>
            <w:pPr>
              <w:pStyle w:val="4"/>
              <w:jc w:val="right"/>
            </w:pPr>
            <w:r>
              <w:t>786,800.00</w:t>
            </w:r>
          </w:p>
        </w:tc>
        <w:tc>
          <w:tcPr>
            <w:tcW w:w="678" w:type="dxa"/>
          </w:tcPr>
          <w:p>
            <w:pPr>
              <w:pStyle w:val="4"/>
            </w:pPr>
            <w:r>
              <w:t>吨</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3.3、技术参数及要求</w:t>
      </w:r>
    </w:p>
    <w:p>
      <w:pPr>
        <w:pStyle w:val="4"/>
      </w:pPr>
    </w:p>
    <w:p>
      <w:pPr>
        <w:pStyle w:val="4"/>
      </w:pPr>
      <w:r>
        <w:t>采购包1：</w:t>
      </w:r>
    </w:p>
    <w:p>
      <w:pPr>
        <w:pStyle w:val="4"/>
      </w:pPr>
    </w:p>
    <w:p>
      <w:pPr>
        <w:pStyle w:val="4"/>
      </w:pPr>
      <w:r>
        <w:t>标的名称：2022年高标准农田建设项目有机肥</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77"/>
        <w:gridCol w:w="860"/>
        <w:gridCol w:w="60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77" w:type="dxa"/>
          </w:tcPr>
          <w:p>
            <w:pPr>
              <w:pStyle w:val="4"/>
            </w:pPr>
            <w:r>
              <w:t xml:space="preserve"> 参数性质</w:t>
            </w:r>
          </w:p>
        </w:tc>
        <w:tc>
          <w:tcPr>
            <w:tcW w:w="860" w:type="dxa"/>
          </w:tcPr>
          <w:p>
            <w:pPr>
              <w:pStyle w:val="4"/>
            </w:pPr>
            <w:r>
              <w:t xml:space="preserve"> 序号</w:t>
            </w:r>
          </w:p>
        </w:tc>
        <w:tc>
          <w:tcPr>
            <w:tcW w:w="6070"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77" w:type="dxa"/>
          </w:tcPr>
          <w:p/>
        </w:tc>
        <w:tc>
          <w:tcPr>
            <w:tcW w:w="860" w:type="dxa"/>
          </w:tcPr>
          <w:p>
            <w:pPr>
              <w:pStyle w:val="4"/>
            </w:pPr>
            <w:r>
              <w:t>1</w:t>
            </w:r>
          </w:p>
        </w:tc>
        <w:tc>
          <w:tcPr>
            <w:tcW w:w="6070" w:type="dxa"/>
          </w:tcPr>
          <w:p>
            <w:pPr>
              <w:pStyle w:val="4"/>
              <w:spacing w:before="15"/>
              <w:ind w:firstLine="420"/>
              <w:jc w:val="left"/>
            </w:pPr>
          </w:p>
          <w:p>
            <w:pPr>
              <w:pStyle w:val="4"/>
              <w:spacing w:before="15"/>
              <w:ind w:firstLine="560"/>
              <w:jc w:val="left"/>
            </w:pPr>
            <w:r>
              <w:rPr>
                <w:rFonts w:ascii="宋体" w:hAnsi="宋体" w:eastAsia="宋体" w:cs="宋体"/>
                <w:sz w:val="28"/>
              </w:rPr>
              <w:t>一、项目基本情况</w:t>
            </w:r>
          </w:p>
          <w:p>
            <w:pPr>
              <w:pStyle w:val="4"/>
              <w:jc w:val="both"/>
            </w:pPr>
            <w:r>
              <w:rPr>
                <w:rFonts w:ascii="宋体" w:hAnsi="宋体" w:eastAsia="宋体" w:cs="宋体"/>
                <w:sz w:val="28"/>
              </w:rPr>
              <w:t xml:space="preserve">  2022年高标准农田建设项目地力培肥配送范围涉及胡家镇洪家村、双龙村、同心村、解放村；响石镇青龙村、桃园村；云顶镇方田村，黄家镇长螺村、新凤村；双凤镇通盛村、芭蕉村；金鹅街道光辉村。供应商须将肥料配送至以上范围，并发放到农户，登记造册。</w:t>
            </w:r>
          </w:p>
          <w:p>
            <w:pPr>
              <w:pStyle w:val="4"/>
              <w:spacing w:before="15"/>
              <w:ind w:firstLine="560"/>
              <w:jc w:val="left"/>
            </w:pPr>
            <w:r>
              <w:rPr>
                <w:rFonts w:ascii="宋体" w:hAnsi="宋体" w:eastAsia="宋体" w:cs="宋体"/>
                <w:sz w:val="28"/>
              </w:rPr>
              <w:t>★二、技术参数要求</w:t>
            </w:r>
          </w:p>
          <w:p>
            <w:pPr>
              <w:pStyle w:val="4"/>
              <w:spacing w:before="15"/>
              <w:ind w:firstLine="560"/>
              <w:jc w:val="left"/>
            </w:pPr>
            <w:r>
              <w:rPr>
                <w:rFonts w:ascii="宋体" w:hAnsi="宋体" w:eastAsia="宋体" w:cs="宋体"/>
                <w:sz w:val="28"/>
              </w:rPr>
              <w:t>符合行业标准NY/T525-2021：</w:t>
            </w:r>
          </w:p>
          <w:p>
            <w:pPr>
              <w:pStyle w:val="4"/>
              <w:spacing w:before="15"/>
              <w:ind w:firstLine="560"/>
              <w:jc w:val="left"/>
            </w:pPr>
            <w:r>
              <w:rPr>
                <w:rFonts w:ascii="宋体" w:hAnsi="宋体" w:eastAsia="宋体" w:cs="宋体"/>
                <w:sz w:val="28"/>
              </w:rPr>
              <w:t>1.有机质的质量分数（以烘干基计）≥40%；</w:t>
            </w:r>
          </w:p>
          <w:p>
            <w:pPr>
              <w:pStyle w:val="4"/>
              <w:spacing w:before="15"/>
              <w:ind w:firstLine="560"/>
              <w:jc w:val="left"/>
            </w:pPr>
            <w:r>
              <w:rPr>
                <w:rFonts w:ascii="宋体" w:hAnsi="宋体" w:eastAsia="宋体" w:cs="宋体"/>
                <w:sz w:val="28"/>
              </w:rPr>
              <w:t>2.总养分（N 十 P</w:t>
            </w:r>
            <w:r>
              <w:rPr>
                <w:rFonts w:ascii="宋体" w:hAnsi="宋体" w:eastAsia="宋体" w:cs="宋体"/>
                <w:sz w:val="28"/>
                <w:vertAlign w:val="subscript"/>
              </w:rPr>
              <w:t>2</w:t>
            </w:r>
            <w:r>
              <w:rPr>
                <w:rFonts w:ascii="宋体" w:hAnsi="宋体" w:eastAsia="宋体" w:cs="宋体"/>
                <w:sz w:val="28"/>
              </w:rPr>
              <w:t>O</w:t>
            </w:r>
            <w:r>
              <w:rPr>
                <w:rFonts w:ascii="宋体" w:hAnsi="宋体" w:eastAsia="宋体" w:cs="宋体"/>
                <w:sz w:val="28"/>
                <w:vertAlign w:val="subscript"/>
              </w:rPr>
              <w:t>5</w:t>
            </w:r>
            <w:r>
              <w:rPr>
                <w:rFonts w:ascii="宋体" w:hAnsi="宋体" w:eastAsia="宋体" w:cs="宋体"/>
                <w:sz w:val="28"/>
              </w:rPr>
              <w:t xml:space="preserve"> 十 K</w:t>
            </w:r>
            <w:r>
              <w:rPr>
                <w:rFonts w:ascii="宋体" w:hAnsi="宋体" w:eastAsia="宋体" w:cs="宋体"/>
                <w:sz w:val="28"/>
                <w:vertAlign w:val="subscript"/>
              </w:rPr>
              <w:t>2</w:t>
            </w:r>
            <w:r>
              <w:rPr>
                <w:rFonts w:ascii="宋体" w:hAnsi="宋体" w:eastAsia="宋体" w:cs="宋体"/>
                <w:sz w:val="28"/>
              </w:rPr>
              <w:t>O）的质量分数（以烘干基计）≥4.0%；</w:t>
            </w:r>
          </w:p>
          <w:p>
            <w:pPr>
              <w:pStyle w:val="4"/>
              <w:spacing w:before="15"/>
              <w:ind w:firstLine="560"/>
              <w:jc w:val="left"/>
            </w:pPr>
            <w:r>
              <w:rPr>
                <w:rFonts w:ascii="宋体" w:hAnsi="宋体" w:eastAsia="宋体" w:cs="宋体"/>
                <w:sz w:val="28"/>
              </w:rPr>
              <w:t>3.水分（鲜样）的质量分数≤30%；</w:t>
            </w:r>
          </w:p>
          <w:p>
            <w:pPr>
              <w:pStyle w:val="4"/>
              <w:spacing w:before="15"/>
              <w:ind w:firstLine="560"/>
              <w:jc w:val="left"/>
            </w:pPr>
            <w:r>
              <w:rPr>
                <w:rFonts w:ascii="宋体" w:hAnsi="宋体" w:eastAsia="宋体" w:cs="宋体"/>
                <w:sz w:val="28"/>
              </w:rPr>
              <w:t>4.酸碱度（PH 值）5.5～8.5；</w:t>
            </w:r>
          </w:p>
          <w:p>
            <w:pPr>
              <w:pStyle w:val="4"/>
              <w:spacing w:before="15"/>
              <w:ind w:firstLine="560"/>
              <w:jc w:val="left"/>
            </w:pPr>
            <w:r>
              <w:rPr>
                <w:rFonts w:ascii="宋体" w:hAnsi="宋体" w:eastAsia="宋体" w:cs="宋体"/>
                <w:sz w:val="28"/>
              </w:rPr>
              <w:t>5.种子发芽指数（GI）≥70%；</w:t>
            </w:r>
          </w:p>
          <w:p>
            <w:pPr>
              <w:pStyle w:val="4"/>
              <w:spacing w:before="15"/>
              <w:ind w:firstLine="560"/>
              <w:jc w:val="left"/>
            </w:pPr>
            <w:r>
              <w:rPr>
                <w:rFonts w:ascii="宋体" w:hAnsi="宋体" w:eastAsia="宋体" w:cs="宋体"/>
                <w:sz w:val="28"/>
              </w:rPr>
              <w:t>6.机械杂质的质量分数≤0.5%</w:t>
            </w:r>
          </w:p>
          <w:p>
            <w:pPr>
              <w:pStyle w:val="4"/>
              <w:spacing w:before="15"/>
              <w:ind w:firstLine="560"/>
              <w:jc w:val="left"/>
            </w:pPr>
            <w:r>
              <w:rPr>
                <w:rFonts w:ascii="宋体" w:hAnsi="宋体" w:eastAsia="宋体" w:cs="宋体"/>
                <w:sz w:val="28"/>
              </w:rPr>
              <w:t>7.总砷（As）（以烘干基计）≤15mg/kg；</w:t>
            </w:r>
          </w:p>
          <w:p>
            <w:pPr>
              <w:pStyle w:val="4"/>
              <w:spacing w:before="15"/>
              <w:ind w:firstLine="560"/>
              <w:jc w:val="left"/>
            </w:pPr>
            <w:r>
              <w:rPr>
                <w:rFonts w:ascii="宋体" w:hAnsi="宋体" w:eastAsia="宋体" w:cs="宋体"/>
                <w:sz w:val="28"/>
              </w:rPr>
              <w:t>8.总汞（Hg）（以烘干基计）≤2mg/kg；</w:t>
            </w:r>
          </w:p>
          <w:p>
            <w:pPr>
              <w:pStyle w:val="4"/>
              <w:spacing w:before="15"/>
              <w:ind w:firstLine="560"/>
              <w:jc w:val="left"/>
            </w:pPr>
            <w:r>
              <w:rPr>
                <w:rFonts w:ascii="宋体" w:hAnsi="宋体" w:eastAsia="宋体" w:cs="宋体"/>
                <w:sz w:val="28"/>
              </w:rPr>
              <w:t>9.总铅（Pb）（以烘干基计）≤50mg/kg；</w:t>
            </w:r>
          </w:p>
          <w:p>
            <w:pPr>
              <w:pStyle w:val="4"/>
              <w:spacing w:before="15"/>
              <w:ind w:firstLine="560"/>
              <w:jc w:val="left"/>
            </w:pPr>
            <w:r>
              <w:rPr>
                <w:rFonts w:ascii="宋体" w:hAnsi="宋体" w:eastAsia="宋体" w:cs="宋体"/>
                <w:sz w:val="28"/>
              </w:rPr>
              <w:t>10.总镉（Cd）（以烘干基计）≤3mg/kg；</w:t>
            </w:r>
          </w:p>
          <w:p>
            <w:pPr>
              <w:pStyle w:val="4"/>
              <w:spacing w:before="15"/>
              <w:ind w:firstLine="560"/>
              <w:jc w:val="left"/>
            </w:pPr>
            <w:r>
              <w:rPr>
                <w:rFonts w:ascii="宋体" w:hAnsi="宋体" w:eastAsia="宋体" w:cs="宋体"/>
                <w:sz w:val="28"/>
              </w:rPr>
              <w:t>11.总铬（Cr）（以烘干基计）≤150mg/kg；</w:t>
            </w:r>
          </w:p>
          <w:p>
            <w:pPr>
              <w:pStyle w:val="4"/>
              <w:spacing w:before="15"/>
              <w:ind w:firstLine="560"/>
              <w:jc w:val="left"/>
            </w:pPr>
            <w:r>
              <w:rPr>
                <w:rFonts w:ascii="宋体" w:hAnsi="宋体" w:eastAsia="宋体" w:cs="宋体"/>
                <w:sz w:val="28"/>
              </w:rPr>
              <w:t>12.粪大肠菌群数≤100 个/g（mL）；</w:t>
            </w:r>
          </w:p>
          <w:p>
            <w:pPr>
              <w:pStyle w:val="4"/>
              <w:spacing w:before="15"/>
              <w:ind w:firstLine="560"/>
              <w:jc w:val="left"/>
            </w:pPr>
            <w:r>
              <w:rPr>
                <w:rFonts w:ascii="宋体" w:hAnsi="宋体" w:eastAsia="宋体" w:cs="宋体"/>
                <w:sz w:val="28"/>
              </w:rPr>
              <w:t>13.蛔虫卵死亡率≥95%；</w:t>
            </w:r>
          </w:p>
          <w:p>
            <w:pPr>
              <w:pStyle w:val="4"/>
              <w:spacing w:before="105" w:after="105"/>
              <w:ind w:firstLine="560"/>
              <w:jc w:val="left"/>
            </w:pPr>
            <w:r>
              <w:rPr>
                <w:rFonts w:ascii="宋体" w:hAnsi="宋体" w:eastAsia="宋体" w:cs="宋体"/>
                <w:sz w:val="28"/>
              </w:rPr>
              <w:t>三、其他要求</w:t>
            </w:r>
          </w:p>
          <w:p>
            <w:pPr>
              <w:pStyle w:val="4"/>
              <w:spacing w:before="105" w:after="105"/>
              <w:ind w:firstLine="560"/>
              <w:jc w:val="left"/>
            </w:pPr>
            <w:r>
              <w:rPr>
                <w:rFonts w:ascii="宋体" w:hAnsi="宋体" w:eastAsia="宋体" w:cs="宋体"/>
                <w:sz w:val="28"/>
              </w:rPr>
              <w:t>★1、本项目为固定单价合同，最高单价限价：1400元/吨。（数量最终以实际供货数量为准，资金采完为止。成交数量=78.68万元/成交单价）</w:t>
            </w:r>
          </w:p>
          <w:p>
            <w:pPr>
              <w:pStyle w:val="4"/>
              <w:spacing w:before="105" w:after="105"/>
              <w:ind w:firstLine="560"/>
              <w:jc w:val="left"/>
            </w:pPr>
            <w:r>
              <w:rPr>
                <w:rFonts w:ascii="宋体" w:hAnsi="宋体" w:eastAsia="宋体" w:cs="宋体"/>
                <w:sz w:val="28"/>
              </w:rPr>
              <w:t>★2、报价要求：（1）供应商的报价是供应商响应采购项目要求的全部工作内容的价格体现，包括货物、包装、运输、转运、人工、检测服务、采购代理服务费等所有与项目实施有关的各项含税费用。（2）供应商在“分项报价表”中须详细列出单价和数量，总价为78.68万元。单价不得超过单价最高限价（1400元/吨）。</w:t>
            </w:r>
          </w:p>
          <w:p>
            <w:pPr>
              <w:pStyle w:val="4"/>
              <w:spacing w:before="105" w:after="105"/>
              <w:ind w:firstLine="560"/>
              <w:jc w:val="left"/>
            </w:pPr>
            <w:r>
              <w:rPr>
                <w:rFonts w:ascii="宋体" w:hAnsi="宋体" w:eastAsia="宋体" w:cs="宋体"/>
                <w:sz w:val="28"/>
              </w:rPr>
              <w:t>3、售后服务：（1）成交供应商负责货物运输、转运、装卸等。（2）成交供应商须指派专人负责与采购人联系售后服务事宜。（3）货物在质保期内或使用过程中出现任何质量问题，成交供应商在接到采购人或使用人电话后1小时内响应，4小时内到达采购人指定现场，24小时内解决问题，并承担由此产生的一切费用。（4）成交供应商就报价产品需提供技术资料。（5）每一批次货物需提供该批次的检验报告（批次确定权由采购人决定）。验收每批次货物时双方现场随机抽样，并由采购人送达具有相应检测资质的检验机构进行检测，出具检测报告，抽检所有费用均由成交供应商承担。（6）经采购人抽检，如货物出现包装问题，则成交供应商在采购人规定的时间内进行更换。如货物质量出现问题，采购人有权解除合同，有权拒付货款并要求退货，因此而产生的损失和费用由成交供应商承担。</w:t>
            </w:r>
          </w:p>
          <w:p>
            <w:pPr>
              <w:pStyle w:val="4"/>
              <w:spacing w:before="105" w:after="105"/>
              <w:ind w:firstLine="560"/>
              <w:jc w:val="left"/>
            </w:pPr>
            <w:r>
              <w:rPr>
                <w:rFonts w:ascii="宋体" w:hAnsi="宋体" w:eastAsia="宋体" w:cs="宋体"/>
                <w:sz w:val="28"/>
              </w:rPr>
              <w:t>4、质量要求：（1）成交供应商须提供全新的货物且权属清楚，不得侵害他人的知识产权。（2）货物必须符合或优于国家（行业）标准，以及本项目谈判文件的质量要求和技术指标与出厂标准。（3）货物出现质量问题时，成交供应商应负责三包（包修、包换、包退），费用由成交供应商负担。（4）货物到现场后由于采购人保管不当造成的质量问题，成交供应商亦应负责退换，但费用由采购人负担。</w:t>
            </w:r>
          </w:p>
          <w:p>
            <w:pPr>
              <w:pStyle w:val="4"/>
              <w:spacing w:before="105" w:after="105"/>
              <w:ind w:firstLine="560"/>
              <w:jc w:val="left"/>
            </w:pPr>
            <w:r>
              <w:rPr>
                <w:rFonts w:ascii="宋体" w:hAnsi="宋体" w:eastAsia="宋体" w:cs="宋体"/>
                <w:sz w:val="28"/>
              </w:rPr>
              <w:t>5、安全管理要求及法律责任</w:t>
            </w:r>
          </w:p>
          <w:p>
            <w:pPr>
              <w:pStyle w:val="4"/>
              <w:spacing w:before="105" w:after="105"/>
              <w:ind w:firstLine="560"/>
              <w:jc w:val="left"/>
            </w:pPr>
            <w:r>
              <w:rPr>
                <w:rFonts w:ascii="宋体" w:hAnsi="宋体" w:eastAsia="宋体" w:cs="宋体"/>
                <w:sz w:val="28"/>
              </w:rPr>
              <w:t>在服务期内，成交供应商应对工作人员进行安全防护措施教育，并采取相应安全措施，应加强安全管理检查，发现问题和隐患及时处理和整改，避免服务过程中发生人身伤亡或其他事故。</w:t>
            </w:r>
            <w:r>
              <w:rPr>
                <w:rFonts w:ascii="宋体" w:hAnsi="宋体" w:eastAsia="宋体" w:cs="宋体"/>
                <w:b/>
                <w:sz w:val="28"/>
              </w:rPr>
              <w:t>供应商须在响应文件中提供承诺函（格式自拟）</w:t>
            </w:r>
            <w:r>
              <w:rPr>
                <w:rFonts w:ascii="宋体" w:hAnsi="宋体" w:eastAsia="宋体" w:cs="宋体"/>
                <w:sz w:val="28"/>
              </w:rPr>
              <w:t>，承诺自行承担本项目服务过程中所发生的所有安全事故责任、法律责任和赔偿责任，包括：其聘用的所有工作人员劳动用工安全事故、因操作不规范等因素造成的安全责任事故、与本项目相关的其他安全事故。</w:t>
            </w:r>
          </w:p>
          <w:p>
            <w:pPr>
              <w:pStyle w:val="4"/>
              <w:spacing w:before="105" w:after="105"/>
              <w:ind w:firstLine="560"/>
              <w:jc w:val="left"/>
            </w:pPr>
            <w:r>
              <w:rPr>
                <w:rFonts w:ascii="宋体" w:hAnsi="宋体" w:eastAsia="宋体" w:cs="宋体"/>
                <w:sz w:val="28"/>
              </w:rPr>
              <w:t xml:space="preserve">  注：以上打“★”号的为本次采购项目的实质性要求，不允许有负偏离，若有负偏离，则作为无效响应处理。</w:t>
            </w:r>
          </w:p>
        </w:tc>
      </w:tr>
    </w:tbl>
    <w:p>
      <w:pPr>
        <w:pStyle w:val="4"/>
        <w:outlineLvl w:val="2"/>
      </w:pPr>
      <w:r>
        <w:rPr>
          <w:b/>
          <w:sz w:val="28"/>
        </w:rPr>
        <w:t>3.4、商务要求</w:t>
      </w:r>
    </w:p>
    <w:p>
      <w:pPr>
        <w:pStyle w:val="4"/>
        <w:outlineLvl w:val="3"/>
      </w:pPr>
      <w:r>
        <w:rPr>
          <w:b/>
          <w:sz w:val="24"/>
        </w:rPr>
        <w:t>3.4.1交货时间</w:t>
      </w:r>
    </w:p>
    <w:p>
      <w:pPr>
        <w:pStyle w:val="4"/>
      </w:pPr>
      <w:r>
        <w:t>采购包1：</w:t>
      </w:r>
    </w:p>
    <w:p>
      <w:pPr>
        <w:pStyle w:val="4"/>
      </w:pPr>
      <w:r>
        <w:t xml:space="preserve"> 自合同签订之日起30日</w:t>
      </w:r>
    </w:p>
    <w:p>
      <w:pPr>
        <w:pStyle w:val="4"/>
        <w:outlineLvl w:val="3"/>
        <w:rPr>
          <w:b/>
          <w:sz w:val="24"/>
        </w:rPr>
      </w:pPr>
    </w:p>
    <w:p>
      <w:pPr>
        <w:pStyle w:val="4"/>
        <w:outlineLvl w:val="3"/>
      </w:pPr>
      <w:r>
        <w:rPr>
          <w:b/>
          <w:sz w:val="24"/>
        </w:rPr>
        <w:t>3.4.2交货地点和方式</w:t>
      </w:r>
    </w:p>
    <w:p>
      <w:pPr>
        <w:pStyle w:val="4"/>
      </w:pPr>
      <w:r>
        <w:t>采购包1：</w:t>
      </w:r>
    </w:p>
    <w:p>
      <w:pPr>
        <w:pStyle w:val="4"/>
      </w:pPr>
      <w:r>
        <w:t>采购人指定地点</w:t>
      </w:r>
    </w:p>
    <w:p>
      <w:pPr>
        <w:pStyle w:val="4"/>
        <w:outlineLvl w:val="3"/>
        <w:rPr>
          <w:b/>
          <w:sz w:val="24"/>
        </w:rPr>
      </w:pPr>
    </w:p>
    <w:p>
      <w:pPr>
        <w:pStyle w:val="4"/>
        <w:outlineLvl w:val="3"/>
      </w:pPr>
      <w:r>
        <w:rPr>
          <w:b/>
          <w:sz w:val="24"/>
        </w:rPr>
        <w:t>3.4.3支付方式</w:t>
      </w:r>
      <w:bookmarkStart w:id="0" w:name="_GoBack"/>
      <w:bookmarkEnd w:id="0"/>
    </w:p>
    <w:p>
      <w:pPr>
        <w:pStyle w:val="4"/>
      </w:pPr>
      <w:r>
        <w:t>采购包1：</w:t>
      </w:r>
    </w:p>
    <w:p>
      <w:pPr>
        <w:pStyle w:val="4"/>
      </w:pPr>
      <w:r>
        <w:t>分期付款</w:t>
      </w:r>
    </w:p>
    <w:p>
      <w:pPr>
        <w:pStyle w:val="4"/>
        <w:outlineLvl w:val="3"/>
        <w:rPr>
          <w:b/>
          <w:sz w:val="24"/>
        </w:rPr>
      </w:pPr>
    </w:p>
    <w:p>
      <w:pPr>
        <w:pStyle w:val="4"/>
        <w:outlineLvl w:val="3"/>
      </w:pPr>
      <w:r>
        <w:rPr>
          <w:b/>
          <w:sz w:val="24"/>
        </w:rPr>
        <w:t>3.4.4支付约定</w:t>
      </w:r>
    </w:p>
    <w:p>
      <w:pPr>
        <w:pStyle w:val="4"/>
      </w:pPr>
      <w:r>
        <w:t>采购包1： 付款条件说明： 到货验收抽检合格后 ，达到付款条件起 20 日内，支付合同总金额的 30.00%。</w:t>
      </w:r>
    </w:p>
    <w:p>
      <w:pPr>
        <w:pStyle w:val="4"/>
      </w:pPr>
      <w:r>
        <w:t>采购包1： 付款条件说明： 按采购人要求分发到农户、再整理收集农户签名的花名 册，连同发票等报账资料一次性交到采购单位报账，采购单位在收到报账资料后  ，达到付款条件起 20 日内，支付合同总金额的 70.00%。</w:t>
      </w:r>
    </w:p>
    <w:p>
      <w:pPr>
        <w:pStyle w:val="4"/>
        <w:outlineLvl w:val="3"/>
        <w:rPr>
          <w:b/>
          <w:sz w:val="24"/>
        </w:rPr>
      </w:pPr>
    </w:p>
    <w:p>
      <w:pPr>
        <w:pStyle w:val="4"/>
        <w:outlineLvl w:val="3"/>
      </w:pPr>
      <w:r>
        <w:rPr>
          <w:b/>
          <w:sz w:val="24"/>
        </w:rPr>
        <w:t>3.4.5验收标准和方法</w:t>
      </w:r>
    </w:p>
    <w:p>
      <w:pPr>
        <w:pStyle w:val="4"/>
      </w:pPr>
      <w:r>
        <w:t>采购包1：</w:t>
      </w:r>
    </w:p>
    <w:p>
      <w:pPr>
        <w:pStyle w:val="4"/>
      </w:pPr>
      <w:r>
        <w:t>1、采购人和供应商严格按照《财政部关于进一步加强政府采购需求和履约验收管理的指导意见》（财库〔2016〕205号）、《政府采购需求管理办法》（财库〔2021〕22）、谈判文件、响应文件的要求进行验收。 （1）供应商在要求时间内完成项目所有内容并提交验收申请，采购人在收到验收申请5日内组织验收小组进行项目验收； （2）验收标准：按国家有关规定以及谈判文件的质量要求和技术指标、响应文件及承诺与谈判文件约定标准进行验收；双方如对质量要求和技术指标的约定标准有相互抵触或异议的事项，由采购人在谈判文件和响应文件中按质量要求和技术指标比较优胜的原则确定该项的约定标准进行验收。 （3）验收时如发现所交付的货物有短装、次品、损坏或其它不符合标准及谈判文件规定之情形者，采购人应做出详尽的现场记录，或由双方签署备忘 录，此现场记录或备忘录可用作补充、缺失和更换的有效证据，由此产生的时间延误与有关费用由成交供应商承担，验收期限相应顺延。 （4）如质量验收合格，双方签署质量验收报告。如货物经成交供应商2次更换仍不能达到谈判文件约定的质量标准，采购人有权退货，并视作成交供应商不能交付货物且须支付违约赔偿金给采购人，采购人还可依法追究成交供应商的违约责任。</w:t>
      </w:r>
    </w:p>
    <w:p>
      <w:pPr>
        <w:pStyle w:val="4"/>
        <w:outlineLvl w:val="3"/>
        <w:rPr>
          <w:b/>
          <w:sz w:val="24"/>
        </w:rPr>
      </w:pPr>
    </w:p>
    <w:p>
      <w:pPr>
        <w:pStyle w:val="4"/>
        <w:outlineLvl w:val="3"/>
      </w:pPr>
      <w:r>
        <w:rPr>
          <w:b/>
          <w:sz w:val="24"/>
        </w:rPr>
        <w:t>3.4.6包装方式及运输</w:t>
      </w: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rPr>
          <w:b/>
          <w:sz w:val="24"/>
        </w:rPr>
      </w:pPr>
    </w:p>
    <w:p>
      <w:pPr>
        <w:pStyle w:val="4"/>
        <w:outlineLvl w:val="3"/>
      </w:pPr>
      <w:r>
        <w:rPr>
          <w:b/>
          <w:sz w:val="24"/>
        </w:rPr>
        <w:t>3.4.7质量保修范围和保修期</w:t>
      </w:r>
    </w:p>
    <w:p>
      <w:pPr>
        <w:pStyle w:val="4"/>
      </w:pPr>
      <w:r>
        <w:t>采购包1：</w:t>
      </w:r>
    </w:p>
    <w:p>
      <w:pPr>
        <w:pStyle w:val="4"/>
      </w:pPr>
      <w:r>
        <w:t>产品质保期为验收合格之日起≥1年。</w:t>
      </w:r>
    </w:p>
    <w:p>
      <w:pPr>
        <w:pStyle w:val="4"/>
        <w:outlineLvl w:val="3"/>
        <w:rPr>
          <w:b/>
          <w:sz w:val="24"/>
        </w:rPr>
      </w:pPr>
    </w:p>
    <w:p>
      <w:pPr>
        <w:pStyle w:val="4"/>
        <w:outlineLvl w:val="3"/>
      </w:pPr>
      <w:r>
        <w:rPr>
          <w:b/>
          <w:sz w:val="24"/>
        </w:rPr>
        <w:t>3.4.8违约责任及解决争议的方法</w:t>
      </w:r>
    </w:p>
    <w:p>
      <w:pPr>
        <w:pStyle w:val="4"/>
      </w:pPr>
      <w:r>
        <w:t>采购包1：</w:t>
      </w:r>
    </w:p>
    <w:p>
      <w:pPr>
        <w:pStyle w:val="4"/>
      </w:pPr>
      <w:r>
        <w:t>（一）违约责任：采购人违约：1.采购人应遵守本合同并执行合同中的各项规定，保证本合同的正常履行；2.如有延期支付合同款项，或因甲方原因导致变更、中止或终止政府采购合同的，应依照合同约定对乙方受到的损失予以赔偿或补偿。供应商违约：1.供应商必须遵守采购合同并执行合同中的各项规定，保证采购合同的正常履行。 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二）争议解决办法： （1）因服务的质量问题发生争议，由采购人所在地质量技术监督部门或其指定的质量鉴定机构进行质量鉴定。服务符合标准的，鉴定费由采购人承担；服务不符合质量标准的，鉴定费由供应商承担。</w:t>
      </w:r>
    </w:p>
    <w:p>
      <w:pPr>
        <w:pStyle w:val="4"/>
        <w:jc w:val="left"/>
        <w:outlineLvl w:val="3"/>
        <w:rPr>
          <w:b/>
          <w:sz w:val="24"/>
        </w:rPr>
      </w:pPr>
    </w:p>
    <w:p>
      <w:pPr>
        <w:pStyle w:val="4"/>
        <w:jc w:val="left"/>
        <w:outlineLvl w:val="3"/>
      </w:pPr>
      <w:r>
        <w:rPr>
          <w:b/>
          <w:sz w:val="24"/>
        </w:rPr>
        <w:t>3.5其他要求</w:t>
      </w:r>
    </w:p>
    <w:p>
      <w:pPr>
        <w:pStyle w:val="4"/>
      </w:pPr>
      <w:r>
        <w:t>采购包1：</w:t>
      </w:r>
    </w:p>
    <w:p>
      <w:pPr>
        <w:pStyle w:val="4"/>
      </w:pPr>
      <w:r>
        <w:t>本项目采购文件中“3.4、商务要求”为本项目实质性要求，供应商需在商务应答表中逐条响应，不响应或负偏离视为无效投标。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GVlYjUwYTYxMjIxZTFmNDE0ZmZhMTc5NDY0ZjEifQ=="/>
  </w:docVars>
  <w:rsids>
    <w:rsidRoot w:val="5160033F"/>
    <w:rsid w:val="5160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2024-01-04T09:41:00Z</dcterms:created>
  <dc:creator>编辑</dc:creator>
  <cp:lastModifiedBy>编辑</cp:lastModifiedBy>
  <dcterms:modified xsi:type="dcterms:W3CDTF">2024-01-04T09:43:22Z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8FB68DF46F82487AB4A76695B1D13CB4_11</vt:lpwstr>
  </property>
</Properties>
</file>