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一、项目概述</w:t>
      </w:r>
    </w:p>
    <w:p>
      <w:pPr>
        <w:spacing w:line="400" w:lineRule="exact"/>
        <w:ind w:firstLine="241" w:firstLineChars="100"/>
        <w:jc w:val="left"/>
        <w:outlineLvl w:val="1"/>
        <w:rPr>
          <w:rFonts w:hint="eastAsia" w:ascii="仿宋" w:hAnsi="仿宋" w:eastAsia="仿宋" w:cs="仿宋"/>
          <w:b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4"/>
        </w:rPr>
        <w:t>1.项目</w:t>
      </w:r>
      <w:r>
        <w:rPr>
          <w:rFonts w:hint="eastAsia" w:ascii="仿宋" w:hAnsi="仿宋" w:eastAsia="仿宋" w:cs="仿宋"/>
          <w:b/>
          <w:bCs w:val="0"/>
          <w:sz w:val="24"/>
          <w:lang w:val="en-US" w:eastAsia="zh-CN"/>
        </w:rPr>
        <w:t>基本情况</w:t>
      </w:r>
    </w:p>
    <w:p>
      <w:pPr>
        <w:ind w:firstLine="480" w:firstLineChars="200"/>
        <w:rPr>
          <w:rFonts w:hint="eastAsia" w:ascii="仿宋" w:hAnsi="仿宋" w:eastAsia="仿宋" w:cs="仿宋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移动护士站互联网信息服务：50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移动护理PDA（5G）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终端及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专线接入互联网，终端运行维护、程序修改服务，以无线网络为依托，以手持移动终端（PDA）为平台，将医院信息管理系统和移动数据终端连接，实现护理人员开展信息内容核查、医嘱执行、药物扫描、生命体征录入等工作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期限36个月。</w:t>
      </w:r>
    </w:p>
    <w:tbl>
      <w:tblPr>
        <w:tblStyle w:val="8"/>
        <w:tblW w:w="8100" w:type="dxa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52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包号</w:t>
            </w:r>
          </w:p>
        </w:tc>
        <w:tc>
          <w:tcPr>
            <w:tcW w:w="325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标的名称</w:t>
            </w:r>
          </w:p>
        </w:tc>
        <w:tc>
          <w:tcPr>
            <w:tcW w:w="366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25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移动护士站互联网信息服务</w:t>
            </w:r>
          </w:p>
        </w:tc>
        <w:tc>
          <w:tcPr>
            <w:tcW w:w="366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  <w:t>信息传输业</w:t>
            </w:r>
          </w:p>
        </w:tc>
      </w:tr>
    </w:tbl>
    <w:p>
      <w:pPr>
        <w:pStyle w:val="5"/>
        <w:spacing w:line="400" w:lineRule="exact"/>
        <w:ind w:firstLine="480"/>
        <w:rPr>
          <w:rFonts w:hint="eastAsia" w:ascii="仿宋" w:hAnsi="仿宋" w:eastAsia="仿宋" w:cs="仿宋"/>
          <w:bCs/>
          <w:kern w:val="2"/>
          <w:sz w:val="24"/>
          <w:szCs w:val="24"/>
          <w:lang w:val="en-US" w:eastAsia="zh-CN" w:bidi="ar-SA"/>
        </w:rPr>
      </w:pPr>
    </w:p>
    <w:p>
      <w:pPr>
        <w:pStyle w:val="5"/>
        <w:spacing w:line="400" w:lineRule="exact"/>
        <w:ind w:left="0" w:leftChars="0" w:firstLine="0" w:firstLineChars="0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2.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技术要求</w:t>
      </w:r>
    </w:p>
    <w:tbl>
      <w:tblPr>
        <w:tblStyle w:val="7"/>
        <w:tblW w:w="5000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820"/>
        <w:gridCol w:w="5738"/>
        <w:gridCol w:w="13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331" w:type="pc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81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336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性能参数</w:t>
            </w:r>
          </w:p>
        </w:tc>
        <w:tc>
          <w:tcPr>
            <w:tcW w:w="820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D8D8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设备结构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一体式专用设备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CPU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处理器≥2.2GHz、八核或以上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操作系统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基于Android 10.0及以上或IOS 10.0及以上或Harmony OS 2.0及以上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内存容量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≥4GB RAM、64GB ROM或以上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液晶屏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≥6.1英寸，1560*720或以上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屏幕类型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多点触控，电容屏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电池容量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≥4100mAh或以上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电池性能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可拆卸，随放即充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充电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≥13.5W，支持快充技术，支持无线充电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扫描头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一体化硬件扫描头，支持一、二维码扫描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三防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≥IP65或以上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防腐蚀可消毒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采用PC+TPU表面材料，可进行医疗消毒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条码识别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支持一维条形码、二维码扫描识别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提示功能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有明显提示功能的指示灯，适用于扩展应用中的信息提示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网络制式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支持运营商5G/4G/3G/2G 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组网模式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SA/NSA两种组网模式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WiFi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支持WiFi6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SOS功能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可以开启并可拨打应急号码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MTU设定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可通过拨号设定MTU值，适配网络数据传输要求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网络及系统安全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可绑定运营商VPDN拨号，实现运营商5G VPDN安全接入，可禁止WIFI、APK安装/卸载、USB传输、蓝牙、电话、短信、编辑APN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设备认证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国家强制CCC认证；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工信部颁发的投标型号产品入网许可证；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无线电发射设备型号核准证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提供行政机关出具的证明材料复印件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蓝牙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支持5.1或以上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实体按键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侧方位预留不少于两个按键用于扫描功能，不接受虚拟按键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配件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提供无线座充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服务</w:t>
            </w:r>
          </w:p>
        </w:tc>
        <w:tc>
          <w:tcPr>
            <w:tcW w:w="3366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36个月50套PDA（5G）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eastAsia="zh-CN" w:bidi="ar"/>
              </w:rPr>
              <w:t>终端及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互联网接入服务，终端运维、程序修改服务（程序修改满足医院移动护理工作,根据医院实际需求修改或定制服务），提供5台PDA（5G）备机服务。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sz w:val="24"/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24"/>
        </w:rPr>
        <w:t>、商务要求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（一）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服务期限</w:t>
      </w:r>
      <w:r>
        <w:rPr>
          <w:rFonts w:hint="eastAsia" w:ascii="仿宋" w:hAnsi="仿宋" w:eastAsia="仿宋" w:cs="仿宋"/>
          <w:sz w:val="24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合同签订生效之日起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36个月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outlineLvl w:val="1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24"/>
          <w:lang w:eastAsia="zh-CN"/>
        </w:rPr>
        <w:t>（二）服务地点</w:t>
      </w:r>
      <w:r>
        <w:rPr>
          <w:rFonts w:hint="eastAsia" w:ascii="仿宋" w:hAnsi="仿宋" w:eastAsia="仿宋" w:cs="仿宋"/>
          <w:sz w:val="24"/>
          <w:lang w:eastAsia="zh-CN"/>
        </w:rPr>
        <w:t>：乐山市中医医院</w:t>
      </w:r>
    </w:p>
    <w:p>
      <w:pPr>
        <w:numPr>
          <w:ilvl w:val="0"/>
          <w:numId w:val="0"/>
        </w:numPr>
        <w:spacing w:line="360" w:lineRule="auto"/>
        <w:outlineLvl w:val="1"/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付款方式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720" w:firstLineChars="300"/>
        <w:textAlignment w:val="auto"/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1.合同签订后</w:t>
      </w:r>
      <w:r>
        <w:rPr>
          <w:rFonts w:hint="eastAsia" w:ascii="仿宋" w:hAnsi="仿宋" w:eastAsia="仿宋" w:cs="仿宋"/>
          <w:lang w:val="en-US" w:eastAsia="zh-CN"/>
        </w:rPr>
        <w:t>采购人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成交供应商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开具的正式发票之日起30日内</w:t>
      </w:r>
      <w:r>
        <w:rPr>
          <w:rFonts w:hint="eastAsia" w:ascii="仿宋" w:hAnsi="仿宋" w:eastAsia="仿宋" w:cs="仿宋"/>
          <w:lang w:val="en-US" w:eastAsia="zh-CN"/>
        </w:rPr>
        <w:t>采购人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成交供应商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支付合同总金额的30%，人民币大写: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，即 RMB￥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元;合同签订满6个月后</w:t>
      </w:r>
      <w:r>
        <w:rPr>
          <w:rFonts w:hint="eastAsia" w:ascii="仿宋" w:hAnsi="仿宋" w:eastAsia="仿宋" w:cs="仿宋"/>
          <w:lang w:val="en-US" w:eastAsia="zh-CN"/>
        </w:rPr>
        <w:t>采购人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成交供应商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开具的正式发票30日内支付至结算金额的60%,人民币大写: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，即 RMB￥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元;合同签订满12个月后</w:t>
      </w:r>
      <w:r>
        <w:rPr>
          <w:rFonts w:hint="eastAsia" w:ascii="仿宋" w:hAnsi="仿宋" w:eastAsia="仿宋" w:cs="仿宋"/>
          <w:lang w:val="en-US" w:eastAsia="zh-CN"/>
        </w:rPr>
        <w:t>采购人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成交供应商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开具的正式发票30日内支付至结算金额的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76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%，人民币大写: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，即 RMB￥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元;结算款项的剩余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在两年内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分24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个月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付款，每期采用后付方式向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成交供应商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支付[    ]元/月，累计分期支付总额为[    ]元。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0" w:firstLineChars="0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2.付款时，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成交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须提供符合要求的发票给</w:t>
      </w:r>
      <w:r>
        <w:rPr>
          <w:rFonts w:hint="eastAsia" w:ascii="仿宋" w:hAnsi="仿宋" w:eastAsia="仿宋" w:cs="仿宋"/>
          <w:lang w:val="en-US" w:eastAsia="zh-CN"/>
        </w:rPr>
        <w:t>采购人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，否则</w:t>
      </w:r>
      <w:r>
        <w:rPr>
          <w:rFonts w:hint="eastAsia" w:ascii="仿宋" w:hAnsi="仿宋" w:eastAsia="仿宋" w:cs="仿宋"/>
          <w:lang w:val="en-US" w:eastAsia="zh-CN"/>
        </w:rPr>
        <w:t>采购人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的付款期限顺延。</w:t>
      </w:r>
    </w:p>
    <w:p>
      <w:pPr>
        <w:pStyle w:val="4"/>
        <w:spacing w:line="560" w:lineRule="exact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售后服务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三年服务期内，</w:t>
      </w:r>
      <w:r>
        <w:rPr>
          <w:rFonts w:hint="default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软件产品的更新和升级，保证硬件的正常运行。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网络系统出现问题，在10分钟内作出实质性响应，2小时内远程无法解决，4小时内到达到现场解决。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成交供应商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须指派专人</w:t>
      </w:r>
      <w:r>
        <w:rPr>
          <w:rFonts w:hint="eastAsia" w:ascii="仿宋" w:hAnsi="仿宋" w:eastAsia="仿宋" w:cs="仿宋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负责与采购人联系售后服务事宜。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37D1FF7"/>
    <w:rsid w:val="037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tabs>
        <w:tab w:val="left" w:pos="1500"/>
      </w:tabs>
      <w:ind w:firstLine="420" w:firstLineChars="100"/>
    </w:pPr>
    <w:rPr>
      <w:sz w:val="18"/>
      <w:szCs w:val="1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qFormat/>
    <w:uiPriority w:val="99"/>
    <w:rPr>
      <w:rFonts w:ascii="Arial" w:hAnsi="Arial"/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 首行缩进: 2 字符"/>
    <w:basedOn w:val="1"/>
    <w:qFormat/>
    <w:uiPriority w:val="0"/>
    <w:pPr>
      <w:spacing w:line="400" w:lineRule="exact"/>
      <w:ind w:firstLine="200" w:firstLineChars="200"/>
    </w:pPr>
    <w:rPr>
      <w:sz w:val="24"/>
    </w:rPr>
  </w:style>
  <w:style w:type="paragraph" w:customStyle="1" w:styleId="11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2023-12-08T01:26:00Z</dcterms:created>
  <dc:creator>木</dc:creator>
  <cp:lastModifiedBy>木</cp:lastModifiedBy>
  <dcterms:modified xsi:type="dcterms:W3CDTF">2023-12-08T01:27:10Z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E1A963395BE8417CAC3BFE14D44A026F_11</vt:lpwstr>
  </property>
</Properties>
</file>