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一、项目概述</w:t>
      </w:r>
    </w:p>
    <w:p>
      <w:pPr>
        <w:spacing w:line="360" w:lineRule="auto"/>
        <w:ind w:firstLine="480" w:firstLineChars="200"/>
        <w:rPr>
          <w:rFonts w:hint="default" w:ascii="宋体" w:hAnsi="宋体" w:cs="宋体" w:eastAsiaTheme="minorEastAsia"/>
          <w:color w:val="auto"/>
          <w:sz w:val="24"/>
          <w:highlight w:val="none"/>
          <w:lang w:val="en-US" w:eastAsia="zh-CN"/>
        </w:rPr>
      </w:pPr>
      <w:r>
        <w:rPr>
          <w:rFonts w:hint="eastAsia" w:ascii="宋体" w:hAnsi="宋体" w:cs="宋体"/>
          <w:color w:val="auto"/>
          <w:sz w:val="24"/>
          <w:highlight w:val="none"/>
          <w:lang w:val="zh-CN"/>
        </w:rPr>
        <w:t>实验实训是校内教学的重要环节</w:t>
      </w:r>
      <w:r>
        <w:rPr>
          <w:rFonts w:hint="eastAsia" w:ascii="宋体" w:hAnsi="宋体" w:cs="宋体"/>
          <w:color w:val="auto"/>
          <w:sz w:val="24"/>
          <w:highlight w:val="none"/>
          <w:lang w:val="en-US" w:eastAsia="zh-CN"/>
        </w:rPr>
        <w:t>,</w:t>
      </w:r>
      <w:r>
        <w:rPr>
          <w:rFonts w:hint="eastAsia" w:ascii="宋体" w:hAnsi="宋体" w:cs="宋体"/>
          <w:color w:val="auto"/>
          <w:sz w:val="24"/>
          <w:highlight w:val="none"/>
          <w:lang w:val="zh-CN"/>
        </w:rPr>
        <w:t>为了保证20</w:t>
      </w:r>
      <w:r>
        <w:rPr>
          <w:rFonts w:hint="eastAsia" w:ascii="宋体" w:hAnsi="宋体" w:cs="宋体"/>
          <w:color w:val="auto"/>
          <w:sz w:val="24"/>
          <w:highlight w:val="none"/>
          <w:lang w:val="en-US" w:eastAsia="zh-CN"/>
        </w:rPr>
        <w:t>24</w:t>
      </w:r>
      <w:r>
        <w:rPr>
          <w:rFonts w:hint="eastAsia" w:ascii="宋体" w:hAnsi="宋体" w:cs="宋体"/>
          <w:color w:val="auto"/>
          <w:sz w:val="24"/>
          <w:highlight w:val="none"/>
          <w:lang w:val="zh-CN"/>
        </w:rPr>
        <w:t>年度全院师生实验实训课程的顺利开展，提高学生在实验实训课中的技能操作能力，需要采购2024年度实验实训耗材。</w:t>
      </w:r>
      <w:r>
        <w:rPr>
          <w:rFonts w:hint="eastAsia" w:ascii="宋体" w:hAnsi="宋体" w:cs="宋体"/>
          <w:color w:val="auto"/>
          <w:sz w:val="24"/>
          <w:highlight w:val="none"/>
          <w:lang w:val="en-US" w:eastAsia="zh-CN"/>
        </w:rPr>
        <w:t>本项目为</w:t>
      </w:r>
      <w:r>
        <w:rPr>
          <w:rFonts w:hint="eastAsia" w:ascii="宋体" w:hAnsi="宋体" w:cs="宋体"/>
          <w:color w:val="auto"/>
          <w:sz w:val="24"/>
          <w:highlight w:val="none"/>
          <w:lang w:val="zh-CN"/>
        </w:rPr>
        <w:t>乐山职业技术学院2024年度实验实训耗材采购项目，采购预算为</w:t>
      </w:r>
      <w:r>
        <w:rPr>
          <w:rFonts w:hint="eastAsia" w:ascii="宋体" w:hAnsi="宋体" w:eastAsia="宋体" w:cs="宋体"/>
          <w:color w:val="auto"/>
          <w:kern w:val="0"/>
          <w:sz w:val="24"/>
          <w:szCs w:val="24"/>
          <w:highlight w:val="none"/>
          <w:lang w:eastAsia="zh-CN"/>
        </w:rPr>
        <w:t>1451067.4</w:t>
      </w:r>
      <w:r>
        <w:rPr>
          <w:rFonts w:hint="eastAsia" w:ascii="宋体" w:hAnsi="宋体" w:eastAsia="宋体" w:cs="宋体"/>
          <w:color w:val="auto"/>
          <w:kern w:val="0"/>
          <w:sz w:val="24"/>
          <w:szCs w:val="24"/>
          <w:highlight w:val="none"/>
        </w:rPr>
        <w:t>元</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最高限价为：</w:t>
      </w:r>
      <w:r>
        <w:rPr>
          <w:rFonts w:hint="eastAsia" w:ascii="宋体" w:hAnsi="宋体" w:eastAsia="宋体" w:cs="宋体"/>
          <w:color w:val="auto"/>
          <w:kern w:val="0"/>
          <w:sz w:val="24"/>
          <w:szCs w:val="24"/>
          <w:highlight w:val="none"/>
          <w:lang w:eastAsia="zh-CN"/>
        </w:rPr>
        <w:t>1426072.40元；</w:t>
      </w:r>
      <w:r>
        <w:rPr>
          <w:rFonts w:hint="eastAsia" w:ascii="宋体" w:hAnsi="宋体" w:cs="宋体"/>
          <w:color w:val="auto"/>
          <w:sz w:val="24"/>
          <w:highlight w:val="none"/>
          <w:lang w:val="en-US" w:eastAsia="zh-CN"/>
        </w:rPr>
        <w:t>分为十个包，第一包：百货、体育用品、调味品、干货、化肥类采购，第二包：电子、机械类采购，第三包：活物类采购，第四包：生鲜类采购，第五包：实验器具类采购；第六包：试剂类采购；第七包：危化品类采购；第八包：药材饮片类；第九包：药品类；第十包：医用品类。</w:t>
      </w:r>
    </w:p>
    <w:p>
      <w:pPr>
        <w:numPr>
          <w:ilvl w:val="0"/>
          <w:numId w:val="1"/>
        </w:numPr>
        <w:spacing w:line="360" w:lineRule="auto"/>
        <w:ind w:firstLine="480" w:firstLineChars="200"/>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采购清单及要求（实质性要求）:</w:t>
      </w:r>
    </w:p>
    <w:p>
      <w:pPr>
        <w:spacing w:line="360" w:lineRule="auto"/>
        <w:rPr>
          <w:rFonts w:ascii="宋体" w:hAnsi="宋体" w:cs="宋体"/>
          <w:b/>
          <w:bCs/>
          <w:color w:val="auto"/>
          <w:sz w:val="24"/>
          <w:highlight w:val="none"/>
          <w:lang w:val="zh-CN"/>
        </w:rPr>
      </w:pPr>
      <w:r>
        <w:rPr>
          <w:rFonts w:hint="eastAsia" w:ascii="宋体" w:hAnsi="宋体" w:cs="宋体"/>
          <w:b/>
          <w:bCs/>
          <w:color w:val="auto"/>
          <w:sz w:val="24"/>
          <w:highlight w:val="none"/>
          <w:lang w:val="en-US" w:eastAsia="zh-CN"/>
        </w:rPr>
        <w:t>（一）</w:t>
      </w:r>
      <w:r>
        <w:rPr>
          <w:rFonts w:hint="eastAsia" w:ascii="宋体" w:hAnsi="宋体" w:cs="宋体"/>
          <w:b/>
          <w:bCs/>
          <w:color w:val="auto"/>
          <w:sz w:val="24"/>
          <w:highlight w:val="none"/>
          <w:lang w:val="zh-CN"/>
        </w:rPr>
        <w:t>项目清单</w:t>
      </w:r>
    </w:p>
    <w:tbl>
      <w:tblPr>
        <w:tblStyle w:val="3"/>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027"/>
        <w:gridCol w:w="3758"/>
        <w:gridCol w:w="1062"/>
        <w:gridCol w:w="1062"/>
        <w:gridCol w:w="16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3" w:type="pct"/>
            <w:vAlign w:val="center"/>
          </w:tcPr>
          <w:p>
            <w:pPr>
              <w:spacing w:line="360" w:lineRule="auto"/>
              <w:jc w:val="center"/>
              <w:rPr>
                <w:rFonts w:hint="default" w:ascii="宋体" w:cs="宋体" w:eastAsiaTheme="minorEastAsia"/>
                <w:color w:val="auto"/>
                <w:sz w:val="24"/>
                <w:highlight w:val="none"/>
                <w:lang w:val="en-US" w:eastAsia="zh-CN"/>
              </w:rPr>
            </w:pPr>
            <w:r>
              <w:rPr>
                <w:rFonts w:hint="eastAsia" w:ascii="宋体" w:hAnsi="宋体" w:cs="宋体"/>
                <w:color w:val="auto"/>
                <w:sz w:val="24"/>
                <w:highlight w:val="none"/>
                <w:lang w:val="en-US" w:eastAsia="zh-CN"/>
              </w:rPr>
              <w:t>包号</w:t>
            </w:r>
          </w:p>
        </w:tc>
        <w:tc>
          <w:tcPr>
            <w:tcW w:w="2205" w:type="pct"/>
            <w:vAlign w:val="center"/>
          </w:tcPr>
          <w:p>
            <w:pPr>
              <w:spacing w:line="360" w:lineRule="auto"/>
              <w:jc w:val="center"/>
              <w:rPr>
                <w:rFonts w:ascii="宋体" w:cs="宋体"/>
                <w:color w:val="auto"/>
                <w:sz w:val="24"/>
                <w:highlight w:val="none"/>
              </w:rPr>
            </w:pPr>
            <w:r>
              <w:rPr>
                <w:rFonts w:hint="eastAsia" w:ascii="宋体" w:hAnsi="宋体" w:cs="宋体"/>
                <w:color w:val="auto"/>
                <w:sz w:val="24"/>
                <w:highlight w:val="none"/>
              </w:rPr>
              <w:t>设备名称</w:t>
            </w:r>
          </w:p>
        </w:tc>
        <w:tc>
          <w:tcPr>
            <w:tcW w:w="623"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技术</w:t>
            </w:r>
          </w:p>
          <w:p>
            <w:pPr>
              <w:spacing w:line="360" w:lineRule="auto"/>
              <w:jc w:val="center"/>
              <w:rPr>
                <w:rFonts w:ascii="宋体" w:cs="宋体"/>
                <w:color w:val="auto"/>
                <w:sz w:val="24"/>
                <w:highlight w:val="none"/>
              </w:rPr>
            </w:pPr>
            <w:r>
              <w:rPr>
                <w:rFonts w:hint="eastAsia" w:ascii="宋体" w:hAnsi="宋体" w:cs="宋体"/>
                <w:color w:val="auto"/>
                <w:sz w:val="24"/>
                <w:highlight w:val="none"/>
              </w:rPr>
              <w:t>参数</w:t>
            </w:r>
          </w:p>
        </w:tc>
        <w:tc>
          <w:tcPr>
            <w:tcW w:w="623" w:type="pct"/>
            <w:vAlign w:val="center"/>
          </w:tcPr>
          <w:p>
            <w:pPr>
              <w:spacing w:line="360" w:lineRule="auto"/>
              <w:jc w:val="center"/>
              <w:rPr>
                <w:rFonts w:ascii="宋体" w:cs="宋体"/>
                <w:color w:val="auto"/>
                <w:sz w:val="24"/>
                <w:highlight w:val="none"/>
              </w:rPr>
            </w:pPr>
            <w:r>
              <w:rPr>
                <w:rFonts w:hint="eastAsia" w:ascii="宋体" w:hAnsi="宋体" w:cs="宋体"/>
                <w:color w:val="auto"/>
                <w:sz w:val="24"/>
                <w:highlight w:val="none"/>
              </w:rPr>
              <w:t>数量</w:t>
            </w:r>
          </w:p>
        </w:tc>
        <w:tc>
          <w:tcPr>
            <w:tcW w:w="944" w:type="pct"/>
            <w:vAlign w:val="center"/>
          </w:tcPr>
          <w:p>
            <w:pPr>
              <w:spacing w:line="360" w:lineRule="auto"/>
              <w:jc w:val="center"/>
              <w:rPr>
                <w:rFonts w:ascii="宋体" w:cs="宋体"/>
                <w:color w:val="auto"/>
                <w:sz w:val="24"/>
                <w:highlight w:val="none"/>
              </w:rPr>
            </w:pPr>
            <w:r>
              <w:rPr>
                <w:rFonts w:hint="eastAsia" w:ascii="宋体" w:hAnsi="宋体" w:eastAsia="宋体" w:cs="宋体"/>
                <w:color w:val="auto"/>
                <w:sz w:val="24"/>
                <w:highlight w:val="none"/>
                <w:lang w:eastAsia="zh-CN"/>
              </w:rPr>
              <w:t>各包最高限价</w:t>
            </w:r>
            <w:r>
              <w:rPr>
                <w:rFonts w:hint="eastAsia" w:ascii="宋体" w:hAnsi="宋体" w:cs="宋体"/>
                <w:color w:val="auto"/>
                <w:sz w:val="24"/>
                <w:highlight w:val="none"/>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3" w:type="pct"/>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1</w:t>
            </w:r>
          </w:p>
        </w:tc>
        <w:tc>
          <w:tcPr>
            <w:tcW w:w="2205" w:type="pct"/>
            <w:vAlign w:val="center"/>
          </w:tcPr>
          <w:p>
            <w:pPr>
              <w:spacing w:line="360" w:lineRule="auto"/>
              <w:ind w:firstLine="480" w:firstLineChars="20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百货、体育用品、调味品、干货、化肥类采购</w:t>
            </w:r>
          </w:p>
        </w:tc>
        <w:tc>
          <w:tcPr>
            <w:tcW w:w="623"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见附件</w:t>
            </w:r>
          </w:p>
        </w:tc>
        <w:tc>
          <w:tcPr>
            <w:tcW w:w="623" w:type="pct"/>
            <w:vAlign w:val="center"/>
          </w:tcPr>
          <w:p>
            <w:pPr>
              <w:spacing w:line="360" w:lineRule="auto"/>
              <w:jc w:val="center"/>
              <w:rPr>
                <w:rFonts w:ascii="宋体" w:cs="宋体"/>
                <w:color w:val="auto"/>
                <w:sz w:val="24"/>
                <w:highlight w:val="none"/>
              </w:rPr>
            </w:pPr>
            <w:r>
              <w:rPr>
                <w:rFonts w:hint="eastAsia" w:ascii="宋体" w:cs="宋体"/>
                <w:color w:val="auto"/>
                <w:sz w:val="24"/>
                <w:highlight w:val="none"/>
              </w:rPr>
              <w:t>见附件</w:t>
            </w:r>
          </w:p>
        </w:tc>
        <w:tc>
          <w:tcPr>
            <w:tcW w:w="94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cs="宋体" w:eastAsiaTheme="minorEastAsia"/>
                <w:color w:val="auto"/>
                <w:sz w:val="24"/>
                <w:highlight w:val="none"/>
                <w:lang w:val="en-US" w:eastAsia="zh-CN"/>
              </w:rPr>
            </w:pPr>
            <w:r>
              <w:rPr>
                <w:rFonts w:hint="eastAsia" w:ascii="宋体" w:cs="宋体"/>
                <w:color w:val="auto"/>
                <w:sz w:val="24"/>
                <w:highlight w:val="none"/>
                <w:lang w:val="en-US" w:eastAsia="zh-CN"/>
              </w:rPr>
              <w:t>228932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3"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2205" w:type="pct"/>
            <w:vAlign w:val="center"/>
          </w:tcPr>
          <w:p>
            <w:pPr>
              <w:spacing w:line="360" w:lineRule="auto"/>
              <w:ind w:firstLine="480" w:firstLineChars="20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电子、机械类采购</w:t>
            </w:r>
          </w:p>
        </w:tc>
        <w:tc>
          <w:tcPr>
            <w:tcW w:w="623"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见附件</w:t>
            </w:r>
          </w:p>
        </w:tc>
        <w:tc>
          <w:tcPr>
            <w:tcW w:w="623" w:type="pct"/>
            <w:vAlign w:val="center"/>
          </w:tcPr>
          <w:p>
            <w:pPr>
              <w:spacing w:line="360" w:lineRule="auto"/>
              <w:jc w:val="center"/>
              <w:rPr>
                <w:rFonts w:ascii="宋体" w:cs="宋体"/>
                <w:color w:val="auto"/>
                <w:sz w:val="24"/>
                <w:highlight w:val="none"/>
              </w:rPr>
            </w:pPr>
            <w:r>
              <w:rPr>
                <w:rFonts w:hint="eastAsia" w:ascii="宋体" w:cs="宋体"/>
                <w:color w:val="auto"/>
                <w:sz w:val="24"/>
                <w:highlight w:val="none"/>
              </w:rPr>
              <w:t>见附件</w:t>
            </w:r>
          </w:p>
        </w:tc>
        <w:tc>
          <w:tcPr>
            <w:tcW w:w="944" w:type="pc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cs="宋体" w:eastAsiaTheme="minorEastAsia"/>
                <w:color w:val="auto"/>
                <w:sz w:val="24"/>
                <w:highlight w:val="none"/>
                <w:lang w:val="en-US" w:eastAsia="zh-CN"/>
              </w:rPr>
            </w:pPr>
            <w:r>
              <w:rPr>
                <w:rFonts w:hint="eastAsia" w:ascii="宋体" w:cs="宋体"/>
                <w:color w:val="auto"/>
                <w:sz w:val="24"/>
                <w:highlight w:val="none"/>
                <w:lang w:val="en-US" w:eastAsia="zh-CN"/>
              </w:rPr>
              <w:t>261395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3"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2205" w:type="pct"/>
            <w:vAlign w:val="center"/>
          </w:tcPr>
          <w:p>
            <w:pPr>
              <w:spacing w:line="360" w:lineRule="auto"/>
              <w:ind w:firstLine="480" w:firstLineChars="200"/>
              <w:jc w:val="center"/>
              <w:rPr>
                <w:rFonts w:hint="eastAsia" w:ascii="宋体" w:hAnsi="宋体" w:cs="宋体"/>
                <w:color w:val="auto"/>
                <w:sz w:val="24"/>
                <w:highlight w:val="none"/>
                <w:lang w:val="zh-CN" w:eastAsia="zh-CN"/>
              </w:rPr>
            </w:pPr>
            <w:r>
              <w:rPr>
                <w:rFonts w:hint="eastAsia" w:ascii="宋体" w:hAnsi="宋体" w:cs="宋体"/>
                <w:color w:val="auto"/>
                <w:sz w:val="24"/>
                <w:highlight w:val="none"/>
                <w:lang w:val="en-US" w:eastAsia="zh-CN"/>
              </w:rPr>
              <w:t>活物类采购</w:t>
            </w:r>
          </w:p>
        </w:tc>
        <w:tc>
          <w:tcPr>
            <w:tcW w:w="623"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见附件</w:t>
            </w:r>
          </w:p>
        </w:tc>
        <w:tc>
          <w:tcPr>
            <w:tcW w:w="623" w:type="pct"/>
            <w:vAlign w:val="center"/>
          </w:tcPr>
          <w:p>
            <w:pPr>
              <w:spacing w:line="360" w:lineRule="auto"/>
              <w:jc w:val="center"/>
              <w:rPr>
                <w:rFonts w:ascii="宋体" w:cs="宋体"/>
                <w:color w:val="auto"/>
                <w:sz w:val="24"/>
                <w:highlight w:val="none"/>
              </w:rPr>
            </w:pPr>
            <w:r>
              <w:rPr>
                <w:rFonts w:hint="eastAsia" w:ascii="宋体" w:cs="宋体"/>
                <w:color w:val="auto"/>
                <w:sz w:val="24"/>
                <w:highlight w:val="none"/>
              </w:rPr>
              <w:t>见附件</w:t>
            </w:r>
          </w:p>
        </w:tc>
        <w:tc>
          <w:tcPr>
            <w:tcW w:w="944" w:type="pc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cs="宋体" w:eastAsiaTheme="minorEastAsia"/>
                <w:color w:val="auto"/>
                <w:sz w:val="24"/>
                <w:highlight w:val="none"/>
                <w:lang w:val="en-US" w:eastAsia="zh-CN"/>
              </w:rPr>
            </w:pPr>
            <w:r>
              <w:rPr>
                <w:rFonts w:hint="eastAsia" w:ascii="宋体" w:cs="宋体"/>
                <w:color w:val="auto"/>
                <w:sz w:val="24"/>
                <w:highlight w:val="none"/>
                <w:lang w:val="en-US" w:eastAsia="zh-CN"/>
              </w:rPr>
              <w:t>104700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3" w:hRule="atLeast"/>
          <w:jc w:val="center"/>
        </w:trPr>
        <w:tc>
          <w:tcPr>
            <w:tcW w:w="603"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2205" w:type="pct"/>
            <w:vAlign w:val="center"/>
          </w:tcPr>
          <w:p>
            <w:pPr>
              <w:spacing w:line="360" w:lineRule="auto"/>
              <w:ind w:firstLine="480" w:firstLineChars="20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生鲜类采购</w:t>
            </w:r>
          </w:p>
        </w:tc>
        <w:tc>
          <w:tcPr>
            <w:tcW w:w="623"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见附件</w:t>
            </w:r>
          </w:p>
        </w:tc>
        <w:tc>
          <w:tcPr>
            <w:tcW w:w="623" w:type="pct"/>
            <w:vAlign w:val="center"/>
          </w:tcPr>
          <w:p>
            <w:pPr>
              <w:spacing w:line="360" w:lineRule="auto"/>
              <w:jc w:val="center"/>
              <w:rPr>
                <w:rFonts w:ascii="宋体" w:cs="宋体"/>
                <w:color w:val="auto"/>
                <w:sz w:val="24"/>
                <w:highlight w:val="none"/>
              </w:rPr>
            </w:pPr>
            <w:r>
              <w:rPr>
                <w:rFonts w:hint="eastAsia" w:ascii="宋体" w:cs="宋体"/>
                <w:color w:val="auto"/>
                <w:sz w:val="24"/>
                <w:highlight w:val="none"/>
              </w:rPr>
              <w:t>见附件</w:t>
            </w:r>
          </w:p>
        </w:tc>
        <w:tc>
          <w:tcPr>
            <w:tcW w:w="944" w:type="pc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cs="宋体" w:eastAsiaTheme="minorEastAsia"/>
                <w:color w:val="auto"/>
                <w:sz w:val="24"/>
                <w:highlight w:val="none"/>
                <w:lang w:val="en-US" w:eastAsia="zh-CN"/>
              </w:rPr>
            </w:pPr>
            <w:r>
              <w:rPr>
                <w:rFonts w:hint="eastAsia" w:ascii="宋体" w:cs="宋体"/>
                <w:color w:val="auto"/>
                <w:sz w:val="24"/>
                <w:highlight w:val="none"/>
                <w:lang w:val="en-US" w:eastAsia="zh-CN"/>
              </w:rPr>
              <w:t>244110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3"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2205" w:type="pct"/>
            <w:vAlign w:val="center"/>
          </w:tcPr>
          <w:p>
            <w:pPr>
              <w:spacing w:line="360" w:lineRule="auto"/>
              <w:ind w:firstLine="480" w:firstLineChars="200"/>
              <w:jc w:val="center"/>
              <w:rPr>
                <w:rFonts w:hint="eastAsia" w:ascii="宋体" w:hAnsi="宋体" w:cs="宋体"/>
                <w:color w:val="auto"/>
                <w:sz w:val="24"/>
                <w:highlight w:val="none"/>
                <w:lang w:val="zh-CN" w:eastAsia="zh-CN"/>
              </w:rPr>
            </w:pPr>
            <w:r>
              <w:rPr>
                <w:rFonts w:hint="eastAsia" w:ascii="宋体" w:hAnsi="宋体" w:cs="宋体"/>
                <w:color w:val="auto"/>
                <w:sz w:val="24"/>
                <w:highlight w:val="none"/>
                <w:lang w:val="en-US" w:eastAsia="zh-CN"/>
              </w:rPr>
              <w:t>实验器具类采购</w:t>
            </w:r>
          </w:p>
        </w:tc>
        <w:tc>
          <w:tcPr>
            <w:tcW w:w="623"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见附件</w:t>
            </w:r>
          </w:p>
        </w:tc>
        <w:tc>
          <w:tcPr>
            <w:tcW w:w="623" w:type="pct"/>
            <w:vAlign w:val="center"/>
          </w:tcPr>
          <w:p>
            <w:pPr>
              <w:spacing w:line="360" w:lineRule="auto"/>
              <w:jc w:val="center"/>
              <w:rPr>
                <w:rFonts w:ascii="宋体" w:cs="宋体"/>
                <w:color w:val="auto"/>
                <w:sz w:val="24"/>
                <w:highlight w:val="none"/>
              </w:rPr>
            </w:pPr>
            <w:r>
              <w:rPr>
                <w:rFonts w:hint="eastAsia" w:ascii="宋体" w:cs="宋体"/>
                <w:color w:val="auto"/>
                <w:sz w:val="24"/>
                <w:highlight w:val="none"/>
              </w:rPr>
              <w:t>见附件</w:t>
            </w:r>
          </w:p>
        </w:tc>
        <w:tc>
          <w:tcPr>
            <w:tcW w:w="944" w:type="pc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cs="宋体" w:eastAsiaTheme="minorEastAsia"/>
                <w:color w:val="auto"/>
                <w:sz w:val="24"/>
                <w:highlight w:val="none"/>
                <w:lang w:val="en-US" w:eastAsia="zh-CN"/>
              </w:rPr>
            </w:pPr>
            <w:r>
              <w:rPr>
                <w:rFonts w:hint="eastAsia" w:ascii="宋体" w:cs="宋体"/>
                <w:color w:val="auto"/>
                <w:sz w:val="24"/>
                <w:highlight w:val="none"/>
                <w:lang w:val="en-US" w:eastAsia="zh-CN"/>
              </w:rPr>
              <w:t>104698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3" w:type="pct"/>
            <w:vAlign w:val="center"/>
          </w:tcPr>
          <w:p>
            <w:pPr>
              <w:spacing w:line="360" w:lineRule="auto"/>
              <w:jc w:val="center"/>
              <w:rPr>
                <w:rFonts w:hint="eastAsia" w:ascii="宋体" w:hAnsi="宋体" w:cs="宋体" w:eastAsiaTheme="minorEastAsia"/>
                <w:color w:val="auto"/>
                <w:sz w:val="24"/>
                <w:highlight w:val="none"/>
                <w:lang w:val="en-US" w:eastAsia="zh-CN"/>
              </w:rPr>
            </w:pPr>
            <w:r>
              <w:rPr>
                <w:rFonts w:hint="eastAsia" w:ascii="宋体" w:hAnsi="宋体" w:cs="宋体"/>
                <w:color w:val="auto"/>
                <w:sz w:val="24"/>
                <w:highlight w:val="none"/>
                <w:lang w:val="en-US" w:eastAsia="zh-CN"/>
              </w:rPr>
              <w:t>6</w:t>
            </w:r>
          </w:p>
        </w:tc>
        <w:tc>
          <w:tcPr>
            <w:tcW w:w="2205" w:type="pct"/>
            <w:vAlign w:val="center"/>
          </w:tcPr>
          <w:p>
            <w:pPr>
              <w:spacing w:line="360" w:lineRule="auto"/>
              <w:ind w:firstLine="480" w:firstLineChars="20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试剂类采购</w:t>
            </w:r>
          </w:p>
        </w:tc>
        <w:tc>
          <w:tcPr>
            <w:tcW w:w="623" w:type="pct"/>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见附件</w:t>
            </w:r>
          </w:p>
        </w:tc>
        <w:tc>
          <w:tcPr>
            <w:tcW w:w="623" w:type="pct"/>
            <w:vAlign w:val="center"/>
          </w:tcPr>
          <w:p>
            <w:pPr>
              <w:spacing w:line="360" w:lineRule="auto"/>
              <w:jc w:val="center"/>
              <w:rPr>
                <w:rFonts w:hint="eastAsia" w:ascii="宋体" w:cs="宋体"/>
                <w:color w:val="auto"/>
                <w:sz w:val="24"/>
                <w:highlight w:val="none"/>
              </w:rPr>
            </w:pPr>
            <w:r>
              <w:rPr>
                <w:rFonts w:hint="eastAsia" w:ascii="宋体" w:cs="宋体"/>
                <w:color w:val="auto"/>
                <w:sz w:val="24"/>
                <w:highlight w:val="none"/>
              </w:rPr>
              <w:t>见附件</w:t>
            </w:r>
          </w:p>
        </w:tc>
        <w:tc>
          <w:tcPr>
            <w:tcW w:w="944" w:type="pc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cs="宋体" w:eastAsiaTheme="minorEastAsia"/>
                <w:color w:val="auto"/>
                <w:sz w:val="24"/>
                <w:highlight w:val="none"/>
                <w:lang w:val="en-US" w:eastAsia="zh-CN"/>
              </w:rPr>
            </w:pPr>
            <w:r>
              <w:rPr>
                <w:rFonts w:hint="eastAsia" w:ascii="宋体" w:cs="宋体"/>
                <w:color w:val="auto"/>
                <w:sz w:val="24"/>
                <w:highlight w:val="none"/>
                <w:lang w:val="en-US" w:eastAsia="zh-CN"/>
              </w:rPr>
              <w:t>126979.4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3" w:type="pct"/>
            <w:vAlign w:val="center"/>
          </w:tcPr>
          <w:p>
            <w:pPr>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7</w:t>
            </w:r>
          </w:p>
        </w:tc>
        <w:tc>
          <w:tcPr>
            <w:tcW w:w="2205" w:type="pct"/>
            <w:vAlign w:val="center"/>
          </w:tcPr>
          <w:p>
            <w:pPr>
              <w:spacing w:line="360" w:lineRule="auto"/>
              <w:ind w:firstLine="480" w:firstLineChars="200"/>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危化品类采购</w:t>
            </w:r>
          </w:p>
        </w:tc>
        <w:tc>
          <w:tcPr>
            <w:tcW w:w="623" w:type="pct"/>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见附件</w:t>
            </w:r>
          </w:p>
        </w:tc>
        <w:tc>
          <w:tcPr>
            <w:tcW w:w="623" w:type="pct"/>
            <w:vAlign w:val="center"/>
          </w:tcPr>
          <w:p>
            <w:pPr>
              <w:spacing w:line="360" w:lineRule="auto"/>
              <w:jc w:val="center"/>
              <w:rPr>
                <w:rFonts w:hint="eastAsia" w:ascii="宋体" w:cs="宋体"/>
                <w:color w:val="auto"/>
                <w:sz w:val="24"/>
                <w:highlight w:val="none"/>
              </w:rPr>
            </w:pPr>
            <w:r>
              <w:rPr>
                <w:rFonts w:hint="eastAsia" w:ascii="宋体" w:cs="宋体"/>
                <w:color w:val="auto"/>
                <w:sz w:val="24"/>
                <w:highlight w:val="none"/>
              </w:rPr>
              <w:t>见附件</w:t>
            </w:r>
          </w:p>
        </w:tc>
        <w:tc>
          <w:tcPr>
            <w:tcW w:w="944" w:type="pc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cs="宋体"/>
                <w:color w:val="auto"/>
                <w:sz w:val="24"/>
                <w:highlight w:val="none"/>
                <w:lang w:val="en-US" w:eastAsia="zh-CN"/>
              </w:rPr>
            </w:pPr>
            <w:r>
              <w:rPr>
                <w:rFonts w:hint="eastAsia" w:ascii="宋体" w:cs="宋体"/>
                <w:color w:val="auto"/>
                <w:sz w:val="24"/>
                <w:highlight w:val="none"/>
                <w:lang w:val="en-US" w:eastAsia="zh-CN"/>
              </w:rPr>
              <w:t>18510.7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3" w:type="pct"/>
            <w:vAlign w:val="center"/>
          </w:tcPr>
          <w:p>
            <w:pPr>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2205" w:type="pct"/>
            <w:vAlign w:val="center"/>
          </w:tcPr>
          <w:p>
            <w:pPr>
              <w:spacing w:line="360" w:lineRule="auto"/>
              <w:ind w:firstLine="480" w:firstLineChars="200"/>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药材饮片类</w:t>
            </w:r>
          </w:p>
        </w:tc>
        <w:tc>
          <w:tcPr>
            <w:tcW w:w="623" w:type="pct"/>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见附件</w:t>
            </w:r>
          </w:p>
        </w:tc>
        <w:tc>
          <w:tcPr>
            <w:tcW w:w="623" w:type="pct"/>
            <w:vAlign w:val="center"/>
          </w:tcPr>
          <w:p>
            <w:pPr>
              <w:spacing w:line="360" w:lineRule="auto"/>
              <w:jc w:val="center"/>
              <w:rPr>
                <w:rFonts w:hint="eastAsia" w:ascii="宋体" w:cs="宋体"/>
                <w:color w:val="auto"/>
                <w:sz w:val="24"/>
                <w:highlight w:val="none"/>
              </w:rPr>
            </w:pPr>
            <w:r>
              <w:rPr>
                <w:rFonts w:hint="eastAsia" w:ascii="宋体" w:cs="宋体"/>
                <w:color w:val="auto"/>
                <w:sz w:val="24"/>
                <w:highlight w:val="none"/>
              </w:rPr>
              <w:t>见附件</w:t>
            </w:r>
          </w:p>
        </w:tc>
        <w:tc>
          <w:tcPr>
            <w:tcW w:w="944" w:type="pc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cs="宋体"/>
                <w:color w:val="auto"/>
                <w:sz w:val="24"/>
                <w:highlight w:val="none"/>
                <w:lang w:val="en-US" w:eastAsia="zh-CN"/>
              </w:rPr>
            </w:pPr>
            <w:r>
              <w:rPr>
                <w:rFonts w:hint="eastAsia" w:ascii="宋体" w:cs="宋体"/>
                <w:color w:val="auto"/>
                <w:sz w:val="24"/>
                <w:highlight w:val="none"/>
                <w:lang w:val="en-US" w:eastAsia="zh-CN"/>
              </w:rPr>
              <w:t>18616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3" w:type="pct"/>
            <w:vAlign w:val="center"/>
          </w:tcPr>
          <w:p>
            <w:pPr>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2205" w:type="pct"/>
            <w:vAlign w:val="center"/>
          </w:tcPr>
          <w:p>
            <w:pPr>
              <w:spacing w:line="360" w:lineRule="auto"/>
              <w:ind w:firstLine="480" w:firstLineChars="200"/>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药品类</w:t>
            </w:r>
          </w:p>
        </w:tc>
        <w:tc>
          <w:tcPr>
            <w:tcW w:w="623" w:type="pct"/>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见附件</w:t>
            </w:r>
          </w:p>
        </w:tc>
        <w:tc>
          <w:tcPr>
            <w:tcW w:w="623" w:type="pct"/>
            <w:vAlign w:val="center"/>
          </w:tcPr>
          <w:p>
            <w:pPr>
              <w:spacing w:line="360" w:lineRule="auto"/>
              <w:jc w:val="center"/>
              <w:rPr>
                <w:rFonts w:hint="eastAsia" w:ascii="宋体" w:cs="宋体"/>
                <w:color w:val="auto"/>
                <w:sz w:val="24"/>
                <w:highlight w:val="none"/>
              </w:rPr>
            </w:pPr>
            <w:r>
              <w:rPr>
                <w:rFonts w:hint="eastAsia" w:ascii="宋体" w:cs="宋体"/>
                <w:color w:val="auto"/>
                <w:sz w:val="24"/>
                <w:highlight w:val="none"/>
              </w:rPr>
              <w:t>见附件</w:t>
            </w:r>
          </w:p>
        </w:tc>
        <w:tc>
          <w:tcPr>
            <w:tcW w:w="944" w:type="pc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cs="宋体"/>
                <w:color w:val="auto"/>
                <w:sz w:val="24"/>
                <w:highlight w:val="none"/>
                <w:lang w:val="en-US" w:eastAsia="zh-CN"/>
              </w:rPr>
            </w:pPr>
            <w:r>
              <w:rPr>
                <w:rFonts w:hint="eastAsia" w:ascii="宋体" w:cs="宋体"/>
                <w:color w:val="auto"/>
                <w:sz w:val="24"/>
                <w:highlight w:val="none"/>
                <w:lang w:val="en-US" w:eastAsia="zh-CN"/>
              </w:rPr>
              <w:t>40871.3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3" w:type="pct"/>
            <w:vAlign w:val="center"/>
          </w:tcPr>
          <w:p>
            <w:pPr>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2205" w:type="pct"/>
            <w:vAlign w:val="center"/>
          </w:tcPr>
          <w:p>
            <w:pPr>
              <w:spacing w:line="360" w:lineRule="auto"/>
              <w:ind w:firstLine="480" w:firstLineChars="200"/>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医用品类</w:t>
            </w:r>
          </w:p>
        </w:tc>
        <w:tc>
          <w:tcPr>
            <w:tcW w:w="623" w:type="pct"/>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见附件</w:t>
            </w:r>
          </w:p>
        </w:tc>
        <w:tc>
          <w:tcPr>
            <w:tcW w:w="623" w:type="pct"/>
            <w:vAlign w:val="center"/>
          </w:tcPr>
          <w:p>
            <w:pPr>
              <w:spacing w:line="360" w:lineRule="auto"/>
              <w:jc w:val="center"/>
              <w:rPr>
                <w:rFonts w:hint="eastAsia" w:ascii="宋体" w:cs="宋体"/>
                <w:color w:val="auto"/>
                <w:sz w:val="24"/>
                <w:highlight w:val="none"/>
              </w:rPr>
            </w:pPr>
            <w:r>
              <w:rPr>
                <w:rFonts w:hint="eastAsia" w:ascii="宋体" w:cs="宋体"/>
                <w:color w:val="auto"/>
                <w:sz w:val="24"/>
                <w:highlight w:val="none"/>
              </w:rPr>
              <w:t>见附件</w:t>
            </w:r>
          </w:p>
        </w:tc>
        <w:tc>
          <w:tcPr>
            <w:tcW w:w="944" w:type="pc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cs="宋体"/>
                <w:color w:val="auto"/>
                <w:sz w:val="24"/>
                <w:highlight w:val="none"/>
                <w:lang w:val="en-US" w:eastAsia="zh-CN"/>
              </w:rPr>
            </w:pPr>
            <w:r>
              <w:rPr>
                <w:rFonts w:hint="eastAsia" w:ascii="宋体" w:cs="宋体"/>
                <w:color w:val="auto"/>
                <w:sz w:val="24"/>
                <w:highlight w:val="none"/>
                <w:lang w:val="en-US" w:eastAsia="zh-CN"/>
              </w:rPr>
              <w:t>277260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3" w:type="pct"/>
            <w:vAlign w:val="center"/>
          </w:tcPr>
          <w:p>
            <w:pPr>
              <w:spacing w:line="360" w:lineRule="auto"/>
              <w:jc w:val="center"/>
              <w:rPr>
                <w:rFonts w:ascii="宋体" w:hAnsi="宋体" w:cs="宋体" w:eastAsiaTheme="minorEastAsia"/>
                <w:color w:val="auto"/>
                <w:kern w:val="2"/>
                <w:sz w:val="24"/>
                <w:szCs w:val="24"/>
                <w:highlight w:val="none"/>
                <w:lang w:val="en-US" w:eastAsia="zh-CN" w:bidi="ar-SA"/>
              </w:rPr>
            </w:pPr>
            <w:r>
              <w:rPr>
                <w:rFonts w:hint="eastAsia" w:ascii="宋体" w:hAnsi="宋体" w:cs="宋体"/>
                <w:color w:val="auto"/>
                <w:sz w:val="24"/>
                <w:highlight w:val="none"/>
              </w:rPr>
              <w:t>合计</w:t>
            </w:r>
          </w:p>
        </w:tc>
        <w:tc>
          <w:tcPr>
            <w:tcW w:w="4396" w:type="pct"/>
            <w:gridSpan w:val="4"/>
            <w:vAlign w:val="center"/>
          </w:tcPr>
          <w:p>
            <w:pPr>
              <w:spacing w:line="360" w:lineRule="auto"/>
              <w:jc w:val="center"/>
              <w:rPr>
                <w:rFonts w:hint="default" w:ascii="宋体" w:cs="宋体" w:eastAsiaTheme="minorEastAsia"/>
                <w:color w:val="auto"/>
                <w:sz w:val="24"/>
                <w:highlight w:val="none"/>
                <w:lang w:val="en-US" w:eastAsia="zh-CN"/>
              </w:rPr>
            </w:pPr>
            <w:r>
              <w:rPr>
                <w:rFonts w:hint="eastAsia" w:ascii="宋体" w:hAnsi="宋体" w:eastAsia="宋体" w:cs="宋体"/>
                <w:color w:val="auto"/>
                <w:kern w:val="0"/>
                <w:sz w:val="24"/>
                <w:szCs w:val="24"/>
                <w:highlight w:val="none"/>
                <w:lang w:eastAsia="zh-CN"/>
              </w:rPr>
              <w:t>1426072.40元</w:t>
            </w:r>
          </w:p>
        </w:tc>
      </w:tr>
    </w:tbl>
    <w:p>
      <w:pPr>
        <w:numPr>
          <w:ilvl w:val="0"/>
          <w:numId w:val="0"/>
        </w:numPr>
        <w:spacing w:line="360" w:lineRule="auto"/>
        <w:ind w:firstLine="720" w:firstLineChars="300"/>
        <w:rPr>
          <w:rFonts w:hint="default" w:ascii="宋体" w:hAnsi="宋体" w:cs="宋体"/>
          <w:color w:val="auto"/>
          <w:sz w:val="24"/>
          <w:highlight w:val="none"/>
          <w:lang w:val="en-US" w:eastAsia="zh-CN"/>
        </w:rPr>
      </w:pPr>
      <w:r>
        <w:rPr>
          <w:rFonts w:hint="eastAsia" w:ascii="宋体" w:hAnsi="宋体" w:cs="宋体"/>
          <w:b/>
          <w:bCs/>
          <w:color w:val="auto"/>
          <w:sz w:val="24"/>
          <w:highlight w:val="none"/>
          <w:lang w:val="en-US" w:eastAsia="zh-CN"/>
        </w:rPr>
        <w:t>具体技术参数及要求详见另册提供的采购清单。</w:t>
      </w:r>
    </w:p>
    <w:p>
      <w:pPr>
        <w:numPr>
          <w:ilvl w:val="0"/>
          <w:numId w:val="0"/>
        </w:numPr>
        <w:spacing w:line="360" w:lineRule="auto"/>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（二）采购</w:t>
      </w:r>
      <w:r>
        <w:rPr>
          <w:rFonts w:hint="eastAsia" w:ascii="宋体" w:hAnsi="宋体" w:cs="宋体"/>
          <w:b/>
          <w:bCs/>
          <w:color w:val="auto"/>
          <w:sz w:val="24"/>
          <w:highlight w:val="none"/>
          <w:lang w:val="zh-CN"/>
        </w:rPr>
        <w:t>技术要求</w:t>
      </w:r>
    </w:p>
    <w:p>
      <w:pPr>
        <w:spacing w:line="360" w:lineRule="auto"/>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1、第一包：百货、体育用品、调味品、干货、化肥类采购</w:t>
      </w:r>
    </w:p>
    <w:p>
      <w:pPr>
        <w:pStyle w:val="5"/>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lang w:val="en-US" w:eastAsia="zh-CN"/>
        </w:rPr>
        <w:t>（1）采购清单中包含食品物资，</w:t>
      </w:r>
      <w:r>
        <w:rPr>
          <w:rFonts w:hint="eastAsia" w:ascii="宋体" w:hAnsi="宋体" w:eastAsia="宋体" w:cs="宋体"/>
          <w:color w:val="auto"/>
          <w:sz w:val="24"/>
          <w:szCs w:val="24"/>
          <w:highlight w:val="none"/>
        </w:rPr>
        <w:t>因</w:t>
      </w:r>
      <w:r>
        <w:rPr>
          <w:rFonts w:hint="eastAsia" w:ascii="宋体" w:hAnsi="宋体" w:eastAsia="宋体" w:cs="宋体"/>
          <w:bCs/>
          <w:color w:val="auto"/>
          <w:sz w:val="24"/>
          <w:szCs w:val="24"/>
          <w:highlight w:val="none"/>
          <w:lang w:eastAsia="zh-CN"/>
        </w:rPr>
        <w:t>成交供应商</w:t>
      </w:r>
      <w:r>
        <w:rPr>
          <w:rFonts w:hint="eastAsia" w:ascii="宋体" w:hAnsi="宋体" w:eastAsia="宋体" w:cs="宋体"/>
          <w:color w:val="auto"/>
          <w:sz w:val="24"/>
          <w:szCs w:val="24"/>
          <w:highlight w:val="none"/>
        </w:rPr>
        <w:t>供货质量原因</w:t>
      </w:r>
      <w:r>
        <w:rPr>
          <w:rFonts w:hint="eastAsia" w:ascii="宋体" w:hAnsi="宋体" w:eastAsia="宋体" w:cs="宋体"/>
          <w:color w:val="auto"/>
          <w:sz w:val="24"/>
          <w:szCs w:val="24"/>
          <w:highlight w:val="none"/>
          <w:lang w:eastAsia="zh-CN"/>
        </w:rPr>
        <w:t>，出现食品安全检查发现重大问题或</w:t>
      </w:r>
      <w:r>
        <w:rPr>
          <w:rFonts w:hint="eastAsia" w:ascii="宋体" w:hAnsi="宋体" w:eastAsia="宋体" w:cs="宋体"/>
          <w:color w:val="auto"/>
          <w:sz w:val="24"/>
          <w:szCs w:val="24"/>
          <w:highlight w:val="none"/>
        </w:rPr>
        <w:t>引起采购人食品安全事故，除</w:t>
      </w:r>
      <w:r>
        <w:rPr>
          <w:rFonts w:hint="eastAsia" w:ascii="宋体" w:hAnsi="宋体" w:eastAsia="宋体" w:cs="宋体"/>
          <w:color w:val="auto"/>
          <w:sz w:val="24"/>
          <w:szCs w:val="24"/>
          <w:highlight w:val="none"/>
          <w:lang w:eastAsia="zh-CN"/>
        </w:rPr>
        <w:t>直接取消</w:t>
      </w:r>
      <w:r>
        <w:rPr>
          <w:rFonts w:hint="eastAsia" w:ascii="宋体" w:hAnsi="宋体" w:eastAsia="宋体" w:cs="宋体"/>
          <w:bCs/>
          <w:color w:val="auto"/>
          <w:sz w:val="24"/>
          <w:szCs w:val="24"/>
          <w:highlight w:val="none"/>
          <w:lang w:eastAsia="zh-CN"/>
        </w:rPr>
        <w:t>成交供应商</w:t>
      </w:r>
      <w:r>
        <w:rPr>
          <w:rFonts w:hint="eastAsia" w:ascii="宋体" w:hAnsi="宋体" w:eastAsia="宋体" w:cs="宋体"/>
          <w:color w:val="auto"/>
          <w:sz w:val="24"/>
          <w:szCs w:val="24"/>
          <w:highlight w:val="none"/>
          <w:lang w:eastAsia="zh-CN"/>
        </w:rPr>
        <w:t>供货资格外，</w:t>
      </w:r>
      <w:r>
        <w:rPr>
          <w:rFonts w:hint="eastAsia" w:ascii="宋体" w:hAnsi="宋体" w:eastAsia="宋体" w:cs="宋体"/>
          <w:bCs/>
          <w:color w:val="auto"/>
          <w:sz w:val="24"/>
          <w:szCs w:val="24"/>
          <w:highlight w:val="none"/>
          <w:lang w:eastAsia="zh-CN"/>
        </w:rPr>
        <w:t>成交供应商</w:t>
      </w:r>
      <w:r>
        <w:rPr>
          <w:rFonts w:hint="eastAsia" w:ascii="宋体" w:hAnsi="宋体" w:eastAsia="宋体" w:cs="宋体"/>
          <w:color w:val="auto"/>
          <w:sz w:val="24"/>
          <w:szCs w:val="24"/>
          <w:highlight w:val="none"/>
          <w:lang w:eastAsia="zh-CN"/>
        </w:rPr>
        <w:t>还需</w:t>
      </w:r>
      <w:r>
        <w:rPr>
          <w:rFonts w:hint="eastAsia" w:ascii="宋体" w:hAnsi="宋体" w:eastAsia="宋体" w:cs="宋体"/>
          <w:color w:val="auto"/>
          <w:sz w:val="24"/>
          <w:szCs w:val="24"/>
          <w:highlight w:val="none"/>
        </w:rPr>
        <w:t>赔偿原材料损失，对由此引起的其他延续损失给予全额赔偿（包括医疗），并承担其他相应</w:t>
      </w:r>
      <w:r>
        <w:rPr>
          <w:rFonts w:hint="eastAsia" w:ascii="宋体" w:hAnsi="宋体" w:eastAsia="宋体" w:cs="宋体"/>
          <w:color w:val="auto"/>
          <w:sz w:val="24"/>
          <w:szCs w:val="24"/>
          <w:highlight w:val="none"/>
          <w:lang w:eastAsia="zh-CN"/>
        </w:rPr>
        <w:t>经济及</w:t>
      </w:r>
      <w:r>
        <w:rPr>
          <w:rFonts w:hint="eastAsia" w:ascii="宋体" w:hAnsi="宋体" w:eastAsia="宋体" w:cs="宋体"/>
          <w:color w:val="auto"/>
          <w:sz w:val="24"/>
          <w:szCs w:val="24"/>
          <w:highlight w:val="none"/>
        </w:rPr>
        <w:t>法律责任</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投标时，本项须单独</w:t>
      </w:r>
      <w:r>
        <w:rPr>
          <w:rFonts w:hint="eastAsia" w:ascii="宋体" w:hAnsi="宋体" w:eastAsia="宋体" w:cs="宋体"/>
          <w:b/>
          <w:bCs/>
          <w:color w:val="auto"/>
          <w:sz w:val="24"/>
          <w:szCs w:val="24"/>
          <w:highlight w:val="none"/>
        </w:rPr>
        <w:t>提供承诺函，格式自拟）</w:t>
      </w:r>
      <w:r>
        <w:rPr>
          <w:rFonts w:hint="eastAsia" w:ascii="宋体" w:hAnsi="宋体" w:eastAsia="宋体" w:cs="宋体"/>
          <w:color w:val="auto"/>
          <w:sz w:val="24"/>
          <w:szCs w:val="24"/>
          <w:highlight w:val="none"/>
        </w:rPr>
        <w:t>。</w:t>
      </w:r>
    </w:p>
    <w:p>
      <w:pPr>
        <w:spacing w:line="360" w:lineRule="auto"/>
        <w:ind w:right="83" w:firstLine="480"/>
        <w:rPr>
          <w:color w:val="auto"/>
          <w:sz w:val="24"/>
          <w:szCs w:val="24"/>
          <w:highlight w:val="none"/>
        </w:rPr>
      </w:pPr>
      <w:r>
        <w:rPr>
          <w:rFonts w:hint="eastAsia"/>
          <w:color w:val="auto"/>
          <w:sz w:val="24"/>
          <w:szCs w:val="24"/>
          <w:highlight w:val="none"/>
          <w:lang w:val="en-US" w:eastAsia="zh-CN"/>
        </w:rPr>
        <w:t>（2）</w:t>
      </w:r>
      <w:r>
        <w:rPr>
          <w:rFonts w:hint="eastAsia"/>
          <w:color w:val="auto"/>
          <w:sz w:val="24"/>
          <w:szCs w:val="24"/>
          <w:highlight w:val="none"/>
        </w:rPr>
        <w:t xml:space="preserve">食品原料须符合国家最新质量、卫生、安全标准或行业质量要求； </w:t>
      </w:r>
      <w:r>
        <w:rPr>
          <w:rFonts w:hint="eastAsia"/>
          <w:color w:val="auto"/>
          <w:sz w:val="24"/>
          <w:szCs w:val="24"/>
          <w:highlight w:val="none"/>
          <w:lang w:val="en-US" w:eastAsia="zh-CN"/>
        </w:rPr>
        <w:t>预</w:t>
      </w:r>
      <w:r>
        <w:rPr>
          <w:rFonts w:hint="eastAsia"/>
          <w:color w:val="auto"/>
          <w:sz w:val="24"/>
          <w:szCs w:val="24"/>
          <w:highlight w:val="none"/>
        </w:rPr>
        <w:t xml:space="preserve">包装类食品原料必须符合食品安全国家标准要求，商品的包装须符合GB7718《预包装食品标签通则》标准要求，具备产品合格证，不变质，不过期。包装袋无破损，包装上注明产品名称、对原材料产地、用途、使用方法、规格、质量、等级、配料表、净含量、厂名、厂址、生产日期、保质期、产品标准号、生产许可证编号等商品使用属性密切相关的内容须有清晰的标示。 </w:t>
      </w:r>
    </w:p>
    <w:p>
      <w:pPr>
        <w:spacing w:line="360" w:lineRule="auto"/>
        <w:ind w:right="83" w:firstLine="480"/>
        <w:rPr>
          <w:rFonts w:hint="eastAsia"/>
          <w:color w:val="auto"/>
          <w:sz w:val="24"/>
          <w:szCs w:val="24"/>
          <w:highlight w:val="none"/>
        </w:rPr>
      </w:pPr>
      <w:r>
        <w:rPr>
          <w:rFonts w:hint="eastAsia"/>
          <w:color w:val="auto"/>
          <w:sz w:val="24"/>
          <w:szCs w:val="24"/>
          <w:highlight w:val="none"/>
          <w:lang w:val="en-US" w:eastAsia="zh-CN"/>
        </w:rPr>
        <w:t>（3）</w:t>
      </w:r>
      <w:r>
        <w:rPr>
          <w:rFonts w:hint="eastAsia" w:ascii="宋体" w:hAnsi="宋体" w:cs="宋体"/>
          <w:color w:val="auto"/>
          <w:sz w:val="24"/>
          <w:highlight w:val="none"/>
          <w:lang w:val="en-US" w:eastAsia="zh-CN"/>
        </w:rPr>
        <w:t>食品类</w:t>
      </w:r>
      <w:r>
        <w:rPr>
          <w:rFonts w:hint="eastAsia"/>
          <w:color w:val="auto"/>
          <w:sz w:val="24"/>
          <w:szCs w:val="24"/>
          <w:highlight w:val="none"/>
        </w:rPr>
        <w:t>每批货提供给采购人时质保期</w:t>
      </w:r>
      <w:r>
        <w:rPr>
          <w:rFonts w:hint="eastAsia" w:eastAsia="宋体"/>
          <w:color w:val="auto"/>
          <w:sz w:val="24"/>
          <w:szCs w:val="24"/>
          <w:highlight w:val="none"/>
          <w:lang w:eastAsia="zh-CN"/>
        </w:rPr>
        <w:t>（</w:t>
      </w:r>
      <w:r>
        <w:rPr>
          <w:rFonts w:hint="eastAsia"/>
          <w:color w:val="auto"/>
          <w:sz w:val="24"/>
          <w:szCs w:val="24"/>
          <w:highlight w:val="none"/>
        </w:rPr>
        <w:t>有效期</w:t>
      </w:r>
      <w:r>
        <w:rPr>
          <w:rFonts w:hint="eastAsia" w:eastAsia="宋体"/>
          <w:color w:val="auto"/>
          <w:sz w:val="24"/>
          <w:szCs w:val="24"/>
          <w:highlight w:val="none"/>
          <w:lang w:eastAsia="zh-CN"/>
        </w:rPr>
        <w:t>）</w:t>
      </w:r>
      <w:r>
        <w:rPr>
          <w:rFonts w:hint="eastAsia"/>
          <w:color w:val="auto"/>
          <w:sz w:val="24"/>
          <w:szCs w:val="24"/>
          <w:highlight w:val="none"/>
        </w:rPr>
        <w:t>须在该产品保质期一半以上。</w:t>
      </w:r>
    </w:p>
    <w:p>
      <w:pPr>
        <w:spacing w:line="360" w:lineRule="auto"/>
        <w:ind w:right="83" w:firstLine="480"/>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（4）采购人明确禁止使用含有兴奋剂的食品和添加剂，投标人应完全尊重采购人的行业惯例和要求，确保所供应食品中不出现含瘦肉精等类似违禁添加剂。</w:t>
      </w:r>
    </w:p>
    <w:p>
      <w:pPr>
        <w:spacing w:line="360" w:lineRule="auto"/>
        <w:ind w:right="83" w:firstLine="480"/>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（5）如供应商在供货期间因不可抗力事件（遇国家或地方政府政策性调整、自然灾害等）造成相关产品无法供货履约，双方可协商终止合同，也可以由成交供应商按采购人要求提供替代产品。</w:t>
      </w:r>
    </w:p>
    <w:p>
      <w:pPr>
        <w:spacing w:line="360" w:lineRule="auto"/>
        <w:ind w:right="83"/>
        <w:rPr>
          <w:rFonts w:hint="default"/>
          <w:b/>
          <w:bCs/>
          <w:color w:val="auto"/>
          <w:highlight w:val="none"/>
          <w:lang w:val="en-US" w:eastAsia="zh-CN"/>
        </w:rPr>
      </w:pPr>
      <w:r>
        <w:rPr>
          <w:rFonts w:hint="eastAsia"/>
          <w:b/>
          <w:bCs/>
          <w:color w:val="auto"/>
          <w:sz w:val="24"/>
          <w:szCs w:val="24"/>
          <w:highlight w:val="none"/>
          <w:lang w:val="en-US" w:eastAsia="zh-CN"/>
        </w:rPr>
        <w:t>2、</w:t>
      </w:r>
      <w:r>
        <w:rPr>
          <w:rFonts w:hint="eastAsia" w:ascii="宋体" w:hAnsi="宋体" w:cs="宋体"/>
          <w:b/>
          <w:bCs/>
          <w:color w:val="auto"/>
          <w:sz w:val="24"/>
          <w:highlight w:val="none"/>
          <w:lang w:val="en-US" w:eastAsia="zh-CN"/>
        </w:rPr>
        <w:t>第六包：试剂类采购、第九包：药品类采购及第十包：医用品采购</w:t>
      </w:r>
    </w:p>
    <w:p>
      <w:pPr>
        <w:numPr>
          <w:ilvl w:val="0"/>
          <w:numId w:val="2"/>
        </w:numPr>
        <w:spacing w:line="360"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供应商应保证采购人在使用成交药品、器材等产品时，不受第三方提出的侵 犯其专利权、商标权或保护期的起诉，如发生上述纠纷造成采购人经济损失，供应商负有相应赔偿义务。</w:t>
      </w:r>
    </w:p>
    <w:p>
      <w:pPr>
        <w:numPr>
          <w:ilvl w:val="0"/>
          <w:numId w:val="2"/>
        </w:numPr>
        <w:spacing w:line="360" w:lineRule="auto"/>
        <w:ind w:firstLine="480" w:firstLineChars="200"/>
        <w:rPr>
          <w:rFonts w:hint="eastAsia" w:ascii="宋体" w:hAnsi="宋体" w:eastAsia="宋体" w:cs="宋体"/>
          <w:b w:val="0"/>
          <w:bCs/>
          <w:color w:val="auto"/>
          <w:sz w:val="24"/>
          <w:szCs w:val="24"/>
          <w:highlight w:val="none"/>
          <w:lang w:val="en-US" w:eastAsia="zh-CN"/>
        </w:rPr>
      </w:pPr>
      <w:r>
        <w:rPr>
          <w:rFonts w:ascii="宋体" w:hAnsi="宋体" w:eastAsia="宋体" w:cs="宋体"/>
          <w:color w:val="auto"/>
          <w:sz w:val="24"/>
          <w:szCs w:val="24"/>
          <w:highlight w:val="none"/>
        </w:rPr>
        <w:t>除非对包装另有规定，供应商提供的全部产品均应按标准保护措施进行包装 （药品需要冷链配送必须按标准冷链配送），应采取防潮、防晒、防锈防腐蚀、防震动及防止其它损坏的必要保护措施，从而保护货物能够经受多次搬运、装卸的长途运输。供应商应承担由于其包装或其防护措施不妥而引起货物的任何损失的责任或费</w:t>
      </w:r>
      <w:r>
        <w:rPr>
          <w:rFonts w:hint="eastAsia" w:ascii="宋体" w:hAnsi="宋体" w:eastAsia="宋体" w:cs="宋体"/>
          <w:color w:val="auto"/>
          <w:sz w:val="24"/>
          <w:szCs w:val="24"/>
          <w:highlight w:val="none"/>
          <w:lang w:eastAsia="zh-CN"/>
        </w:rPr>
        <w:t>用。</w:t>
      </w:r>
    </w:p>
    <w:p>
      <w:pPr>
        <w:numPr>
          <w:ilvl w:val="0"/>
          <w:numId w:val="2"/>
        </w:numPr>
        <w:spacing w:line="360" w:lineRule="auto"/>
        <w:ind w:firstLine="480" w:firstLineChars="200"/>
        <w:rPr>
          <w:rFonts w:hint="eastAsia"/>
          <w:color w:val="auto"/>
          <w:highlight w:val="none"/>
          <w:lang w:val="en-US" w:eastAsia="zh-CN"/>
        </w:rPr>
      </w:pPr>
      <w:r>
        <w:rPr>
          <w:rFonts w:ascii="宋体" w:hAnsi="宋体" w:eastAsia="宋体" w:cs="宋体"/>
          <w:color w:val="auto"/>
          <w:sz w:val="24"/>
          <w:szCs w:val="24"/>
          <w:highlight w:val="none"/>
        </w:rPr>
        <w:t>每一个包装箱内应附一份详细装箱单。包装、标记和包装箱内外的单据应符合合同的要求，包括采购人提出的其他要求</w:t>
      </w:r>
      <w:r>
        <w:rPr>
          <w:rFonts w:hint="eastAsia" w:ascii="宋体" w:hAnsi="宋体" w:eastAsia="宋体" w:cs="宋体"/>
          <w:color w:val="auto"/>
          <w:sz w:val="24"/>
          <w:szCs w:val="24"/>
          <w:highlight w:val="none"/>
          <w:lang w:eastAsia="zh-CN"/>
        </w:rPr>
        <w:t>。</w:t>
      </w:r>
    </w:p>
    <w:p>
      <w:pPr>
        <w:numPr>
          <w:ilvl w:val="0"/>
          <w:numId w:val="2"/>
        </w:num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第九包 药品类采购的药品非医用药品，为实验室实验用品。</w:t>
      </w:r>
    </w:p>
    <w:p>
      <w:pPr>
        <w:spacing w:line="360" w:lineRule="auto"/>
        <w:ind w:firstLine="482" w:firstLineChars="200"/>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注：</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另册提供的采购清单中，产品质量须符合国家、行业或地方标准规定，产品技术参数所规定的产地为地理标法，不指向任何特定品牌。</w:t>
      </w:r>
    </w:p>
    <w:p>
      <w:pPr>
        <w:pStyle w:val="6"/>
        <w:spacing w:line="360" w:lineRule="auto"/>
        <w:ind w:left="1" w:firstLine="482" w:firstLineChars="200"/>
        <w:rPr>
          <w:rFonts w:hint="eastAsia" w:hAnsi="宋体" w:cs="宋体"/>
          <w:b/>
          <w:bCs/>
          <w:color w:val="auto"/>
          <w:sz w:val="24"/>
          <w:highlight w:val="none"/>
          <w:u w:val="single"/>
          <w:lang w:eastAsia="zh-CN"/>
        </w:rPr>
      </w:pPr>
      <w:r>
        <w:rPr>
          <w:rFonts w:hint="eastAsia"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本采购项目</w:t>
      </w:r>
      <w:r>
        <w:rPr>
          <w:rFonts w:hint="eastAsia" w:hAnsi="宋体" w:cs="宋体"/>
          <w:b/>
          <w:bCs/>
          <w:color w:val="auto"/>
          <w:sz w:val="24"/>
          <w:szCs w:val="24"/>
          <w:highlight w:val="none"/>
          <w:lang w:eastAsia="zh-CN"/>
        </w:rPr>
        <w:t>各包</w:t>
      </w:r>
      <w:r>
        <w:rPr>
          <w:rFonts w:hint="eastAsia" w:ascii="宋体" w:hAnsi="宋体" w:eastAsia="宋体" w:cs="宋体"/>
          <w:b/>
          <w:bCs/>
          <w:color w:val="auto"/>
          <w:sz w:val="24"/>
          <w:szCs w:val="24"/>
          <w:highlight w:val="none"/>
        </w:rPr>
        <w:t>核心产品为：</w:t>
      </w:r>
    </w:p>
    <w:tbl>
      <w:tblPr>
        <w:tblStyle w:val="3"/>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022"/>
        <w:gridCol w:w="3748"/>
        <w:gridCol w:w="374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0" w:type="pct"/>
            <w:vAlign w:val="center"/>
          </w:tcPr>
          <w:p>
            <w:pPr>
              <w:spacing w:line="360" w:lineRule="auto"/>
              <w:jc w:val="center"/>
              <w:rPr>
                <w:rFonts w:hint="default" w:ascii="宋体" w:cs="宋体" w:eastAsiaTheme="minorEastAsia"/>
                <w:b/>
                <w:bCs/>
                <w:color w:val="auto"/>
                <w:sz w:val="24"/>
                <w:highlight w:val="none"/>
                <w:lang w:val="en-US" w:eastAsia="zh-CN"/>
              </w:rPr>
            </w:pPr>
            <w:r>
              <w:rPr>
                <w:rFonts w:hint="eastAsia" w:ascii="宋体" w:hAnsi="宋体" w:cs="宋体"/>
                <w:b/>
                <w:bCs/>
                <w:color w:val="auto"/>
                <w:sz w:val="24"/>
                <w:highlight w:val="none"/>
                <w:lang w:val="en-US" w:eastAsia="zh-CN"/>
              </w:rPr>
              <w:t>包号</w:t>
            </w:r>
          </w:p>
        </w:tc>
        <w:tc>
          <w:tcPr>
            <w:tcW w:w="2199" w:type="pct"/>
            <w:vAlign w:val="center"/>
          </w:tcPr>
          <w:p>
            <w:pPr>
              <w:spacing w:line="360" w:lineRule="auto"/>
              <w:jc w:val="center"/>
              <w:rPr>
                <w:rFonts w:ascii="宋体" w:cs="宋体"/>
                <w:b/>
                <w:bCs/>
                <w:color w:val="auto"/>
                <w:sz w:val="24"/>
                <w:highlight w:val="none"/>
              </w:rPr>
            </w:pPr>
            <w:r>
              <w:rPr>
                <w:rFonts w:hint="eastAsia" w:ascii="宋体" w:hAnsi="宋体" w:cs="宋体"/>
                <w:b/>
                <w:bCs/>
                <w:color w:val="auto"/>
                <w:sz w:val="24"/>
                <w:highlight w:val="none"/>
              </w:rPr>
              <w:t>名称</w:t>
            </w:r>
          </w:p>
        </w:tc>
        <w:tc>
          <w:tcPr>
            <w:tcW w:w="2200" w:type="pct"/>
            <w:vAlign w:val="center"/>
          </w:tcPr>
          <w:p>
            <w:pPr>
              <w:spacing w:line="360" w:lineRule="auto"/>
              <w:jc w:val="center"/>
              <w:rPr>
                <w:rFonts w:hint="eastAsia" w:ascii="宋体" w:hAnsi="宋体" w:cs="宋体"/>
                <w:b/>
                <w:bCs/>
                <w:color w:val="auto"/>
                <w:sz w:val="24"/>
                <w:highlight w:val="none"/>
              </w:rPr>
            </w:pPr>
            <w:r>
              <w:rPr>
                <w:rFonts w:hint="eastAsia" w:ascii="宋体" w:hAnsi="宋体" w:eastAsia="宋体" w:cs="宋体"/>
                <w:b/>
                <w:bCs/>
                <w:color w:val="auto"/>
                <w:sz w:val="24"/>
                <w:szCs w:val="24"/>
                <w:highlight w:val="none"/>
              </w:rPr>
              <w:t>核心产品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0" w:type="pct"/>
            <w:vAlign w:val="center"/>
          </w:tcPr>
          <w:p>
            <w:pPr>
              <w:spacing w:line="360" w:lineRule="auto"/>
              <w:jc w:val="center"/>
              <w:rPr>
                <w:rFonts w:ascii="宋体" w:hAnsi="宋体" w:cs="宋体"/>
                <w:b/>
                <w:bCs/>
                <w:color w:val="auto"/>
                <w:sz w:val="24"/>
                <w:highlight w:val="none"/>
              </w:rPr>
            </w:pPr>
            <w:r>
              <w:rPr>
                <w:rFonts w:ascii="宋体" w:hAnsi="宋体" w:cs="宋体"/>
                <w:b/>
                <w:bCs/>
                <w:color w:val="auto"/>
                <w:sz w:val="24"/>
                <w:highlight w:val="none"/>
              </w:rPr>
              <w:t>1</w:t>
            </w:r>
          </w:p>
        </w:tc>
        <w:tc>
          <w:tcPr>
            <w:tcW w:w="2199" w:type="pct"/>
            <w:vAlign w:val="center"/>
          </w:tcPr>
          <w:p>
            <w:pPr>
              <w:spacing w:line="360" w:lineRule="auto"/>
              <w:ind w:firstLine="480" w:firstLineChars="200"/>
              <w:jc w:val="center"/>
              <w:rPr>
                <w:rFonts w:hint="default"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百货、体育用品、调味品、干货、化肥类采购</w:t>
            </w:r>
          </w:p>
        </w:tc>
        <w:tc>
          <w:tcPr>
            <w:tcW w:w="2200" w:type="pct"/>
            <w:vAlign w:val="center"/>
          </w:tcPr>
          <w:p>
            <w:pPr>
              <w:tabs>
                <w:tab w:val="left" w:pos="520"/>
              </w:tabs>
              <w:spacing w:line="360" w:lineRule="auto"/>
              <w:ind w:firstLine="480" w:firstLineChars="200"/>
              <w:jc w:val="center"/>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大白纸、色拉油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0" w:type="pct"/>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2</w:t>
            </w:r>
          </w:p>
        </w:tc>
        <w:tc>
          <w:tcPr>
            <w:tcW w:w="2199" w:type="pct"/>
            <w:vAlign w:val="center"/>
          </w:tcPr>
          <w:p>
            <w:pPr>
              <w:spacing w:line="360" w:lineRule="auto"/>
              <w:ind w:firstLine="480" w:firstLineChars="200"/>
              <w:jc w:val="center"/>
              <w:rPr>
                <w:rFonts w:hint="default"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电子、机械类采购</w:t>
            </w:r>
          </w:p>
        </w:tc>
        <w:tc>
          <w:tcPr>
            <w:tcW w:w="2200" w:type="pct"/>
            <w:vAlign w:val="center"/>
          </w:tcPr>
          <w:p>
            <w:pPr>
              <w:spacing w:line="360" w:lineRule="auto"/>
              <w:ind w:firstLine="480" w:firstLineChars="200"/>
              <w:jc w:val="center"/>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铝棒、线手套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0" w:type="pct"/>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3</w:t>
            </w:r>
          </w:p>
        </w:tc>
        <w:tc>
          <w:tcPr>
            <w:tcW w:w="2199" w:type="pct"/>
            <w:vAlign w:val="center"/>
          </w:tcPr>
          <w:p>
            <w:pPr>
              <w:spacing w:line="360" w:lineRule="auto"/>
              <w:ind w:firstLine="480" w:firstLineChars="200"/>
              <w:jc w:val="center"/>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en-US" w:eastAsia="zh-CN"/>
              </w:rPr>
              <w:t>活物类采购</w:t>
            </w:r>
          </w:p>
        </w:tc>
        <w:tc>
          <w:tcPr>
            <w:tcW w:w="2200" w:type="pct"/>
            <w:vAlign w:val="center"/>
          </w:tcPr>
          <w:p>
            <w:pPr>
              <w:spacing w:line="360" w:lineRule="auto"/>
              <w:ind w:firstLine="480" w:firstLineChars="200"/>
              <w:jc w:val="center"/>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家兔、活羊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3" w:hRule="atLeast"/>
          <w:jc w:val="center"/>
        </w:trPr>
        <w:tc>
          <w:tcPr>
            <w:tcW w:w="600" w:type="pct"/>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4</w:t>
            </w:r>
          </w:p>
        </w:tc>
        <w:tc>
          <w:tcPr>
            <w:tcW w:w="2199" w:type="pct"/>
            <w:vAlign w:val="center"/>
          </w:tcPr>
          <w:p>
            <w:pPr>
              <w:spacing w:line="360" w:lineRule="auto"/>
              <w:ind w:firstLine="480" w:firstLineChars="200"/>
              <w:jc w:val="center"/>
              <w:rPr>
                <w:rFonts w:hint="default"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生鲜类采购</w:t>
            </w:r>
          </w:p>
        </w:tc>
        <w:tc>
          <w:tcPr>
            <w:tcW w:w="2200" w:type="pct"/>
            <w:vAlign w:val="center"/>
          </w:tcPr>
          <w:p>
            <w:pPr>
              <w:spacing w:line="360" w:lineRule="auto"/>
              <w:ind w:firstLine="480" w:firstLineChars="200"/>
              <w:jc w:val="center"/>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鸡蛋、冻鸡爪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0" w:type="pct"/>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5</w:t>
            </w:r>
          </w:p>
        </w:tc>
        <w:tc>
          <w:tcPr>
            <w:tcW w:w="2199" w:type="pct"/>
            <w:vAlign w:val="center"/>
          </w:tcPr>
          <w:p>
            <w:pPr>
              <w:spacing w:line="360" w:lineRule="auto"/>
              <w:ind w:firstLine="480" w:firstLineChars="200"/>
              <w:jc w:val="center"/>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en-US" w:eastAsia="zh-CN"/>
              </w:rPr>
              <w:t>实验器具类采购</w:t>
            </w:r>
          </w:p>
        </w:tc>
        <w:tc>
          <w:tcPr>
            <w:tcW w:w="2200" w:type="pct"/>
            <w:vAlign w:val="center"/>
          </w:tcPr>
          <w:p>
            <w:pPr>
              <w:spacing w:line="360" w:lineRule="auto"/>
              <w:ind w:firstLine="480" w:firstLineChars="200"/>
              <w:jc w:val="center"/>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培养皿、血糖仪配套采血针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0" w:type="pct"/>
            <w:vAlign w:val="center"/>
          </w:tcPr>
          <w:p>
            <w:pPr>
              <w:spacing w:line="360" w:lineRule="auto"/>
              <w:jc w:val="center"/>
              <w:rPr>
                <w:rFonts w:hint="eastAsia" w:ascii="宋体" w:hAnsi="宋体" w:cs="宋体" w:eastAsiaTheme="minorEastAsia"/>
                <w:b/>
                <w:bCs/>
                <w:color w:val="auto"/>
                <w:sz w:val="24"/>
                <w:highlight w:val="none"/>
                <w:lang w:val="en-US" w:eastAsia="zh-CN"/>
              </w:rPr>
            </w:pPr>
            <w:r>
              <w:rPr>
                <w:rFonts w:hint="eastAsia" w:ascii="宋体" w:hAnsi="宋体" w:cs="宋体"/>
                <w:b/>
                <w:bCs/>
                <w:color w:val="auto"/>
                <w:sz w:val="24"/>
                <w:highlight w:val="none"/>
                <w:lang w:val="en-US" w:eastAsia="zh-CN"/>
              </w:rPr>
              <w:t>6</w:t>
            </w:r>
          </w:p>
        </w:tc>
        <w:tc>
          <w:tcPr>
            <w:tcW w:w="2199" w:type="pct"/>
            <w:vAlign w:val="center"/>
          </w:tcPr>
          <w:p>
            <w:pPr>
              <w:spacing w:line="360" w:lineRule="auto"/>
              <w:ind w:firstLine="480" w:firstLineChars="200"/>
              <w:jc w:val="center"/>
              <w:rPr>
                <w:rFonts w:hint="default"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试剂类采购</w:t>
            </w:r>
          </w:p>
        </w:tc>
        <w:tc>
          <w:tcPr>
            <w:tcW w:w="2200" w:type="pct"/>
            <w:vAlign w:val="center"/>
          </w:tcPr>
          <w:p>
            <w:pPr>
              <w:spacing w:line="360" w:lineRule="auto"/>
              <w:ind w:firstLine="480" w:firstLineChars="200"/>
              <w:jc w:val="center"/>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血平板、抗A抗B血型定型试剂（单克隆抗体）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0" w:type="pct"/>
            <w:vAlign w:val="center"/>
          </w:tcPr>
          <w:p>
            <w:pPr>
              <w:spacing w:line="360" w:lineRule="auto"/>
              <w:jc w:val="center"/>
              <w:rPr>
                <w:rFonts w:hint="default"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7</w:t>
            </w:r>
          </w:p>
        </w:tc>
        <w:tc>
          <w:tcPr>
            <w:tcW w:w="2199" w:type="pct"/>
            <w:vAlign w:val="center"/>
          </w:tcPr>
          <w:p>
            <w:pPr>
              <w:spacing w:line="360" w:lineRule="auto"/>
              <w:ind w:firstLine="480" w:firstLineChars="200"/>
              <w:jc w:val="center"/>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危化品类采购</w:t>
            </w:r>
          </w:p>
        </w:tc>
        <w:tc>
          <w:tcPr>
            <w:tcW w:w="2200" w:type="pct"/>
            <w:vAlign w:val="center"/>
          </w:tcPr>
          <w:p>
            <w:pPr>
              <w:spacing w:line="360" w:lineRule="auto"/>
              <w:ind w:firstLine="482" w:firstLineChars="200"/>
              <w:jc w:val="center"/>
              <w:rPr>
                <w:rFonts w:hint="eastAsia" w:ascii="宋体" w:hAnsi="宋体" w:cs="宋体"/>
                <w:b/>
                <w:bCs/>
                <w:color w:val="auto"/>
                <w:sz w:val="24"/>
                <w:highlight w:val="none"/>
                <w:lang w:val="en-US" w:eastAsia="zh-CN"/>
              </w:rPr>
            </w:pPr>
            <w:r>
              <w:rPr>
                <w:rFonts w:hint="eastAsia" w:ascii="宋体" w:hAnsi="宋体" w:eastAsia="宋体" w:cs="宋体"/>
                <w:b/>
                <w:bCs/>
                <w:color w:val="auto"/>
                <w:sz w:val="24"/>
                <w:szCs w:val="24"/>
                <w:highlight w:val="none"/>
                <w:lang w:val="en-US" w:eastAsia="zh-CN"/>
              </w:rPr>
              <w:t>无水乙醇、硝酸银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0" w:type="pct"/>
            <w:vAlign w:val="center"/>
          </w:tcPr>
          <w:p>
            <w:pPr>
              <w:spacing w:line="360" w:lineRule="auto"/>
              <w:jc w:val="center"/>
              <w:rPr>
                <w:rFonts w:hint="default"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8</w:t>
            </w:r>
          </w:p>
        </w:tc>
        <w:tc>
          <w:tcPr>
            <w:tcW w:w="2199" w:type="pct"/>
            <w:vAlign w:val="center"/>
          </w:tcPr>
          <w:p>
            <w:pPr>
              <w:spacing w:line="360" w:lineRule="auto"/>
              <w:ind w:firstLine="480" w:firstLineChars="200"/>
              <w:jc w:val="center"/>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药材饮片类</w:t>
            </w:r>
          </w:p>
        </w:tc>
        <w:tc>
          <w:tcPr>
            <w:tcW w:w="2200" w:type="pct"/>
            <w:vAlign w:val="center"/>
          </w:tcPr>
          <w:p>
            <w:pPr>
              <w:spacing w:line="360" w:lineRule="auto"/>
              <w:ind w:firstLine="480" w:firstLineChars="200"/>
              <w:jc w:val="center"/>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北沙参、珍珠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0" w:type="pct"/>
            <w:vAlign w:val="center"/>
          </w:tcPr>
          <w:p>
            <w:pPr>
              <w:spacing w:line="360" w:lineRule="auto"/>
              <w:jc w:val="center"/>
              <w:rPr>
                <w:rFonts w:hint="default"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9</w:t>
            </w:r>
          </w:p>
        </w:tc>
        <w:tc>
          <w:tcPr>
            <w:tcW w:w="2199" w:type="pct"/>
            <w:vAlign w:val="center"/>
          </w:tcPr>
          <w:p>
            <w:pPr>
              <w:spacing w:line="360" w:lineRule="auto"/>
              <w:ind w:firstLine="480" w:firstLineChars="200"/>
              <w:jc w:val="center"/>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药品类</w:t>
            </w:r>
          </w:p>
        </w:tc>
        <w:tc>
          <w:tcPr>
            <w:tcW w:w="2200" w:type="pct"/>
            <w:vAlign w:val="center"/>
          </w:tcPr>
          <w:p>
            <w:pPr>
              <w:spacing w:line="360" w:lineRule="auto"/>
              <w:ind w:firstLine="480" w:firstLineChars="200"/>
              <w:jc w:val="center"/>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0.9%生理盐水、SS平板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00" w:type="pct"/>
            <w:vAlign w:val="center"/>
          </w:tcPr>
          <w:p>
            <w:pPr>
              <w:spacing w:line="360" w:lineRule="auto"/>
              <w:jc w:val="center"/>
              <w:rPr>
                <w:rFonts w:hint="default"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10</w:t>
            </w:r>
          </w:p>
        </w:tc>
        <w:tc>
          <w:tcPr>
            <w:tcW w:w="2199" w:type="pct"/>
            <w:vAlign w:val="center"/>
          </w:tcPr>
          <w:p>
            <w:pPr>
              <w:spacing w:line="360" w:lineRule="auto"/>
              <w:ind w:firstLine="480" w:firstLineChars="200"/>
              <w:jc w:val="center"/>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医用品类</w:t>
            </w:r>
          </w:p>
        </w:tc>
        <w:tc>
          <w:tcPr>
            <w:tcW w:w="2200" w:type="pct"/>
            <w:vAlign w:val="center"/>
          </w:tcPr>
          <w:p>
            <w:pPr>
              <w:spacing w:line="360" w:lineRule="auto"/>
              <w:ind w:firstLine="480" w:firstLineChars="200"/>
              <w:jc w:val="center"/>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导尿包、树脂牙粒</w:t>
            </w:r>
          </w:p>
        </w:tc>
      </w:tr>
    </w:tbl>
    <w:p>
      <w:pPr>
        <w:pStyle w:val="6"/>
        <w:spacing w:line="360" w:lineRule="auto"/>
        <w:ind w:left="1" w:firstLine="482" w:firstLineChars="200"/>
        <w:rPr>
          <w:rFonts w:hint="eastAsia" w:ascii="宋体" w:hAnsi="宋体" w:eastAsia="宋体" w:cs="宋体"/>
          <w:b/>
          <w:bCs/>
          <w:color w:val="auto"/>
          <w:sz w:val="24"/>
          <w:szCs w:val="24"/>
          <w:highlight w:val="none"/>
          <w:lang w:eastAsia="zh-CN"/>
        </w:rPr>
      </w:pPr>
      <w:r>
        <w:rPr>
          <w:rFonts w:hint="eastAsia"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节能产品、环境标志产品</w:t>
      </w:r>
      <w:r>
        <w:rPr>
          <w:rFonts w:hint="eastAsia" w:ascii="宋体" w:hAnsi="宋体" w:eastAsia="宋体" w:cs="宋体"/>
          <w:b/>
          <w:bCs/>
          <w:color w:val="auto"/>
          <w:sz w:val="24"/>
          <w:szCs w:val="24"/>
          <w:highlight w:val="none"/>
          <w:lang w:eastAsia="zh-CN"/>
        </w:rPr>
        <w:t>：无。</w:t>
      </w:r>
    </w:p>
    <w:p>
      <w:pPr>
        <w:pStyle w:val="6"/>
        <w:spacing w:line="360" w:lineRule="auto"/>
        <w:ind w:left="1" w:firstLine="482" w:firstLineChars="200"/>
        <w:rPr>
          <w:rFonts w:hint="eastAsia" w:ascii="宋体" w:hAnsi="宋体" w:eastAsia="宋体" w:cs="宋体"/>
          <w:b/>
          <w:bCs/>
          <w:color w:val="auto"/>
          <w:sz w:val="24"/>
          <w:szCs w:val="24"/>
          <w:highlight w:val="none"/>
          <w:lang w:val="en-US" w:eastAsia="zh-CN"/>
        </w:rPr>
      </w:pPr>
      <w:r>
        <w:rPr>
          <w:rFonts w:hint="eastAsia"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en-US" w:eastAsia="zh-CN"/>
        </w:rPr>
        <w:t>强制性节能产品：无。</w:t>
      </w:r>
    </w:p>
    <w:p>
      <w:pPr>
        <w:numPr>
          <w:ilvl w:val="0"/>
          <w:numId w:val="0"/>
        </w:num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（1）本项目需求内容若涉及节能产品、环境标志产品的，严格按照《财政部 发展改革委 生态环境部 市场监管总局 关于调整优化节能产品、环境标志产品政府采购执行机制的通知》(财库[2019]9号)、《财政部 发展改革委文件 关于印发节能产品政府采购品目清单的通知》（财库〔2019〕19号）、《市场监管总局关于发布参与实施政府采购节能产品、环境标志产品认证机构名录的公告（2019年第16号）》等文件执行。</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（2）本项目需求内容若涉及无线局域网产品的，严格按照《无线局域网产品政府采购实施意见》(财库[2005]366 号)等文件执行。</w:t>
      </w:r>
    </w:p>
    <w:p>
      <w:pPr>
        <w:spacing w:line="360" w:lineRule="auto"/>
        <w:ind w:firstLine="480"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凡是本项目产品属于政府采购强制性节能产品的，投标人须提供有效的节能产品认证证书（实质性要求），未提供的投标文件按无效响应处理。</w:t>
      </w:r>
    </w:p>
    <w:p>
      <w:pPr>
        <w:spacing w:line="360" w:lineRule="auto"/>
        <w:ind w:firstLine="480"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（4）采购清单中产品的技术参数描述如与特定品牌或者型号相匹配，仅作为技术参考，不代表特定产品，如参数中出现品牌或型号仅供参考，供应商可提供等同或优于参数要求的产品；</w:t>
      </w:r>
    </w:p>
    <w:p>
      <w:pPr>
        <w:spacing w:line="360" w:lineRule="auto"/>
        <w:ind w:firstLine="480" w:firstLineChars="200"/>
        <w:rPr>
          <w:rFonts w:hint="default"/>
          <w:color w:val="auto"/>
          <w:highlight w:val="none"/>
          <w:lang w:val="en-US" w:eastAsia="zh-CN"/>
        </w:rPr>
      </w:pPr>
      <w:r>
        <w:rPr>
          <w:rFonts w:hint="eastAsia" w:ascii="宋体" w:hAnsi="宋体" w:eastAsia="宋体" w:cs="宋体"/>
          <w:b w:val="0"/>
          <w:bCs/>
          <w:color w:val="auto"/>
          <w:sz w:val="24"/>
          <w:szCs w:val="24"/>
          <w:highlight w:val="none"/>
          <w:lang w:val="en-US" w:eastAsia="zh-CN"/>
        </w:rPr>
        <w:t>（5）除采购文件明确要求以外，本项目采购清单中采购标的名称，因采购人不能穷尽详列或通俗认知等原因，可能供应商提供的产品所对应的证书、证明材料对产品命名存在差别的，在满足技术参数要求前提下，本项目给予认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1162C"/>
    <w:multiLevelType w:val="singleLevel"/>
    <w:tmpl w:val="AA51162C"/>
    <w:lvl w:ilvl="0" w:tentative="0">
      <w:start w:val="1"/>
      <w:numFmt w:val="decimal"/>
      <w:suff w:val="nothing"/>
      <w:lvlText w:val="（%1）"/>
      <w:lvlJc w:val="left"/>
    </w:lvl>
  </w:abstractNum>
  <w:abstractNum w:abstractNumId="1">
    <w:nsid w:val="5F04E165"/>
    <w:multiLevelType w:val="singleLevel"/>
    <w:tmpl w:val="5F04E165"/>
    <w:lvl w:ilvl="0" w:tentative="0">
      <w:start w:val="1"/>
      <w:numFmt w:val="decimal"/>
      <w:suff w:val="nothing"/>
      <w:lvlText w:val="%1、"/>
      <w:lvlJc w:val="left"/>
    </w:lvl>
  </w:abstractNum>
  <w:abstractNum w:abstractNumId="2">
    <w:nsid w:val="6B32D570"/>
    <w:multiLevelType w:val="singleLevel"/>
    <w:tmpl w:val="6B32D570"/>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iNzEzYzQ5ZGNiYmY2Y2IxYjY1ZTdiMGE1NzVhMTcifQ=="/>
  </w:docVars>
  <w:rsids>
    <w:rsidRoot w:val="62531318"/>
    <w:rsid w:val="50DD42D9"/>
    <w:rsid w:val="62531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semiHidden/>
    <w:qFormat/>
    <w:uiPriority w:val="0"/>
    <w:rPr>
      <w:rFonts w:ascii="宋体" w:hAnsi="宋体" w:eastAsia="宋体" w:cs="宋体"/>
      <w:sz w:val="24"/>
      <w:szCs w:val="24"/>
      <w:lang w:val="en-US" w:eastAsia="en-US" w:bidi="ar-SA"/>
    </w:rPr>
  </w:style>
  <w:style w:type="paragraph" w:customStyle="1" w:styleId="5">
    <w:name w:val="样式 首行缩进:  2 字符"/>
    <w:basedOn w:val="1"/>
    <w:autoRedefine/>
    <w:qFormat/>
    <w:uiPriority w:val="0"/>
    <w:pPr>
      <w:spacing w:line="400" w:lineRule="exact"/>
      <w:ind w:firstLine="200" w:firstLineChars="200"/>
    </w:pPr>
    <w:rPr>
      <w:rFonts w:cs="宋体"/>
      <w:sz w:val="24"/>
    </w:rPr>
  </w:style>
  <w:style w:type="paragraph" w:customStyle="1" w:styleId="6">
    <w:name w:val="Normal"/>
    <w:autoRedefine/>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2024-01-22T08:23:00Z</dcterms:created>
  <dc:creator>WPS_1504444673</dc:creator>
  <cp:lastModifiedBy>WPS_1504444673</cp:lastModifiedBy>
  <dcterms:modified xsi:type="dcterms:W3CDTF">2024-01-22T08:25:41Z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9786A0B68F934E139EC8AB447F531FDC_11</vt:lpwstr>
  </property>
</Properties>
</file>