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120" w:line="360" w:lineRule="auto"/>
        <w:rPr>
          <w:rFonts w:hint="eastAsia"/>
          <w:sz w:val="28"/>
          <w:szCs w:val="28"/>
        </w:rPr>
      </w:pPr>
      <w:bookmarkStart w:id="0" w:name="_Toc146134293"/>
      <w:r>
        <w:rPr>
          <w:rFonts w:hint="eastAsia" w:ascii="宋体"/>
          <w:sz w:val="36"/>
          <w:szCs w:val="36"/>
        </w:rPr>
        <w:t>第五章</w:t>
      </w:r>
      <w:r>
        <w:rPr>
          <w:rFonts w:ascii="宋体"/>
          <w:sz w:val="36"/>
          <w:szCs w:val="36"/>
        </w:rPr>
        <w:t xml:space="preserve">  </w:t>
      </w:r>
      <w:r>
        <w:rPr>
          <w:rFonts w:hint="eastAsia" w:ascii="宋体"/>
          <w:sz w:val="36"/>
          <w:szCs w:val="36"/>
        </w:rPr>
        <w:t>采购项目技术、服务、政府采购合同内容条款及其他商务要求</w:t>
      </w:r>
      <w:bookmarkEnd w:id="0"/>
    </w:p>
    <w:p>
      <w:pPr>
        <w:pStyle w:val="3"/>
        <w:spacing w:beforeLines="50" w:afterLines="50" w:line="500" w:lineRule="exact"/>
        <w:rPr>
          <w:sz w:val="28"/>
          <w:szCs w:val="28"/>
        </w:rPr>
      </w:pPr>
      <w:bookmarkStart w:id="1" w:name="_Toc18180"/>
      <w:bookmarkStart w:id="2" w:name="_Toc463884104"/>
      <w:r>
        <w:rPr>
          <w:rFonts w:hint="eastAsia"/>
          <w:sz w:val="28"/>
          <w:szCs w:val="28"/>
        </w:rPr>
        <w:t>一、项目概况</w:t>
      </w:r>
      <w:bookmarkEnd w:id="1"/>
      <w:bookmarkEnd w:id="2"/>
    </w:p>
    <w:p>
      <w:pPr>
        <w:spacing w:line="480" w:lineRule="auto"/>
        <w:ind w:firstLine="480" w:firstLineChars="200"/>
        <w:rPr>
          <w:sz w:val="24"/>
          <w:szCs w:val="24"/>
        </w:rPr>
      </w:pPr>
      <w:r>
        <w:rPr>
          <w:rFonts w:hint="eastAsia" w:ascii="宋体" w:hAnsi="宋体"/>
          <w:sz w:val="24"/>
          <w:szCs w:val="24"/>
        </w:rPr>
        <w:t>（一）项目名称：</w:t>
      </w:r>
      <w:r>
        <w:rPr>
          <w:rFonts w:hint="eastAsia"/>
          <w:sz w:val="24"/>
          <w:szCs w:val="24"/>
        </w:rPr>
        <w:t>乐山高新区实验小学改扩建项目（工程材料检测费）</w:t>
      </w:r>
    </w:p>
    <w:p>
      <w:pPr>
        <w:spacing w:line="480" w:lineRule="auto"/>
        <w:ind w:firstLine="480" w:firstLineChars="200"/>
        <w:rPr>
          <w:rFonts w:ascii="宋体" w:hAnsi="宋体"/>
          <w:sz w:val="22"/>
        </w:rPr>
      </w:pPr>
      <w:r>
        <w:rPr>
          <w:rFonts w:hint="eastAsia" w:ascii="宋体" w:hAnsi="宋体"/>
          <w:sz w:val="24"/>
          <w:szCs w:val="24"/>
        </w:rPr>
        <w:t>（二）采购人：</w:t>
      </w:r>
      <w:r>
        <w:rPr>
          <w:rFonts w:hint="eastAsia"/>
          <w:sz w:val="24"/>
          <w:szCs w:val="24"/>
        </w:rPr>
        <w:t>乐山高新区实验小学</w:t>
      </w:r>
    </w:p>
    <w:p>
      <w:pPr>
        <w:spacing w:line="480" w:lineRule="auto"/>
        <w:ind w:firstLine="480" w:firstLineChars="200"/>
        <w:rPr>
          <w:rFonts w:ascii="宋体" w:hAnsi="宋体"/>
          <w:sz w:val="24"/>
          <w:szCs w:val="24"/>
        </w:rPr>
      </w:pPr>
      <w:r>
        <w:rPr>
          <w:rFonts w:hint="eastAsia" w:ascii="宋体" w:hAnsi="宋体"/>
          <w:sz w:val="24"/>
          <w:szCs w:val="24"/>
        </w:rPr>
        <w:t>（三）资金来源：财政性资金</w:t>
      </w:r>
    </w:p>
    <w:p>
      <w:pPr>
        <w:spacing w:line="480" w:lineRule="auto"/>
        <w:ind w:firstLine="480" w:firstLineChars="200"/>
        <w:rPr>
          <w:rFonts w:ascii="宋体" w:hAnsi="宋体"/>
          <w:sz w:val="24"/>
          <w:szCs w:val="24"/>
        </w:rPr>
      </w:pPr>
      <w:r>
        <w:rPr>
          <w:rFonts w:hint="eastAsia" w:ascii="宋体" w:hAnsi="宋体"/>
          <w:sz w:val="24"/>
          <w:szCs w:val="24"/>
        </w:rPr>
        <w:t>（四）采购</w:t>
      </w:r>
      <w:r>
        <w:rPr>
          <w:rFonts w:hint="eastAsia" w:ascii="宋体" w:hAnsi="宋体"/>
          <w:sz w:val="24"/>
          <w:szCs w:val="24"/>
          <w:lang w:val="en-US" w:eastAsia="zh-CN"/>
        </w:rPr>
        <w:t>最高限价</w:t>
      </w:r>
      <w:r>
        <w:rPr>
          <w:rFonts w:hint="eastAsia" w:ascii="宋体" w:hAnsi="宋体"/>
          <w:sz w:val="24"/>
          <w:szCs w:val="24"/>
        </w:rPr>
        <w:t>：¥163147.76元（人民币大写：壹拾陆万叁仟壹佰肆拾柒元零柒角陆分）</w:t>
      </w:r>
    </w:p>
    <w:p>
      <w:pPr>
        <w:pStyle w:val="3"/>
        <w:spacing w:beforeLines="50" w:afterLines="50" w:line="500" w:lineRule="exact"/>
        <w:rPr>
          <w:sz w:val="28"/>
          <w:szCs w:val="28"/>
        </w:rPr>
      </w:pPr>
      <w:bookmarkStart w:id="3" w:name="_Toc14971"/>
      <w:r>
        <w:rPr>
          <w:rFonts w:hint="eastAsia"/>
          <w:sz w:val="28"/>
          <w:szCs w:val="28"/>
        </w:rPr>
        <w:t>二、项目采购标的清单及其对应的中小企业划分标准所属行业</w:t>
      </w:r>
      <w:bookmarkEnd w:id="3"/>
    </w:p>
    <w:tbl>
      <w:tblPr>
        <w:tblStyle w:val="6"/>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3516"/>
        <w:gridCol w:w="1212"/>
        <w:gridCol w:w="959"/>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1" w:type="dxa"/>
            <w:noWrap w:val="0"/>
            <w:vAlign w:val="center"/>
          </w:tcPr>
          <w:p>
            <w:pPr>
              <w:spacing w:line="500" w:lineRule="exact"/>
              <w:jc w:val="center"/>
              <w:rPr>
                <w:rFonts w:ascii="宋体" w:hAnsi="宋体" w:cs="宋体"/>
                <w:color w:val="000000"/>
                <w:sz w:val="24"/>
                <w:szCs w:val="24"/>
              </w:rPr>
            </w:pPr>
            <w:r>
              <w:rPr>
                <w:rFonts w:hint="eastAsia" w:ascii="宋体" w:hAnsi="宋体" w:cs="宋体"/>
                <w:color w:val="000000"/>
                <w:sz w:val="24"/>
                <w:szCs w:val="24"/>
              </w:rPr>
              <w:t>序号</w:t>
            </w:r>
          </w:p>
        </w:tc>
        <w:tc>
          <w:tcPr>
            <w:tcW w:w="3516" w:type="dxa"/>
            <w:noWrap w:val="0"/>
            <w:vAlign w:val="center"/>
          </w:tcPr>
          <w:p>
            <w:pPr>
              <w:spacing w:line="500" w:lineRule="exact"/>
              <w:jc w:val="center"/>
              <w:rPr>
                <w:rFonts w:ascii="宋体" w:hAnsi="宋体" w:cs="宋体"/>
                <w:color w:val="000000"/>
                <w:sz w:val="24"/>
                <w:szCs w:val="24"/>
              </w:rPr>
            </w:pPr>
            <w:r>
              <w:rPr>
                <w:rFonts w:hint="eastAsia" w:ascii="宋体" w:hAnsi="宋体" w:cs="宋体"/>
                <w:color w:val="000000"/>
                <w:sz w:val="24"/>
                <w:szCs w:val="24"/>
              </w:rPr>
              <w:t>采购标的</w:t>
            </w:r>
          </w:p>
        </w:tc>
        <w:tc>
          <w:tcPr>
            <w:tcW w:w="1212" w:type="dxa"/>
            <w:noWrap w:val="0"/>
            <w:vAlign w:val="center"/>
          </w:tcPr>
          <w:p>
            <w:pPr>
              <w:spacing w:line="500" w:lineRule="exact"/>
              <w:jc w:val="center"/>
              <w:rPr>
                <w:rFonts w:ascii="宋体" w:hAnsi="宋体" w:cs="宋体"/>
                <w:color w:val="000000"/>
                <w:sz w:val="24"/>
                <w:szCs w:val="24"/>
              </w:rPr>
            </w:pPr>
            <w:r>
              <w:rPr>
                <w:rFonts w:hint="eastAsia" w:ascii="宋体" w:hAnsi="宋体" w:cs="宋体"/>
                <w:color w:val="000000"/>
                <w:sz w:val="24"/>
                <w:szCs w:val="24"/>
              </w:rPr>
              <w:t>数量</w:t>
            </w:r>
          </w:p>
        </w:tc>
        <w:tc>
          <w:tcPr>
            <w:tcW w:w="959" w:type="dxa"/>
            <w:noWrap w:val="0"/>
            <w:vAlign w:val="center"/>
          </w:tcPr>
          <w:p>
            <w:pPr>
              <w:spacing w:line="500" w:lineRule="exact"/>
              <w:jc w:val="center"/>
              <w:rPr>
                <w:rFonts w:ascii="宋体" w:hAnsi="宋体" w:cs="宋体"/>
                <w:color w:val="000000"/>
                <w:sz w:val="24"/>
                <w:szCs w:val="24"/>
              </w:rPr>
            </w:pPr>
            <w:r>
              <w:rPr>
                <w:rFonts w:hint="eastAsia" w:ascii="宋体" w:hAnsi="宋体" w:cs="宋体"/>
                <w:color w:val="000000"/>
                <w:sz w:val="24"/>
                <w:szCs w:val="24"/>
              </w:rPr>
              <w:t>单位</w:t>
            </w:r>
          </w:p>
        </w:tc>
        <w:tc>
          <w:tcPr>
            <w:tcW w:w="2573" w:type="dxa"/>
            <w:noWrap w:val="0"/>
            <w:vAlign w:val="center"/>
          </w:tcPr>
          <w:p>
            <w:pPr>
              <w:spacing w:line="500" w:lineRule="exact"/>
              <w:jc w:val="center"/>
              <w:rPr>
                <w:rFonts w:ascii="宋体" w:hAnsi="宋体" w:cs="宋体"/>
                <w:color w:val="000000"/>
                <w:sz w:val="24"/>
                <w:szCs w:val="24"/>
              </w:rPr>
            </w:pPr>
            <w:r>
              <w:rPr>
                <w:rFonts w:hint="eastAsia" w:ascii="宋体" w:hAnsi="宋体" w:cs="宋体"/>
                <w:color w:val="000000"/>
                <w:sz w:val="24"/>
                <w:szCs w:val="24"/>
              </w:rPr>
              <w:t>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1" w:type="dxa"/>
            <w:noWrap w:val="0"/>
            <w:vAlign w:val="center"/>
          </w:tcPr>
          <w:p>
            <w:pPr>
              <w:widowControl/>
              <w:spacing w:line="5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3516" w:type="dxa"/>
            <w:noWrap w:val="0"/>
            <w:vAlign w:val="center"/>
          </w:tcPr>
          <w:p>
            <w:pPr>
              <w:widowControl/>
              <w:spacing w:line="500" w:lineRule="exact"/>
              <w:jc w:val="center"/>
              <w:textAlignment w:val="center"/>
              <w:rPr>
                <w:rFonts w:ascii="宋体" w:hAnsi="宋体" w:cs="宋体"/>
                <w:color w:val="000000"/>
                <w:sz w:val="24"/>
                <w:szCs w:val="24"/>
              </w:rPr>
            </w:pPr>
            <w:r>
              <w:rPr>
                <w:rFonts w:hint="eastAsia"/>
                <w:sz w:val="24"/>
                <w:szCs w:val="24"/>
              </w:rPr>
              <w:t>乐山高新区实验小学改扩建项目（工程材料检测费）</w:t>
            </w:r>
          </w:p>
        </w:tc>
        <w:tc>
          <w:tcPr>
            <w:tcW w:w="1212" w:type="dxa"/>
            <w:noWrap w:val="0"/>
            <w:vAlign w:val="center"/>
          </w:tcPr>
          <w:p>
            <w:pPr>
              <w:widowControl/>
              <w:spacing w:line="500" w:lineRule="exact"/>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959" w:type="dxa"/>
            <w:noWrap w:val="0"/>
            <w:vAlign w:val="center"/>
          </w:tcPr>
          <w:p>
            <w:pPr>
              <w:widowControl/>
              <w:spacing w:line="500" w:lineRule="exact"/>
              <w:jc w:val="center"/>
              <w:textAlignment w:val="center"/>
              <w:rPr>
                <w:rFonts w:ascii="宋体" w:hAnsi="宋体" w:cs="宋体"/>
                <w:color w:val="000000"/>
                <w:sz w:val="24"/>
                <w:szCs w:val="24"/>
              </w:rPr>
            </w:pPr>
            <w:r>
              <w:rPr>
                <w:rFonts w:hint="eastAsia" w:ascii="宋体" w:hAnsi="宋体" w:cs="宋体"/>
                <w:color w:val="000000"/>
                <w:sz w:val="24"/>
                <w:szCs w:val="24"/>
              </w:rPr>
              <w:t>项</w:t>
            </w:r>
          </w:p>
        </w:tc>
        <w:tc>
          <w:tcPr>
            <w:tcW w:w="2573" w:type="dxa"/>
            <w:noWrap w:val="0"/>
            <w:vAlign w:val="center"/>
          </w:tcPr>
          <w:p>
            <w:pPr>
              <w:spacing w:line="500" w:lineRule="exact"/>
              <w:jc w:val="center"/>
              <w:rPr>
                <w:rFonts w:ascii="宋体" w:hAnsi="宋体" w:cs="宋体"/>
                <w:color w:val="000000"/>
                <w:sz w:val="24"/>
                <w:szCs w:val="24"/>
              </w:rPr>
            </w:pPr>
            <w:r>
              <w:rPr>
                <w:rFonts w:hint="eastAsia" w:ascii="宋体" w:hAnsi="宋体" w:cs="宋体"/>
                <w:color w:val="000000"/>
                <w:sz w:val="24"/>
              </w:rPr>
              <w:t>其他未列明行业</w:t>
            </w:r>
          </w:p>
        </w:tc>
      </w:tr>
    </w:tbl>
    <w:p>
      <w:pPr>
        <w:pStyle w:val="3"/>
        <w:spacing w:beforeLines="50" w:afterLines="50" w:line="400" w:lineRule="exact"/>
        <w:rPr>
          <w:sz w:val="28"/>
          <w:szCs w:val="28"/>
        </w:rPr>
      </w:pPr>
      <w:bookmarkStart w:id="4" w:name="_Toc106978746"/>
      <w:bookmarkStart w:id="5" w:name="_Toc106978697"/>
      <w:bookmarkStart w:id="6" w:name="_Toc11331"/>
      <w:r>
        <w:rPr>
          <w:rFonts w:hint="eastAsia"/>
          <w:sz w:val="28"/>
          <w:szCs w:val="28"/>
        </w:rPr>
        <w:t>三</w:t>
      </w:r>
      <w:r>
        <w:rPr>
          <w:sz w:val="28"/>
          <w:szCs w:val="28"/>
        </w:rPr>
        <w:t>、</w:t>
      </w:r>
      <w:r>
        <w:rPr>
          <w:rFonts w:hint="eastAsia"/>
          <w:sz w:val="28"/>
          <w:szCs w:val="28"/>
        </w:rPr>
        <w:t>项目服务</w:t>
      </w:r>
      <w:r>
        <w:rPr>
          <w:sz w:val="28"/>
          <w:szCs w:val="28"/>
        </w:rPr>
        <w:t>内容及</w:t>
      </w:r>
      <w:r>
        <w:rPr>
          <w:rFonts w:hint="eastAsia"/>
          <w:sz w:val="28"/>
          <w:szCs w:val="28"/>
        </w:rPr>
        <w:t>要</w:t>
      </w:r>
      <w:r>
        <w:rPr>
          <w:sz w:val="28"/>
          <w:szCs w:val="28"/>
        </w:rPr>
        <w:t>求</w:t>
      </w:r>
      <w:bookmarkEnd w:id="4"/>
      <w:bookmarkEnd w:id="5"/>
      <w:r>
        <w:rPr>
          <w:rFonts w:hint="eastAsia"/>
          <w:sz w:val="28"/>
          <w:szCs w:val="28"/>
        </w:rPr>
        <w:t>（实质性要求）</w:t>
      </w:r>
      <w:bookmarkEnd w:id="6"/>
    </w:p>
    <w:p>
      <w:pPr>
        <w:spacing w:line="400" w:lineRule="exact"/>
        <w:ind w:firstLine="482" w:firstLineChars="200"/>
        <w:jc w:val="left"/>
        <w:rPr>
          <w:rFonts w:ascii="宋体" w:hAnsi="宋体"/>
          <w:b/>
          <w:sz w:val="24"/>
          <w:szCs w:val="24"/>
        </w:rPr>
      </w:pPr>
      <w:r>
        <w:rPr>
          <w:rFonts w:hint="eastAsia" w:ascii="宋体" w:hAnsi="宋体"/>
          <w:b/>
          <w:sz w:val="24"/>
          <w:szCs w:val="24"/>
        </w:rPr>
        <w:t>（一）服务</w:t>
      </w:r>
      <w:r>
        <w:rPr>
          <w:rFonts w:ascii="宋体" w:hAnsi="宋体"/>
          <w:b/>
          <w:sz w:val="24"/>
          <w:szCs w:val="24"/>
        </w:rPr>
        <w:t>内容</w:t>
      </w:r>
    </w:p>
    <w:tbl>
      <w:tblPr>
        <w:tblStyle w:val="5"/>
        <w:tblW w:w="8505"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275"/>
        <w:gridCol w:w="2410"/>
        <w:gridCol w:w="2410"/>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51" w:type="dxa"/>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检测内容</w:t>
            </w:r>
          </w:p>
        </w:tc>
        <w:tc>
          <w:tcPr>
            <w:tcW w:w="1275" w:type="dxa"/>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检测材料</w:t>
            </w:r>
          </w:p>
        </w:tc>
        <w:tc>
          <w:tcPr>
            <w:tcW w:w="2410" w:type="dxa"/>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检测参数</w:t>
            </w:r>
          </w:p>
        </w:tc>
        <w:tc>
          <w:tcPr>
            <w:tcW w:w="2410" w:type="dxa"/>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检测频率</w:t>
            </w:r>
          </w:p>
        </w:tc>
        <w:tc>
          <w:tcPr>
            <w:tcW w:w="709" w:type="dxa"/>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850" w:type="dxa"/>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预估数量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51"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建筑原材</w:t>
            </w:r>
          </w:p>
        </w:tc>
        <w:tc>
          <w:tcPr>
            <w:tcW w:w="1275"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钢筋原材</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屈服强度、抗拉强度Φ≤22</w:t>
            </w:r>
          </w:p>
        </w:tc>
        <w:tc>
          <w:tcPr>
            <w:tcW w:w="2410" w:type="dxa"/>
            <w:vMerge w:val="restart"/>
            <w:noWrap w:val="0"/>
            <w:vAlign w:val="center"/>
          </w:tcPr>
          <w:p>
            <w:pPr>
              <w:widowControl/>
              <w:ind w:firstLine="240" w:firstLineChars="100"/>
              <w:jc w:val="center"/>
              <w:rPr>
                <w:rFonts w:ascii="宋体" w:hAnsi="宋体" w:cs="宋体"/>
                <w:color w:val="FF0000"/>
                <w:kern w:val="0"/>
                <w:sz w:val="24"/>
                <w:szCs w:val="24"/>
              </w:rPr>
            </w:pPr>
            <w:r>
              <w:rPr>
                <w:rFonts w:hint="eastAsia" w:ascii="宋体" w:hAnsi="宋体" w:cs="宋体"/>
                <w:kern w:val="0"/>
                <w:sz w:val="24"/>
                <w:szCs w:val="24"/>
              </w:rPr>
              <w:t>不大于60t为一批</w:t>
            </w:r>
          </w:p>
        </w:tc>
        <w:tc>
          <w:tcPr>
            <w:tcW w:w="709"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屈服强度、抗拉强度Φ=25</w:t>
            </w:r>
          </w:p>
        </w:tc>
        <w:tc>
          <w:tcPr>
            <w:tcW w:w="2410" w:type="dxa"/>
            <w:vMerge w:val="continue"/>
            <w:noWrap w:val="0"/>
            <w:vAlign w:val="center"/>
          </w:tcPr>
          <w:p>
            <w:pPr>
              <w:widowControl/>
              <w:ind w:firstLine="240" w:firstLineChars="100"/>
              <w:jc w:val="center"/>
              <w:rPr>
                <w:rFonts w:ascii="宋体" w:hAnsi="宋体" w:cs="宋体"/>
                <w:color w:val="FF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屈服强度、抗拉强度Φ≥28</w:t>
            </w:r>
          </w:p>
        </w:tc>
        <w:tc>
          <w:tcPr>
            <w:tcW w:w="2410" w:type="dxa"/>
            <w:vMerge w:val="continue"/>
            <w:noWrap w:val="0"/>
            <w:vAlign w:val="center"/>
          </w:tcPr>
          <w:p>
            <w:pPr>
              <w:widowControl/>
              <w:ind w:firstLine="240" w:firstLineChars="100"/>
              <w:jc w:val="center"/>
              <w:rPr>
                <w:rFonts w:ascii="宋体" w:hAnsi="宋体" w:cs="宋体"/>
                <w:color w:val="FF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弯曲</w:t>
            </w:r>
          </w:p>
        </w:tc>
        <w:tc>
          <w:tcPr>
            <w:tcW w:w="2410" w:type="dxa"/>
            <w:vMerge w:val="continue"/>
            <w:noWrap w:val="0"/>
            <w:vAlign w:val="center"/>
          </w:tcPr>
          <w:p>
            <w:pPr>
              <w:widowControl/>
              <w:ind w:firstLine="240" w:firstLineChars="100"/>
              <w:jc w:val="center"/>
              <w:rPr>
                <w:rFonts w:ascii="宋体" w:hAnsi="宋体" w:cs="宋体"/>
                <w:color w:val="FF0000"/>
                <w:kern w:val="0"/>
                <w:sz w:val="24"/>
                <w:szCs w:val="24"/>
              </w:rPr>
            </w:pPr>
          </w:p>
        </w:tc>
        <w:tc>
          <w:tcPr>
            <w:tcW w:w="709"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85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伸长率</w:t>
            </w:r>
          </w:p>
        </w:tc>
        <w:tc>
          <w:tcPr>
            <w:tcW w:w="2410" w:type="dxa"/>
            <w:vMerge w:val="continue"/>
            <w:noWrap w:val="0"/>
            <w:vAlign w:val="center"/>
          </w:tcPr>
          <w:p>
            <w:pPr>
              <w:widowControl/>
              <w:ind w:firstLine="240" w:firstLineChars="100"/>
              <w:jc w:val="center"/>
              <w:rPr>
                <w:rFonts w:ascii="宋体" w:hAnsi="宋体" w:cs="宋体"/>
                <w:color w:val="FF0000"/>
                <w:kern w:val="0"/>
                <w:sz w:val="24"/>
                <w:szCs w:val="24"/>
              </w:rPr>
            </w:pPr>
          </w:p>
        </w:tc>
        <w:tc>
          <w:tcPr>
            <w:tcW w:w="709"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重量偏差</w:t>
            </w:r>
          </w:p>
        </w:tc>
        <w:tc>
          <w:tcPr>
            <w:tcW w:w="2410" w:type="dxa"/>
            <w:vMerge w:val="continue"/>
            <w:noWrap w:val="0"/>
            <w:vAlign w:val="center"/>
          </w:tcPr>
          <w:p>
            <w:pPr>
              <w:widowControl/>
              <w:ind w:firstLine="240" w:firstLineChars="100"/>
              <w:jc w:val="center"/>
              <w:rPr>
                <w:rFonts w:ascii="宋体" w:hAnsi="宋体" w:cs="宋体"/>
                <w:color w:val="FF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钢筋焊接</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抗拉强度Φ≤22</w:t>
            </w:r>
          </w:p>
        </w:tc>
        <w:tc>
          <w:tcPr>
            <w:tcW w:w="2410" w:type="dxa"/>
            <w:vMerge w:val="restart"/>
            <w:noWrap w:val="0"/>
            <w:vAlign w:val="center"/>
          </w:tcPr>
          <w:p>
            <w:pPr>
              <w:widowControl/>
              <w:ind w:firstLine="240" w:firstLineChars="100"/>
              <w:jc w:val="center"/>
              <w:rPr>
                <w:rFonts w:ascii="宋体" w:hAnsi="宋体" w:cs="宋体"/>
                <w:color w:val="FF0000"/>
                <w:kern w:val="0"/>
                <w:sz w:val="24"/>
                <w:szCs w:val="24"/>
              </w:rPr>
            </w:pPr>
            <w:r>
              <w:rPr>
                <w:rFonts w:hint="eastAsia" w:ascii="宋体" w:hAnsi="宋体" w:cs="宋体"/>
                <w:kern w:val="0"/>
                <w:sz w:val="24"/>
                <w:szCs w:val="24"/>
              </w:rPr>
              <w:t>不大于300个为一批</w:t>
            </w:r>
          </w:p>
        </w:tc>
        <w:tc>
          <w:tcPr>
            <w:tcW w:w="709"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抗拉强度Φ=25</w:t>
            </w:r>
          </w:p>
        </w:tc>
        <w:tc>
          <w:tcPr>
            <w:tcW w:w="2410" w:type="dxa"/>
            <w:vMerge w:val="continue"/>
            <w:noWrap w:val="0"/>
            <w:vAlign w:val="center"/>
          </w:tcPr>
          <w:p>
            <w:pPr>
              <w:widowControl/>
              <w:ind w:firstLine="240" w:firstLineChars="100"/>
              <w:jc w:val="center"/>
              <w:rPr>
                <w:rFonts w:ascii="宋体" w:hAnsi="宋体" w:cs="宋体"/>
                <w:color w:val="FF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抗拉强度Φ≥28</w:t>
            </w:r>
          </w:p>
        </w:tc>
        <w:tc>
          <w:tcPr>
            <w:tcW w:w="2410" w:type="dxa"/>
            <w:vMerge w:val="continue"/>
            <w:noWrap w:val="0"/>
            <w:vAlign w:val="center"/>
          </w:tcPr>
          <w:p>
            <w:pPr>
              <w:widowControl/>
              <w:ind w:firstLine="240" w:firstLineChars="100"/>
              <w:jc w:val="center"/>
              <w:rPr>
                <w:rFonts w:ascii="宋体" w:hAnsi="宋体" w:cs="宋体"/>
                <w:color w:val="FF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钢筋机械连接</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抗拉强度Φ≤22</w:t>
            </w:r>
          </w:p>
        </w:tc>
        <w:tc>
          <w:tcPr>
            <w:tcW w:w="2410" w:type="dxa"/>
            <w:vMerge w:val="restart"/>
            <w:noWrap w:val="0"/>
            <w:vAlign w:val="center"/>
          </w:tcPr>
          <w:p>
            <w:pPr>
              <w:widowControl/>
              <w:ind w:firstLine="240" w:firstLineChars="100"/>
              <w:jc w:val="center"/>
              <w:rPr>
                <w:rFonts w:ascii="宋体" w:hAnsi="宋体" w:cs="宋体"/>
                <w:color w:val="FF0000"/>
                <w:kern w:val="0"/>
                <w:sz w:val="24"/>
                <w:szCs w:val="24"/>
              </w:rPr>
            </w:pPr>
            <w:r>
              <w:rPr>
                <w:rFonts w:hint="eastAsia" w:ascii="宋体" w:hAnsi="宋体" w:cs="宋体"/>
                <w:kern w:val="0"/>
                <w:sz w:val="24"/>
                <w:szCs w:val="24"/>
              </w:rPr>
              <w:t>不大于500个为一批</w:t>
            </w:r>
          </w:p>
        </w:tc>
        <w:tc>
          <w:tcPr>
            <w:tcW w:w="709"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抗拉强度Φ=25</w:t>
            </w:r>
          </w:p>
        </w:tc>
        <w:tc>
          <w:tcPr>
            <w:tcW w:w="2410" w:type="dxa"/>
            <w:vMerge w:val="continue"/>
            <w:noWrap w:val="0"/>
            <w:vAlign w:val="center"/>
          </w:tcPr>
          <w:p>
            <w:pPr>
              <w:widowControl/>
              <w:ind w:firstLine="240" w:firstLineChars="100"/>
              <w:jc w:val="center"/>
              <w:rPr>
                <w:rFonts w:ascii="宋体" w:hAnsi="宋体" w:cs="宋体"/>
                <w:color w:val="FF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抗拉强度Φ≥28</w:t>
            </w:r>
          </w:p>
        </w:tc>
        <w:tc>
          <w:tcPr>
            <w:tcW w:w="2410" w:type="dxa"/>
            <w:vMerge w:val="continue"/>
            <w:noWrap w:val="0"/>
            <w:vAlign w:val="center"/>
          </w:tcPr>
          <w:p>
            <w:pPr>
              <w:widowControl/>
              <w:ind w:firstLine="240" w:firstLineChars="100"/>
              <w:jc w:val="center"/>
              <w:rPr>
                <w:rFonts w:ascii="宋体" w:hAnsi="宋体" w:cs="宋体"/>
                <w:color w:val="FF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钢材</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屈服强度</w:t>
            </w:r>
          </w:p>
        </w:tc>
        <w:tc>
          <w:tcPr>
            <w:tcW w:w="2410" w:type="dxa"/>
            <w:vMerge w:val="restart"/>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同批钢材量≤500吨，检验批量标准值为180吨；同批钢材量501～900吨，检验批量标准值为240吨；同批钢材量901～1500吨，检验批量标准值为300吨。</w:t>
            </w:r>
          </w:p>
        </w:tc>
        <w:tc>
          <w:tcPr>
            <w:tcW w:w="709"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vMerge w:val="restart"/>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抗拉强度</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伸长率</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弯曲</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螺栓</w:t>
            </w:r>
          </w:p>
        </w:tc>
        <w:tc>
          <w:tcPr>
            <w:tcW w:w="2410" w:type="dxa"/>
            <w:tcBorders>
              <w:bottom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扭矩系数</w:t>
            </w:r>
          </w:p>
        </w:tc>
        <w:tc>
          <w:tcPr>
            <w:tcW w:w="2410" w:type="dxa"/>
            <w:vMerge w:val="restart"/>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同一生产厂家、同一品种、同一规格、同一批次检查一次。</w:t>
            </w:r>
          </w:p>
        </w:tc>
        <w:tc>
          <w:tcPr>
            <w:tcW w:w="709"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抗滑移系数</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胶粘剂</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粘接强度</w:t>
            </w:r>
          </w:p>
        </w:tc>
        <w:tc>
          <w:tcPr>
            <w:tcW w:w="2410" w:type="dxa"/>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同一生产厂家、同一品种、同一规格、同一批次检查一次。</w:t>
            </w:r>
          </w:p>
        </w:tc>
        <w:tc>
          <w:tcPr>
            <w:tcW w:w="709"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碳纤维布</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抗拉强度</w:t>
            </w:r>
          </w:p>
        </w:tc>
        <w:tc>
          <w:tcPr>
            <w:tcW w:w="2410" w:type="dxa"/>
            <w:vMerge w:val="restart"/>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同一生产厂家、同一品种、同一规格、同一批次检查一次。</w:t>
            </w:r>
          </w:p>
        </w:tc>
        <w:tc>
          <w:tcPr>
            <w:tcW w:w="709"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伸长率</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混凝土</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抗压强度</w:t>
            </w:r>
          </w:p>
        </w:tc>
        <w:tc>
          <w:tcPr>
            <w:tcW w:w="2410" w:type="dxa"/>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每工作班/部位不少于1组</w:t>
            </w:r>
          </w:p>
        </w:tc>
        <w:tc>
          <w:tcPr>
            <w:tcW w:w="709"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抗渗混凝土</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抗渗等级</w:t>
            </w:r>
          </w:p>
        </w:tc>
        <w:tc>
          <w:tcPr>
            <w:tcW w:w="2410" w:type="dxa"/>
            <w:noWrap w:val="0"/>
            <w:vAlign w:val="center"/>
          </w:tcPr>
          <w:p>
            <w:pPr>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每500m</w:t>
            </w:r>
            <w:r>
              <w:rPr>
                <w:rFonts w:hint="eastAsia" w:ascii="宋体" w:hAnsi="宋体" w:cs="宋体"/>
                <w:color w:val="000000"/>
                <w:kern w:val="0"/>
                <w:sz w:val="24"/>
                <w:szCs w:val="24"/>
                <w:vertAlign w:val="superscript"/>
              </w:rPr>
              <w:t>3</w:t>
            </w:r>
            <w:r>
              <w:rPr>
                <w:rFonts w:hint="eastAsia" w:ascii="宋体" w:hAnsi="宋体" w:cs="宋体"/>
                <w:color w:val="000000"/>
                <w:kern w:val="0"/>
                <w:sz w:val="24"/>
                <w:szCs w:val="24"/>
              </w:rPr>
              <w:t>为一批；连续浇筑超过2000m</w:t>
            </w:r>
            <w:r>
              <w:rPr>
                <w:rFonts w:hint="eastAsia" w:ascii="宋体" w:hAnsi="宋体" w:cs="宋体"/>
                <w:color w:val="000000"/>
                <w:kern w:val="0"/>
                <w:sz w:val="24"/>
                <w:szCs w:val="24"/>
                <w:vertAlign w:val="superscript"/>
              </w:rPr>
              <w:t>3</w:t>
            </w:r>
            <w:r>
              <w:rPr>
                <w:rFonts w:hint="eastAsia" w:ascii="宋体" w:hAnsi="宋体" w:cs="宋体"/>
                <w:color w:val="000000"/>
                <w:kern w:val="0"/>
                <w:sz w:val="24"/>
                <w:szCs w:val="24"/>
              </w:rPr>
              <w:t>时，每1000m</w:t>
            </w:r>
            <w:r>
              <w:rPr>
                <w:rFonts w:hint="eastAsia" w:ascii="宋体" w:hAnsi="宋体" w:cs="宋体"/>
                <w:color w:val="000000"/>
                <w:kern w:val="0"/>
                <w:sz w:val="24"/>
                <w:szCs w:val="24"/>
                <w:vertAlign w:val="superscript"/>
              </w:rPr>
              <w:t>3</w:t>
            </w:r>
            <w:r>
              <w:rPr>
                <w:rFonts w:hint="eastAsia" w:ascii="宋体" w:hAnsi="宋体" w:cs="宋体"/>
                <w:color w:val="000000"/>
                <w:kern w:val="0"/>
                <w:sz w:val="24"/>
                <w:szCs w:val="24"/>
              </w:rPr>
              <w:t>取一组</w:t>
            </w:r>
          </w:p>
        </w:tc>
        <w:tc>
          <w:tcPr>
            <w:tcW w:w="709" w:type="dxa"/>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建筑原材</w:t>
            </w:r>
          </w:p>
        </w:tc>
        <w:tc>
          <w:tcPr>
            <w:tcW w:w="1275" w:type="dxa"/>
            <w:vMerge w:val="restart"/>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烧结砖</w:t>
            </w:r>
          </w:p>
        </w:tc>
        <w:tc>
          <w:tcPr>
            <w:tcW w:w="2410" w:type="dxa"/>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抗压强度</w:t>
            </w:r>
          </w:p>
        </w:tc>
        <w:tc>
          <w:tcPr>
            <w:tcW w:w="2410" w:type="dxa"/>
            <w:vMerge w:val="restart"/>
            <w:noWrap w:val="0"/>
            <w:vAlign w:val="center"/>
          </w:tcPr>
          <w:p>
            <w:pPr>
              <w:widowControl/>
              <w:ind w:firstLine="240" w:firstLineChars="100"/>
              <w:jc w:val="center"/>
              <w:rPr>
                <w:rFonts w:ascii="宋体" w:hAnsi="宋体" w:cs="宋体"/>
                <w:color w:val="FF0000"/>
                <w:kern w:val="0"/>
                <w:sz w:val="24"/>
                <w:szCs w:val="24"/>
              </w:rPr>
            </w:pPr>
            <w:r>
              <w:rPr>
                <w:rFonts w:hint="eastAsia" w:ascii="宋体" w:hAnsi="宋体" w:cs="宋体"/>
                <w:kern w:val="0"/>
                <w:sz w:val="24"/>
                <w:szCs w:val="24"/>
              </w:rPr>
              <w:t>不大于15万块为一批</w:t>
            </w:r>
          </w:p>
        </w:tc>
        <w:tc>
          <w:tcPr>
            <w:tcW w:w="709" w:type="dxa"/>
            <w:vMerge w:val="restart"/>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组</w:t>
            </w:r>
          </w:p>
        </w:tc>
        <w:tc>
          <w:tcPr>
            <w:tcW w:w="850" w:type="dxa"/>
            <w:vMerge w:val="restart"/>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kern w:val="0"/>
                <w:sz w:val="24"/>
                <w:szCs w:val="24"/>
              </w:rPr>
            </w:pPr>
          </w:p>
        </w:tc>
        <w:tc>
          <w:tcPr>
            <w:tcW w:w="2410" w:type="dxa"/>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密度</w:t>
            </w:r>
          </w:p>
        </w:tc>
        <w:tc>
          <w:tcPr>
            <w:tcW w:w="2410" w:type="dxa"/>
            <w:vMerge w:val="continue"/>
            <w:noWrap w:val="0"/>
            <w:vAlign w:val="center"/>
          </w:tcPr>
          <w:p>
            <w:pPr>
              <w:widowControl/>
              <w:ind w:firstLine="240" w:firstLineChars="100"/>
              <w:jc w:val="center"/>
              <w:rPr>
                <w:rFonts w:ascii="宋体" w:hAnsi="宋体" w:cs="宋体"/>
                <w:color w:val="FF0000"/>
                <w:kern w:val="0"/>
                <w:sz w:val="24"/>
                <w:szCs w:val="24"/>
              </w:rPr>
            </w:pPr>
          </w:p>
        </w:tc>
        <w:tc>
          <w:tcPr>
            <w:tcW w:w="709" w:type="dxa"/>
            <w:vMerge w:val="continue"/>
            <w:noWrap w:val="0"/>
            <w:vAlign w:val="center"/>
          </w:tcPr>
          <w:p>
            <w:pPr>
              <w:widowControl/>
              <w:jc w:val="center"/>
              <w:rPr>
                <w:rFonts w:ascii="宋体" w:hAnsi="宋体" w:cs="宋体"/>
                <w:kern w:val="0"/>
                <w:sz w:val="24"/>
                <w:szCs w:val="24"/>
              </w:rPr>
            </w:pPr>
          </w:p>
        </w:tc>
        <w:tc>
          <w:tcPr>
            <w:tcW w:w="850" w:type="dxa"/>
            <w:vMerge w:val="continue"/>
            <w:noWrap w:val="0"/>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防水卷材</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外观</w:t>
            </w:r>
          </w:p>
        </w:tc>
        <w:tc>
          <w:tcPr>
            <w:tcW w:w="2410" w:type="dxa"/>
            <w:vMerge w:val="restart"/>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同一生产厂家、同一品种、同一规格、同一批次检查一次。</w:t>
            </w:r>
          </w:p>
        </w:tc>
        <w:tc>
          <w:tcPr>
            <w:tcW w:w="709"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每样本</w:t>
            </w:r>
          </w:p>
        </w:tc>
        <w:tc>
          <w:tcPr>
            <w:tcW w:w="850"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kern w:val="0"/>
                <w:sz w:val="24"/>
                <w:szCs w:val="24"/>
              </w:rPr>
            </w:pPr>
          </w:p>
        </w:tc>
        <w:tc>
          <w:tcPr>
            <w:tcW w:w="2410" w:type="dxa"/>
            <w:noWrap w:val="0"/>
            <w:vAlign w:val="center"/>
          </w:tcPr>
          <w:p>
            <w:pPr>
              <w:widowControl/>
              <w:jc w:val="center"/>
              <w:rPr>
                <w:rFonts w:ascii="宋体" w:hAnsi="宋体" w:cs="宋体"/>
                <w:kern w:val="0"/>
                <w:sz w:val="24"/>
                <w:szCs w:val="24"/>
              </w:rPr>
            </w:pPr>
            <w:r>
              <w:rPr>
                <w:rFonts w:hint="eastAsia" w:ascii="宋体" w:hAnsi="宋体" w:cs="宋体"/>
                <w:color w:val="000000"/>
                <w:kern w:val="0"/>
                <w:sz w:val="24"/>
                <w:szCs w:val="24"/>
              </w:rPr>
              <w:t>拉力</w:t>
            </w:r>
          </w:p>
        </w:tc>
        <w:tc>
          <w:tcPr>
            <w:tcW w:w="2410" w:type="dxa"/>
            <w:vMerge w:val="continue"/>
            <w:noWrap w:val="0"/>
            <w:vAlign w:val="center"/>
          </w:tcPr>
          <w:p>
            <w:pPr>
              <w:ind w:firstLine="240" w:firstLineChars="100"/>
              <w:jc w:val="center"/>
              <w:rPr>
                <w:rFonts w:ascii="宋体" w:hAnsi="宋体" w:cs="宋体"/>
                <w:color w:val="FF0000"/>
                <w:kern w:val="0"/>
                <w:sz w:val="24"/>
                <w:szCs w:val="24"/>
              </w:rPr>
            </w:pPr>
          </w:p>
        </w:tc>
        <w:tc>
          <w:tcPr>
            <w:tcW w:w="709" w:type="dxa"/>
            <w:vMerge w:val="continue"/>
            <w:noWrap w:val="0"/>
            <w:vAlign w:val="center"/>
          </w:tcPr>
          <w:p>
            <w:pPr>
              <w:jc w:val="center"/>
              <w:rPr>
                <w:rFonts w:ascii="宋体" w:hAnsi="宋体" w:cs="宋体"/>
                <w:kern w:val="0"/>
                <w:sz w:val="24"/>
                <w:szCs w:val="24"/>
              </w:rPr>
            </w:pPr>
          </w:p>
        </w:tc>
        <w:tc>
          <w:tcPr>
            <w:tcW w:w="850" w:type="dxa"/>
            <w:vMerge w:val="continue"/>
            <w:noWrap w:val="0"/>
            <w:vAlign w:val="center"/>
          </w:tcPr>
          <w:p>
            <w:pPr>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延伸率</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低温柔度</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不透水性</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耐热性</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建筑涂料</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抗拉强度</w:t>
            </w:r>
          </w:p>
        </w:tc>
        <w:tc>
          <w:tcPr>
            <w:tcW w:w="2410" w:type="dxa"/>
            <w:vMerge w:val="restart"/>
            <w:noWrap w:val="0"/>
            <w:vAlign w:val="center"/>
          </w:tcPr>
          <w:p>
            <w:pPr>
              <w:ind w:firstLine="240" w:firstLineChars="100"/>
              <w:jc w:val="center"/>
              <w:rPr>
                <w:rFonts w:ascii="宋体" w:hAnsi="宋体" w:cs="宋体"/>
                <w:color w:val="000000"/>
                <w:kern w:val="0"/>
                <w:sz w:val="24"/>
                <w:szCs w:val="24"/>
              </w:rPr>
            </w:pPr>
            <w:r>
              <w:rPr>
                <w:rFonts w:hint="eastAsia" w:ascii="宋体" w:hAnsi="宋体" w:cs="宋体"/>
                <w:kern w:val="0"/>
                <w:sz w:val="24"/>
                <w:szCs w:val="24"/>
              </w:rPr>
              <w:t>不大于5t为一批</w:t>
            </w:r>
          </w:p>
        </w:tc>
        <w:tc>
          <w:tcPr>
            <w:tcW w:w="709"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每样本</w:t>
            </w:r>
          </w:p>
        </w:tc>
        <w:tc>
          <w:tcPr>
            <w:tcW w:w="850"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不透水性</w:t>
            </w:r>
          </w:p>
        </w:tc>
        <w:tc>
          <w:tcPr>
            <w:tcW w:w="2410" w:type="dxa"/>
            <w:vMerge w:val="continue"/>
            <w:noWrap w:val="0"/>
            <w:vAlign w:val="center"/>
          </w:tcPr>
          <w:p>
            <w:pPr>
              <w:ind w:firstLine="240" w:firstLineChars="100"/>
              <w:jc w:val="center"/>
              <w:rPr>
                <w:rFonts w:ascii="宋体" w:hAnsi="宋体" w:cs="宋体"/>
                <w:color w:val="000000"/>
                <w:kern w:val="0"/>
                <w:sz w:val="24"/>
                <w:szCs w:val="24"/>
              </w:rPr>
            </w:pPr>
          </w:p>
        </w:tc>
        <w:tc>
          <w:tcPr>
            <w:tcW w:w="709" w:type="dxa"/>
            <w:vMerge w:val="continue"/>
            <w:noWrap w:val="0"/>
            <w:vAlign w:val="center"/>
          </w:tcPr>
          <w:p>
            <w:pPr>
              <w:jc w:val="center"/>
              <w:rPr>
                <w:rFonts w:ascii="宋体" w:hAnsi="宋体" w:cs="宋体"/>
                <w:color w:val="000000"/>
                <w:kern w:val="0"/>
                <w:sz w:val="24"/>
                <w:szCs w:val="24"/>
              </w:rPr>
            </w:pPr>
          </w:p>
        </w:tc>
        <w:tc>
          <w:tcPr>
            <w:tcW w:w="850" w:type="dxa"/>
            <w:vMerge w:val="continue"/>
            <w:noWrap w:val="0"/>
            <w:vAlign w:val="center"/>
          </w:tcPr>
          <w:p>
            <w:pPr>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hint="eastAsia"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粘结强度</w:t>
            </w:r>
          </w:p>
        </w:tc>
        <w:tc>
          <w:tcPr>
            <w:tcW w:w="2410" w:type="dxa"/>
            <w:vMerge w:val="continue"/>
            <w:noWrap w:val="0"/>
            <w:vAlign w:val="center"/>
          </w:tcPr>
          <w:p>
            <w:pPr>
              <w:ind w:firstLine="240" w:firstLineChars="100"/>
              <w:jc w:val="center"/>
              <w:rPr>
                <w:rFonts w:hint="eastAsia" w:ascii="宋体" w:hAnsi="宋体" w:cs="宋体"/>
                <w:kern w:val="0"/>
                <w:sz w:val="24"/>
                <w:szCs w:val="24"/>
              </w:rPr>
            </w:pPr>
          </w:p>
        </w:tc>
        <w:tc>
          <w:tcPr>
            <w:tcW w:w="709" w:type="dxa"/>
            <w:vMerge w:val="continue"/>
            <w:noWrap w:val="0"/>
            <w:vAlign w:val="center"/>
          </w:tcPr>
          <w:p>
            <w:pPr>
              <w:jc w:val="center"/>
              <w:rPr>
                <w:rFonts w:hint="eastAsia" w:ascii="宋体" w:hAnsi="宋体" w:cs="宋体"/>
                <w:color w:val="000000"/>
                <w:kern w:val="0"/>
                <w:sz w:val="24"/>
                <w:szCs w:val="24"/>
              </w:rPr>
            </w:pPr>
          </w:p>
        </w:tc>
        <w:tc>
          <w:tcPr>
            <w:tcW w:w="850" w:type="dxa"/>
            <w:vMerge w:val="continue"/>
            <w:noWrap w:val="0"/>
            <w:vAlign w:val="center"/>
          </w:tcPr>
          <w:p>
            <w:pPr>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hint="eastAsia"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试样处理</w:t>
            </w:r>
          </w:p>
        </w:tc>
        <w:tc>
          <w:tcPr>
            <w:tcW w:w="2410" w:type="dxa"/>
            <w:vMerge w:val="continue"/>
            <w:noWrap w:val="0"/>
            <w:vAlign w:val="center"/>
          </w:tcPr>
          <w:p>
            <w:pPr>
              <w:ind w:firstLine="240" w:firstLineChars="100"/>
              <w:jc w:val="center"/>
              <w:rPr>
                <w:rFonts w:hint="eastAsia" w:ascii="宋体" w:hAnsi="宋体" w:cs="宋体"/>
                <w:kern w:val="0"/>
                <w:sz w:val="24"/>
                <w:szCs w:val="24"/>
              </w:rPr>
            </w:pPr>
          </w:p>
        </w:tc>
        <w:tc>
          <w:tcPr>
            <w:tcW w:w="709" w:type="dxa"/>
            <w:vMerge w:val="continue"/>
            <w:noWrap w:val="0"/>
            <w:vAlign w:val="center"/>
          </w:tcPr>
          <w:p>
            <w:pPr>
              <w:jc w:val="center"/>
              <w:rPr>
                <w:rFonts w:hint="eastAsia" w:ascii="宋体" w:hAnsi="宋体" w:cs="宋体"/>
                <w:color w:val="000000"/>
                <w:kern w:val="0"/>
                <w:sz w:val="24"/>
                <w:szCs w:val="24"/>
              </w:rPr>
            </w:pPr>
          </w:p>
        </w:tc>
        <w:tc>
          <w:tcPr>
            <w:tcW w:w="850" w:type="dxa"/>
            <w:vMerge w:val="continue"/>
            <w:noWrap w:val="0"/>
            <w:vAlign w:val="center"/>
          </w:tcPr>
          <w:p>
            <w:pPr>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hint="eastAsia"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伸长率</w:t>
            </w:r>
          </w:p>
        </w:tc>
        <w:tc>
          <w:tcPr>
            <w:tcW w:w="2410" w:type="dxa"/>
            <w:vMerge w:val="continue"/>
            <w:noWrap w:val="0"/>
            <w:vAlign w:val="center"/>
          </w:tcPr>
          <w:p>
            <w:pPr>
              <w:ind w:firstLine="240" w:firstLineChars="100"/>
              <w:jc w:val="center"/>
              <w:rPr>
                <w:rFonts w:hint="eastAsia" w:ascii="宋体" w:hAnsi="宋体" w:cs="宋体"/>
                <w:kern w:val="0"/>
                <w:sz w:val="24"/>
                <w:szCs w:val="24"/>
              </w:rPr>
            </w:pPr>
          </w:p>
        </w:tc>
        <w:tc>
          <w:tcPr>
            <w:tcW w:w="709" w:type="dxa"/>
            <w:vMerge w:val="continue"/>
            <w:noWrap w:val="0"/>
            <w:vAlign w:val="center"/>
          </w:tcPr>
          <w:p>
            <w:pPr>
              <w:jc w:val="center"/>
              <w:rPr>
                <w:rFonts w:hint="eastAsia" w:ascii="宋体" w:hAnsi="宋体" w:cs="宋体"/>
                <w:color w:val="000000"/>
                <w:kern w:val="0"/>
                <w:sz w:val="24"/>
                <w:szCs w:val="24"/>
              </w:rPr>
            </w:pPr>
          </w:p>
        </w:tc>
        <w:tc>
          <w:tcPr>
            <w:tcW w:w="850" w:type="dxa"/>
            <w:vMerge w:val="continue"/>
            <w:noWrap w:val="0"/>
            <w:vAlign w:val="center"/>
          </w:tcPr>
          <w:p>
            <w:pPr>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腻子</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粘结强度</w:t>
            </w:r>
          </w:p>
        </w:tc>
        <w:tc>
          <w:tcPr>
            <w:tcW w:w="2410" w:type="dxa"/>
            <w:vMerge w:val="restart"/>
            <w:noWrap w:val="0"/>
            <w:vAlign w:val="center"/>
          </w:tcPr>
          <w:p>
            <w:pPr>
              <w:widowControl/>
              <w:ind w:firstLine="240" w:firstLineChars="100"/>
              <w:jc w:val="center"/>
              <w:rPr>
                <w:rFonts w:ascii="宋体" w:hAnsi="宋体" w:cs="宋体"/>
                <w:kern w:val="0"/>
                <w:sz w:val="24"/>
                <w:szCs w:val="24"/>
              </w:rPr>
            </w:pPr>
            <w:r>
              <w:rPr>
                <w:rFonts w:hint="eastAsia" w:ascii="宋体" w:hAnsi="宋体" w:cs="宋体"/>
                <w:kern w:val="0"/>
                <w:sz w:val="24"/>
                <w:szCs w:val="24"/>
              </w:rPr>
              <w:t>不大于15t为一批。</w:t>
            </w:r>
          </w:p>
        </w:tc>
        <w:tc>
          <w:tcPr>
            <w:tcW w:w="709"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制样、养护</w:t>
            </w:r>
          </w:p>
        </w:tc>
        <w:tc>
          <w:tcPr>
            <w:tcW w:w="2410" w:type="dxa"/>
            <w:vMerge w:val="continue"/>
            <w:noWrap w:val="0"/>
            <w:vAlign w:val="center"/>
          </w:tcPr>
          <w:p>
            <w:pPr>
              <w:widowControl/>
              <w:ind w:firstLine="240" w:firstLineChars="100"/>
              <w:jc w:val="center"/>
              <w:rPr>
                <w:rFonts w:ascii="宋体" w:hAnsi="宋体" w:cs="宋体"/>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容器中状态</w:t>
            </w:r>
          </w:p>
        </w:tc>
        <w:tc>
          <w:tcPr>
            <w:tcW w:w="2410" w:type="dxa"/>
            <w:vMerge w:val="continue"/>
            <w:noWrap w:val="0"/>
            <w:vAlign w:val="center"/>
          </w:tcPr>
          <w:p>
            <w:pPr>
              <w:widowControl/>
              <w:ind w:firstLine="240" w:firstLineChars="100"/>
              <w:jc w:val="center"/>
              <w:rPr>
                <w:rFonts w:ascii="宋体" w:hAnsi="宋体" w:cs="宋体"/>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施工性</w:t>
            </w:r>
          </w:p>
        </w:tc>
        <w:tc>
          <w:tcPr>
            <w:tcW w:w="2410" w:type="dxa"/>
            <w:vMerge w:val="continue"/>
            <w:noWrap w:val="0"/>
            <w:vAlign w:val="center"/>
          </w:tcPr>
          <w:p>
            <w:pPr>
              <w:widowControl/>
              <w:ind w:firstLine="240" w:firstLineChars="100"/>
              <w:jc w:val="center"/>
              <w:rPr>
                <w:rFonts w:ascii="宋体" w:hAnsi="宋体" w:cs="宋体"/>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外加剂</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减水率</w:t>
            </w:r>
          </w:p>
        </w:tc>
        <w:tc>
          <w:tcPr>
            <w:tcW w:w="2410" w:type="dxa"/>
            <w:vMerge w:val="restart"/>
            <w:noWrap w:val="0"/>
            <w:vAlign w:val="center"/>
          </w:tcPr>
          <w:p>
            <w:pPr>
              <w:widowControl/>
              <w:ind w:firstLine="240" w:firstLineChars="100"/>
              <w:jc w:val="center"/>
              <w:rPr>
                <w:rFonts w:ascii="宋体" w:hAnsi="宋体" w:cs="宋体"/>
                <w:kern w:val="0"/>
                <w:sz w:val="24"/>
                <w:szCs w:val="24"/>
              </w:rPr>
            </w:pPr>
            <w:r>
              <w:rPr>
                <w:rFonts w:hint="eastAsia" w:ascii="宋体" w:hAnsi="宋体" w:cs="宋体"/>
                <w:kern w:val="0"/>
                <w:sz w:val="24"/>
                <w:szCs w:val="24"/>
              </w:rPr>
              <w:t>不大于50t为一批</w:t>
            </w:r>
          </w:p>
        </w:tc>
        <w:tc>
          <w:tcPr>
            <w:tcW w:w="709"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含气量</w:t>
            </w:r>
          </w:p>
        </w:tc>
        <w:tc>
          <w:tcPr>
            <w:tcW w:w="2410" w:type="dxa"/>
            <w:vMerge w:val="continue"/>
            <w:noWrap w:val="0"/>
            <w:vAlign w:val="center"/>
          </w:tcPr>
          <w:p>
            <w:pPr>
              <w:widowControl/>
              <w:ind w:firstLine="240" w:firstLineChars="100"/>
              <w:jc w:val="center"/>
              <w:rPr>
                <w:rFonts w:ascii="宋体" w:hAnsi="宋体" w:cs="宋体"/>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抗压强度</w:t>
            </w:r>
          </w:p>
        </w:tc>
        <w:tc>
          <w:tcPr>
            <w:tcW w:w="2410" w:type="dxa"/>
            <w:vMerge w:val="continue"/>
            <w:noWrap w:val="0"/>
            <w:vAlign w:val="center"/>
          </w:tcPr>
          <w:p>
            <w:pPr>
              <w:widowControl/>
              <w:ind w:firstLine="240" w:firstLineChars="100"/>
              <w:jc w:val="center"/>
              <w:rPr>
                <w:rFonts w:ascii="宋体" w:hAnsi="宋体" w:cs="宋体"/>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凝结时间差</w:t>
            </w:r>
          </w:p>
        </w:tc>
        <w:tc>
          <w:tcPr>
            <w:tcW w:w="2410" w:type="dxa"/>
            <w:vMerge w:val="continue"/>
            <w:noWrap w:val="0"/>
            <w:vAlign w:val="center"/>
          </w:tcPr>
          <w:p>
            <w:pPr>
              <w:widowControl/>
              <w:ind w:firstLine="240" w:firstLineChars="100"/>
              <w:jc w:val="center"/>
              <w:rPr>
                <w:rFonts w:ascii="宋体" w:hAnsi="宋体" w:cs="宋体"/>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抗压强度比</w:t>
            </w:r>
          </w:p>
        </w:tc>
        <w:tc>
          <w:tcPr>
            <w:tcW w:w="2410" w:type="dxa"/>
            <w:vMerge w:val="continue"/>
            <w:noWrap w:val="0"/>
            <w:vAlign w:val="center"/>
          </w:tcPr>
          <w:p>
            <w:pPr>
              <w:widowControl/>
              <w:ind w:firstLine="240" w:firstLineChars="100"/>
              <w:jc w:val="center"/>
              <w:rPr>
                <w:rFonts w:ascii="宋体" w:hAnsi="宋体" w:cs="宋体"/>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挤塑聚苯板</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尺寸偏差</w:t>
            </w:r>
          </w:p>
        </w:tc>
        <w:tc>
          <w:tcPr>
            <w:tcW w:w="2410" w:type="dxa"/>
            <w:vMerge w:val="restart"/>
            <w:noWrap w:val="0"/>
            <w:vAlign w:val="center"/>
          </w:tcPr>
          <w:p>
            <w:pPr>
              <w:widowControl/>
              <w:ind w:firstLine="240" w:firstLineChars="100"/>
              <w:jc w:val="center"/>
              <w:rPr>
                <w:rFonts w:ascii="宋体" w:hAnsi="宋体" w:cs="宋体"/>
                <w:kern w:val="0"/>
                <w:sz w:val="24"/>
                <w:szCs w:val="24"/>
              </w:rPr>
            </w:pPr>
            <w:r>
              <w:rPr>
                <w:rFonts w:hint="eastAsia" w:ascii="宋体" w:hAnsi="宋体" w:cs="宋体"/>
                <w:kern w:val="0"/>
                <w:sz w:val="24"/>
                <w:szCs w:val="24"/>
              </w:rPr>
              <w:t>同一生产厂家、同一品种、同一规格、同一批次检查一次</w:t>
            </w:r>
          </w:p>
        </w:tc>
        <w:tc>
          <w:tcPr>
            <w:tcW w:w="709"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hint="eastAsia"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尺寸稳定性</w:t>
            </w:r>
          </w:p>
        </w:tc>
        <w:tc>
          <w:tcPr>
            <w:tcW w:w="2410" w:type="dxa"/>
            <w:vMerge w:val="continue"/>
            <w:noWrap w:val="0"/>
            <w:vAlign w:val="center"/>
          </w:tcPr>
          <w:p>
            <w:pPr>
              <w:widowControl/>
              <w:ind w:firstLine="240" w:firstLineChars="100"/>
              <w:jc w:val="center"/>
              <w:rPr>
                <w:rFonts w:ascii="宋体" w:hAnsi="宋体" w:cs="宋体"/>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hint="eastAsia"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压缩强度</w:t>
            </w:r>
          </w:p>
        </w:tc>
        <w:tc>
          <w:tcPr>
            <w:tcW w:w="2410" w:type="dxa"/>
            <w:vMerge w:val="continue"/>
            <w:noWrap w:val="0"/>
            <w:vAlign w:val="center"/>
          </w:tcPr>
          <w:p>
            <w:pPr>
              <w:widowControl/>
              <w:ind w:firstLine="240" w:firstLineChars="100"/>
              <w:jc w:val="center"/>
              <w:rPr>
                <w:rFonts w:ascii="宋体" w:hAnsi="宋体" w:cs="宋体"/>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hint="eastAsia"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吸水率</w:t>
            </w:r>
          </w:p>
        </w:tc>
        <w:tc>
          <w:tcPr>
            <w:tcW w:w="2410" w:type="dxa"/>
            <w:vMerge w:val="continue"/>
            <w:noWrap w:val="0"/>
            <w:vAlign w:val="center"/>
          </w:tcPr>
          <w:p>
            <w:pPr>
              <w:widowControl/>
              <w:ind w:firstLine="240" w:firstLineChars="100"/>
              <w:jc w:val="center"/>
              <w:rPr>
                <w:rFonts w:ascii="宋体" w:hAnsi="宋体" w:cs="宋体"/>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hint="eastAsia"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导热系数</w:t>
            </w:r>
          </w:p>
        </w:tc>
        <w:tc>
          <w:tcPr>
            <w:tcW w:w="2410" w:type="dxa"/>
            <w:vMerge w:val="continue"/>
            <w:noWrap w:val="0"/>
            <w:vAlign w:val="center"/>
          </w:tcPr>
          <w:p>
            <w:pPr>
              <w:widowControl/>
              <w:ind w:firstLine="240" w:firstLineChars="100"/>
              <w:jc w:val="center"/>
              <w:rPr>
                <w:rFonts w:ascii="宋体" w:hAnsi="宋体" w:cs="宋体"/>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砂浆</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抗压强度</w:t>
            </w:r>
          </w:p>
        </w:tc>
        <w:tc>
          <w:tcPr>
            <w:tcW w:w="2410" w:type="dxa"/>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每100m</w:t>
            </w:r>
            <w:r>
              <w:rPr>
                <w:rFonts w:hint="eastAsia" w:ascii="宋体" w:hAnsi="宋体" w:cs="宋体"/>
                <w:color w:val="000000"/>
                <w:kern w:val="0"/>
                <w:sz w:val="24"/>
                <w:szCs w:val="24"/>
                <w:vertAlign w:val="superscript"/>
              </w:rPr>
              <w:t>3</w:t>
            </w:r>
            <w:r>
              <w:rPr>
                <w:rFonts w:hint="eastAsia" w:ascii="宋体" w:hAnsi="宋体" w:cs="宋体"/>
                <w:color w:val="000000"/>
                <w:kern w:val="0"/>
                <w:sz w:val="24"/>
                <w:szCs w:val="24"/>
              </w:rPr>
              <w:t>为一批</w:t>
            </w:r>
          </w:p>
        </w:tc>
        <w:tc>
          <w:tcPr>
            <w:tcW w:w="709"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水泥</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比表面积</w:t>
            </w:r>
          </w:p>
        </w:tc>
        <w:tc>
          <w:tcPr>
            <w:tcW w:w="2410" w:type="dxa"/>
            <w:vMerge w:val="restart"/>
            <w:noWrap w:val="0"/>
            <w:vAlign w:val="center"/>
          </w:tcPr>
          <w:p>
            <w:pPr>
              <w:ind w:firstLine="240" w:firstLineChars="100"/>
              <w:jc w:val="center"/>
              <w:rPr>
                <w:rFonts w:ascii="宋体" w:hAnsi="宋体" w:cs="宋体"/>
                <w:color w:val="FF0000"/>
                <w:kern w:val="0"/>
                <w:sz w:val="24"/>
                <w:szCs w:val="24"/>
              </w:rPr>
            </w:pPr>
            <w:r>
              <w:rPr>
                <w:rFonts w:hint="eastAsia" w:ascii="宋体" w:hAnsi="宋体" w:cs="宋体"/>
                <w:color w:val="000000"/>
                <w:kern w:val="0"/>
                <w:sz w:val="24"/>
                <w:szCs w:val="24"/>
              </w:rPr>
              <w:t>袋装不超过200t为一批，散装不超过500t为一批</w:t>
            </w:r>
          </w:p>
        </w:tc>
        <w:tc>
          <w:tcPr>
            <w:tcW w:w="709"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细度</w:t>
            </w:r>
          </w:p>
        </w:tc>
        <w:tc>
          <w:tcPr>
            <w:tcW w:w="2410" w:type="dxa"/>
            <w:vMerge w:val="continue"/>
            <w:noWrap w:val="0"/>
            <w:vAlign w:val="center"/>
          </w:tcPr>
          <w:p>
            <w:pPr>
              <w:ind w:firstLine="240" w:firstLineChars="100"/>
              <w:jc w:val="center"/>
              <w:rPr>
                <w:rFonts w:ascii="宋体" w:hAnsi="宋体" w:cs="宋体"/>
                <w:color w:val="FF0000"/>
                <w:kern w:val="0"/>
                <w:sz w:val="24"/>
                <w:szCs w:val="24"/>
              </w:rPr>
            </w:pPr>
          </w:p>
        </w:tc>
        <w:tc>
          <w:tcPr>
            <w:tcW w:w="709" w:type="dxa"/>
            <w:vMerge w:val="continue"/>
            <w:noWrap w:val="0"/>
            <w:vAlign w:val="center"/>
          </w:tcPr>
          <w:p>
            <w:pPr>
              <w:jc w:val="center"/>
              <w:rPr>
                <w:rFonts w:ascii="宋体" w:hAnsi="宋体" w:cs="宋体"/>
                <w:color w:val="000000"/>
                <w:kern w:val="0"/>
                <w:sz w:val="24"/>
                <w:szCs w:val="24"/>
              </w:rPr>
            </w:pPr>
          </w:p>
        </w:tc>
        <w:tc>
          <w:tcPr>
            <w:tcW w:w="850" w:type="dxa"/>
            <w:vMerge w:val="continue"/>
            <w:noWrap w:val="0"/>
            <w:vAlign w:val="center"/>
          </w:tcPr>
          <w:p>
            <w:pPr>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密度</w:t>
            </w:r>
          </w:p>
        </w:tc>
        <w:tc>
          <w:tcPr>
            <w:tcW w:w="2410" w:type="dxa"/>
            <w:vMerge w:val="continue"/>
            <w:noWrap w:val="0"/>
            <w:vAlign w:val="center"/>
          </w:tcPr>
          <w:p>
            <w:pPr>
              <w:ind w:firstLine="240" w:firstLineChars="100"/>
              <w:jc w:val="center"/>
              <w:rPr>
                <w:rFonts w:ascii="宋体" w:hAnsi="宋体" w:cs="宋体"/>
                <w:color w:val="FF0000"/>
                <w:kern w:val="0"/>
                <w:sz w:val="24"/>
                <w:szCs w:val="24"/>
              </w:rPr>
            </w:pPr>
          </w:p>
        </w:tc>
        <w:tc>
          <w:tcPr>
            <w:tcW w:w="709" w:type="dxa"/>
            <w:vMerge w:val="continue"/>
            <w:noWrap w:val="0"/>
            <w:vAlign w:val="center"/>
          </w:tcPr>
          <w:p>
            <w:pPr>
              <w:jc w:val="center"/>
              <w:rPr>
                <w:rFonts w:ascii="宋体" w:hAnsi="宋体" w:cs="宋体"/>
                <w:color w:val="000000"/>
                <w:kern w:val="0"/>
                <w:sz w:val="24"/>
                <w:szCs w:val="24"/>
              </w:rPr>
            </w:pPr>
          </w:p>
        </w:tc>
        <w:tc>
          <w:tcPr>
            <w:tcW w:w="850" w:type="dxa"/>
            <w:vMerge w:val="continue"/>
            <w:noWrap w:val="0"/>
            <w:vAlign w:val="center"/>
          </w:tcPr>
          <w:p>
            <w:pPr>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标准稠度用水量</w:t>
            </w:r>
          </w:p>
        </w:tc>
        <w:tc>
          <w:tcPr>
            <w:tcW w:w="2410" w:type="dxa"/>
            <w:vMerge w:val="continue"/>
            <w:noWrap w:val="0"/>
            <w:vAlign w:val="center"/>
          </w:tcPr>
          <w:p>
            <w:pPr>
              <w:ind w:firstLine="240" w:firstLineChars="100"/>
              <w:jc w:val="center"/>
              <w:rPr>
                <w:rFonts w:ascii="宋体" w:hAnsi="宋体" w:cs="宋体"/>
                <w:color w:val="FF0000"/>
                <w:kern w:val="0"/>
                <w:sz w:val="24"/>
                <w:szCs w:val="24"/>
              </w:rPr>
            </w:pPr>
          </w:p>
        </w:tc>
        <w:tc>
          <w:tcPr>
            <w:tcW w:w="709" w:type="dxa"/>
            <w:vMerge w:val="continue"/>
            <w:noWrap w:val="0"/>
            <w:vAlign w:val="center"/>
          </w:tcPr>
          <w:p>
            <w:pPr>
              <w:jc w:val="center"/>
              <w:rPr>
                <w:rFonts w:ascii="宋体" w:hAnsi="宋体" w:cs="宋体"/>
                <w:color w:val="000000"/>
                <w:kern w:val="0"/>
                <w:sz w:val="24"/>
                <w:szCs w:val="24"/>
              </w:rPr>
            </w:pPr>
          </w:p>
        </w:tc>
        <w:tc>
          <w:tcPr>
            <w:tcW w:w="850" w:type="dxa"/>
            <w:vMerge w:val="continue"/>
            <w:noWrap w:val="0"/>
            <w:vAlign w:val="center"/>
          </w:tcPr>
          <w:p>
            <w:pPr>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凝结时间</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安定性</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胶砂强度</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土工布</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纵横向断裂强度</w:t>
            </w:r>
          </w:p>
        </w:tc>
        <w:tc>
          <w:tcPr>
            <w:tcW w:w="2410" w:type="dxa"/>
            <w:vMerge w:val="restart"/>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按交货批号的同一品种、规格、工艺的产品作为一个检验批</w:t>
            </w:r>
          </w:p>
        </w:tc>
        <w:tc>
          <w:tcPr>
            <w:tcW w:w="709"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纵横向断裂强度对应伸长率</w:t>
            </w:r>
          </w:p>
        </w:tc>
        <w:tc>
          <w:tcPr>
            <w:tcW w:w="2410" w:type="dxa"/>
            <w:vMerge w:val="continue"/>
            <w:noWrap w:val="0"/>
            <w:vAlign w:val="center"/>
          </w:tcPr>
          <w:p>
            <w:pPr>
              <w:ind w:firstLine="240" w:firstLineChars="100"/>
              <w:jc w:val="center"/>
              <w:rPr>
                <w:rFonts w:ascii="宋体" w:hAnsi="宋体" w:cs="宋体"/>
                <w:color w:val="000000"/>
                <w:kern w:val="0"/>
                <w:sz w:val="24"/>
                <w:szCs w:val="24"/>
              </w:rPr>
            </w:pPr>
          </w:p>
        </w:tc>
        <w:tc>
          <w:tcPr>
            <w:tcW w:w="709" w:type="dxa"/>
            <w:vMerge w:val="continue"/>
            <w:noWrap w:val="0"/>
            <w:vAlign w:val="center"/>
          </w:tcPr>
          <w:p>
            <w:pPr>
              <w:jc w:val="center"/>
              <w:rPr>
                <w:rFonts w:ascii="宋体" w:hAnsi="宋体" w:cs="宋体"/>
                <w:color w:val="000000"/>
                <w:kern w:val="0"/>
                <w:sz w:val="24"/>
                <w:szCs w:val="24"/>
              </w:rPr>
            </w:pPr>
          </w:p>
        </w:tc>
        <w:tc>
          <w:tcPr>
            <w:tcW w:w="850" w:type="dxa"/>
            <w:vMerge w:val="continue"/>
            <w:noWrap w:val="0"/>
            <w:vAlign w:val="center"/>
          </w:tcPr>
          <w:p>
            <w:pPr>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单位面积质量偏差率</w:t>
            </w:r>
          </w:p>
        </w:tc>
        <w:tc>
          <w:tcPr>
            <w:tcW w:w="2410" w:type="dxa"/>
            <w:vMerge w:val="continue"/>
            <w:noWrap w:val="0"/>
            <w:vAlign w:val="center"/>
          </w:tcPr>
          <w:p>
            <w:pPr>
              <w:ind w:firstLine="240" w:firstLineChars="100"/>
              <w:jc w:val="center"/>
              <w:rPr>
                <w:rFonts w:ascii="宋体" w:hAnsi="宋体" w:cs="宋体"/>
                <w:color w:val="000000"/>
                <w:kern w:val="0"/>
                <w:sz w:val="24"/>
                <w:szCs w:val="24"/>
              </w:rPr>
            </w:pPr>
          </w:p>
        </w:tc>
        <w:tc>
          <w:tcPr>
            <w:tcW w:w="709" w:type="dxa"/>
            <w:vMerge w:val="continue"/>
            <w:noWrap w:val="0"/>
            <w:vAlign w:val="center"/>
          </w:tcPr>
          <w:p>
            <w:pPr>
              <w:jc w:val="center"/>
              <w:rPr>
                <w:rFonts w:ascii="宋体" w:hAnsi="宋体" w:cs="宋体"/>
                <w:color w:val="000000"/>
                <w:kern w:val="0"/>
                <w:sz w:val="24"/>
                <w:szCs w:val="24"/>
              </w:rPr>
            </w:pPr>
          </w:p>
        </w:tc>
        <w:tc>
          <w:tcPr>
            <w:tcW w:w="850" w:type="dxa"/>
            <w:vMerge w:val="continue"/>
            <w:noWrap w:val="0"/>
            <w:vAlign w:val="center"/>
          </w:tcPr>
          <w:p>
            <w:pPr>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顶破强力</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纵横向撕破强力</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1"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建筑原材</w:t>
            </w:r>
          </w:p>
        </w:tc>
        <w:tc>
          <w:tcPr>
            <w:tcW w:w="1275"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岩石</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抗压强度</w:t>
            </w:r>
          </w:p>
        </w:tc>
        <w:tc>
          <w:tcPr>
            <w:tcW w:w="2410" w:type="dxa"/>
            <w:vMerge w:val="restart"/>
            <w:noWrap w:val="0"/>
            <w:vAlign w:val="center"/>
          </w:tcPr>
          <w:p>
            <w:pPr>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同一产地的同类石材抽检不少于1组</w:t>
            </w:r>
          </w:p>
        </w:tc>
        <w:tc>
          <w:tcPr>
            <w:tcW w:w="709"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加工费</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矿物掺合料</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比表面积</w:t>
            </w:r>
          </w:p>
        </w:tc>
        <w:tc>
          <w:tcPr>
            <w:tcW w:w="2410" w:type="dxa"/>
            <w:vMerge w:val="restart"/>
            <w:noWrap w:val="0"/>
            <w:vAlign w:val="center"/>
          </w:tcPr>
          <w:p>
            <w:pPr>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粉煤灰、石灰石粉、磷渣粉和钢铁渣粉不超过200t为一批，粒化高炉矿渣粉和复合矿物掺合料不超过500t为一批，沸石粉不超过120t为一批，硅灰不超过30t为一批</w:t>
            </w:r>
          </w:p>
        </w:tc>
        <w:tc>
          <w:tcPr>
            <w:tcW w:w="709"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细度</w:t>
            </w:r>
          </w:p>
        </w:tc>
        <w:tc>
          <w:tcPr>
            <w:tcW w:w="2410" w:type="dxa"/>
            <w:vMerge w:val="continue"/>
            <w:noWrap w:val="0"/>
            <w:vAlign w:val="center"/>
          </w:tcPr>
          <w:p>
            <w:pPr>
              <w:ind w:firstLine="240" w:firstLineChars="100"/>
              <w:jc w:val="center"/>
              <w:rPr>
                <w:rFonts w:ascii="宋体" w:hAnsi="宋体" w:cs="宋体"/>
                <w:color w:val="000000"/>
                <w:kern w:val="0"/>
                <w:sz w:val="24"/>
                <w:szCs w:val="24"/>
              </w:rPr>
            </w:pPr>
          </w:p>
        </w:tc>
        <w:tc>
          <w:tcPr>
            <w:tcW w:w="709" w:type="dxa"/>
            <w:vMerge w:val="continue"/>
            <w:noWrap w:val="0"/>
            <w:vAlign w:val="center"/>
          </w:tcPr>
          <w:p>
            <w:pPr>
              <w:jc w:val="center"/>
              <w:rPr>
                <w:rFonts w:ascii="宋体" w:hAnsi="宋体" w:cs="宋体"/>
                <w:color w:val="000000"/>
                <w:kern w:val="0"/>
                <w:sz w:val="24"/>
                <w:szCs w:val="24"/>
              </w:rPr>
            </w:pPr>
          </w:p>
        </w:tc>
        <w:tc>
          <w:tcPr>
            <w:tcW w:w="850" w:type="dxa"/>
            <w:vMerge w:val="continue"/>
            <w:noWrap w:val="0"/>
            <w:vAlign w:val="center"/>
          </w:tcPr>
          <w:p>
            <w:pPr>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密度</w:t>
            </w:r>
          </w:p>
        </w:tc>
        <w:tc>
          <w:tcPr>
            <w:tcW w:w="2410" w:type="dxa"/>
            <w:vMerge w:val="continue"/>
            <w:noWrap w:val="0"/>
            <w:vAlign w:val="center"/>
          </w:tcPr>
          <w:p>
            <w:pPr>
              <w:ind w:firstLine="240" w:firstLineChars="100"/>
              <w:jc w:val="center"/>
              <w:rPr>
                <w:rFonts w:ascii="宋体" w:hAnsi="宋体" w:cs="宋体"/>
                <w:color w:val="000000"/>
                <w:kern w:val="0"/>
                <w:sz w:val="24"/>
                <w:szCs w:val="24"/>
              </w:rPr>
            </w:pPr>
          </w:p>
        </w:tc>
        <w:tc>
          <w:tcPr>
            <w:tcW w:w="709" w:type="dxa"/>
            <w:vMerge w:val="continue"/>
            <w:noWrap w:val="0"/>
            <w:vAlign w:val="center"/>
          </w:tcPr>
          <w:p>
            <w:pPr>
              <w:jc w:val="center"/>
              <w:rPr>
                <w:rFonts w:ascii="宋体" w:hAnsi="宋体" w:cs="宋体"/>
                <w:color w:val="000000"/>
                <w:kern w:val="0"/>
                <w:sz w:val="24"/>
                <w:szCs w:val="24"/>
              </w:rPr>
            </w:pPr>
          </w:p>
        </w:tc>
        <w:tc>
          <w:tcPr>
            <w:tcW w:w="850" w:type="dxa"/>
            <w:vMerge w:val="continue"/>
            <w:noWrap w:val="0"/>
            <w:vAlign w:val="center"/>
          </w:tcPr>
          <w:p>
            <w:pPr>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标准稠度用水量</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凝结时间</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安定性</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胶砂强度</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粗集料</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颗粒级配</w:t>
            </w:r>
          </w:p>
        </w:tc>
        <w:tc>
          <w:tcPr>
            <w:tcW w:w="2410" w:type="dxa"/>
            <w:vMerge w:val="restart"/>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不超过600t或400m</w:t>
            </w:r>
            <w:r>
              <w:rPr>
                <w:rFonts w:hint="eastAsia" w:ascii="宋体" w:hAnsi="宋体" w:cs="宋体"/>
                <w:color w:val="000000"/>
                <w:kern w:val="0"/>
                <w:sz w:val="24"/>
                <w:szCs w:val="24"/>
                <w:vertAlign w:val="superscript"/>
              </w:rPr>
              <w:t>3</w:t>
            </w:r>
            <w:r>
              <w:rPr>
                <w:rFonts w:hint="eastAsia" w:ascii="宋体" w:hAnsi="宋体" w:cs="宋体"/>
                <w:color w:val="000000"/>
                <w:kern w:val="0"/>
                <w:sz w:val="24"/>
                <w:szCs w:val="24"/>
              </w:rPr>
              <w:t>为一批</w:t>
            </w:r>
          </w:p>
        </w:tc>
        <w:tc>
          <w:tcPr>
            <w:tcW w:w="709"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泥块含量</w:t>
            </w:r>
          </w:p>
        </w:tc>
        <w:tc>
          <w:tcPr>
            <w:tcW w:w="2410" w:type="dxa"/>
            <w:vMerge w:val="continue"/>
            <w:noWrap w:val="0"/>
            <w:vAlign w:val="center"/>
          </w:tcPr>
          <w:p>
            <w:pPr>
              <w:ind w:firstLine="240" w:firstLineChars="100"/>
              <w:jc w:val="center"/>
              <w:rPr>
                <w:rFonts w:ascii="宋体" w:hAnsi="宋体" w:cs="宋体"/>
                <w:color w:val="000000"/>
                <w:kern w:val="0"/>
                <w:sz w:val="24"/>
                <w:szCs w:val="24"/>
              </w:rPr>
            </w:pPr>
          </w:p>
        </w:tc>
        <w:tc>
          <w:tcPr>
            <w:tcW w:w="709" w:type="dxa"/>
            <w:vMerge w:val="continue"/>
            <w:noWrap w:val="0"/>
            <w:vAlign w:val="center"/>
          </w:tcPr>
          <w:p>
            <w:pPr>
              <w:jc w:val="center"/>
              <w:rPr>
                <w:rFonts w:ascii="宋体" w:hAnsi="宋体" w:cs="宋体"/>
                <w:color w:val="000000"/>
                <w:kern w:val="0"/>
                <w:sz w:val="24"/>
                <w:szCs w:val="24"/>
              </w:rPr>
            </w:pPr>
          </w:p>
        </w:tc>
        <w:tc>
          <w:tcPr>
            <w:tcW w:w="850" w:type="dxa"/>
            <w:vMerge w:val="continue"/>
            <w:noWrap w:val="0"/>
            <w:vAlign w:val="center"/>
          </w:tcPr>
          <w:p>
            <w:pPr>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含泥量</w:t>
            </w:r>
          </w:p>
        </w:tc>
        <w:tc>
          <w:tcPr>
            <w:tcW w:w="2410" w:type="dxa"/>
            <w:vMerge w:val="continue"/>
            <w:noWrap w:val="0"/>
            <w:vAlign w:val="center"/>
          </w:tcPr>
          <w:p>
            <w:pPr>
              <w:ind w:firstLine="240" w:firstLineChars="100"/>
              <w:jc w:val="center"/>
              <w:rPr>
                <w:rFonts w:ascii="宋体" w:hAnsi="宋体" w:cs="宋体"/>
                <w:color w:val="000000"/>
                <w:kern w:val="0"/>
                <w:sz w:val="24"/>
                <w:szCs w:val="24"/>
              </w:rPr>
            </w:pPr>
          </w:p>
        </w:tc>
        <w:tc>
          <w:tcPr>
            <w:tcW w:w="709" w:type="dxa"/>
            <w:vMerge w:val="continue"/>
            <w:noWrap w:val="0"/>
            <w:vAlign w:val="center"/>
          </w:tcPr>
          <w:p>
            <w:pPr>
              <w:jc w:val="center"/>
              <w:rPr>
                <w:rFonts w:ascii="宋体" w:hAnsi="宋体" w:cs="宋体"/>
                <w:color w:val="000000"/>
                <w:kern w:val="0"/>
                <w:sz w:val="24"/>
                <w:szCs w:val="24"/>
              </w:rPr>
            </w:pPr>
          </w:p>
        </w:tc>
        <w:tc>
          <w:tcPr>
            <w:tcW w:w="850" w:type="dxa"/>
            <w:vMerge w:val="continue"/>
            <w:noWrap w:val="0"/>
            <w:vAlign w:val="center"/>
          </w:tcPr>
          <w:p>
            <w:pPr>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堆积密度</w:t>
            </w:r>
          </w:p>
        </w:tc>
        <w:tc>
          <w:tcPr>
            <w:tcW w:w="2410" w:type="dxa"/>
            <w:vMerge w:val="continue"/>
            <w:noWrap w:val="0"/>
            <w:vAlign w:val="center"/>
          </w:tcPr>
          <w:p>
            <w:pPr>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压碎指标值</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表观密度</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细集料</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颗粒级配</w:t>
            </w:r>
          </w:p>
        </w:tc>
        <w:tc>
          <w:tcPr>
            <w:tcW w:w="2410" w:type="dxa"/>
            <w:vMerge w:val="restart"/>
            <w:noWrap w:val="0"/>
            <w:vAlign w:val="center"/>
          </w:tcPr>
          <w:p>
            <w:pPr>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不超过600t或400m3为一批</w:t>
            </w:r>
          </w:p>
        </w:tc>
        <w:tc>
          <w:tcPr>
            <w:tcW w:w="709"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含泥量</w:t>
            </w:r>
          </w:p>
        </w:tc>
        <w:tc>
          <w:tcPr>
            <w:tcW w:w="2410" w:type="dxa"/>
            <w:vMerge w:val="continue"/>
            <w:noWrap w:val="0"/>
            <w:vAlign w:val="center"/>
          </w:tcPr>
          <w:p>
            <w:pPr>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泥块含量</w:t>
            </w:r>
          </w:p>
        </w:tc>
        <w:tc>
          <w:tcPr>
            <w:tcW w:w="2410" w:type="dxa"/>
            <w:vMerge w:val="continue"/>
            <w:noWrap w:val="0"/>
            <w:vAlign w:val="center"/>
          </w:tcPr>
          <w:p>
            <w:pPr>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堆积密度</w:t>
            </w:r>
          </w:p>
        </w:tc>
        <w:tc>
          <w:tcPr>
            <w:tcW w:w="2410" w:type="dxa"/>
            <w:vMerge w:val="continue"/>
            <w:noWrap w:val="0"/>
            <w:vAlign w:val="center"/>
          </w:tcPr>
          <w:p>
            <w:pPr>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表观密度</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压碎指标值</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砂当量</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亚甲蓝值</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绝缘导线、电缆、电线</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电压</w:t>
            </w:r>
          </w:p>
        </w:tc>
        <w:tc>
          <w:tcPr>
            <w:tcW w:w="2410" w:type="dxa"/>
            <w:vMerge w:val="restart"/>
            <w:noWrap w:val="0"/>
            <w:vAlign w:val="center"/>
          </w:tcPr>
          <w:p>
            <w:pPr>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每批至少抽取1个样本</w:t>
            </w:r>
          </w:p>
        </w:tc>
        <w:tc>
          <w:tcPr>
            <w:tcW w:w="709"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导体电阻</w:t>
            </w:r>
          </w:p>
        </w:tc>
        <w:tc>
          <w:tcPr>
            <w:tcW w:w="2410" w:type="dxa"/>
            <w:vMerge w:val="continue"/>
            <w:noWrap w:val="0"/>
            <w:vAlign w:val="center"/>
          </w:tcPr>
          <w:p>
            <w:pPr>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绝缘电阻</w:t>
            </w:r>
          </w:p>
        </w:tc>
        <w:tc>
          <w:tcPr>
            <w:tcW w:w="2410" w:type="dxa"/>
            <w:vMerge w:val="continue"/>
            <w:noWrap w:val="0"/>
            <w:vAlign w:val="center"/>
          </w:tcPr>
          <w:p>
            <w:pPr>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外形尺寸</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绝缘厚度</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电工套管</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外观</w:t>
            </w:r>
          </w:p>
        </w:tc>
        <w:tc>
          <w:tcPr>
            <w:tcW w:w="2410" w:type="dxa"/>
            <w:vMerge w:val="restart"/>
            <w:noWrap w:val="0"/>
            <w:vAlign w:val="center"/>
          </w:tcPr>
          <w:p>
            <w:pPr>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每批至少抽取1个样本</w:t>
            </w:r>
          </w:p>
        </w:tc>
        <w:tc>
          <w:tcPr>
            <w:tcW w:w="709"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850"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规格尺寸</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壁厚均匀度</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加工费</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给排水管材</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外观</w:t>
            </w:r>
          </w:p>
        </w:tc>
        <w:tc>
          <w:tcPr>
            <w:tcW w:w="2410" w:type="dxa"/>
            <w:vMerge w:val="restart"/>
            <w:noWrap w:val="0"/>
            <w:vAlign w:val="center"/>
          </w:tcPr>
          <w:p>
            <w:pPr>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同一生产厂家、品种、规格、批次检查一次</w:t>
            </w:r>
          </w:p>
        </w:tc>
        <w:tc>
          <w:tcPr>
            <w:tcW w:w="709"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850"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尺寸</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环刚度</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纵向回缩率</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拉伸强度</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伸长率</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建筑原材</w:t>
            </w:r>
          </w:p>
        </w:tc>
        <w:tc>
          <w:tcPr>
            <w:tcW w:w="1275"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玻璃</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露点</w:t>
            </w:r>
          </w:p>
        </w:tc>
        <w:tc>
          <w:tcPr>
            <w:tcW w:w="2410" w:type="dxa"/>
            <w:vMerge w:val="restart"/>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同一生产厂家、品种、规格、批次检查一次</w:t>
            </w:r>
          </w:p>
        </w:tc>
        <w:tc>
          <w:tcPr>
            <w:tcW w:w="709"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传热系数</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门窗</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三性</w:t>
            </w:r>
          </w:p>
        </w:tc>
        <w:tc>
          <w:tcPr>
            <w:tcW w:w="2410" w:type="dxa"/>
            <w:vMerge w:val="restart"/>
            <w:noWrap w:val="0"/>
            <w:vAlign w:val="center"/>
          </w:tcPr>
          <w:p>
            <w:pPr>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同一生产厂家、品种、规格、批次检查一次</w:t>
            </w:r>
          </w:p>
        </w:tc>
        <w:tc>
          <w:tcPr>
            <w:tcW w:w="709"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传热系数</w:t>
            </w:r>
          </w:p>
        </w:tc>
        <w:tc>
          <w:tcPr>
            <w:tcW w:w="2410" w:type="dxa"/>
            <w:vMerge w:val="continue"/>
            <w:noWrap w:val="0"/>
            <w:vAlign w:val="center"/>
          </w:tcPr>
          <w:p>
            <w:pPr>
              <w:widowControl/>
              <w:ind w:firstLine="240" w:firstLineChars="100"/>
              <w:jc w:val="center"/>
              <w:rPr>
                <w:rFonts w:ascii="宋体" w:hAnsi="宋体" w:cs="宋体"/>
                <w:color w:val="000000"/>
                <w:kern w:val="0"/>
                <w:sz w:val="24"/>
                <w:szCs w:val="24"/>
              </w:rPr>
            </w:pPr>
          </w:p>
        </w:tc>
        <w:tc>
          <w:tcPr>
            <w:tcW w:w="709" w:type="dxa"/>
            <w:vMerge w:val="continue"/>
            <w:noWrap w:val="0"/>
            <w:vAlign w:val="center"/>
          </w:tcPr>
          <w:p>
            <w:pPr>
              <w:widowControl/>
              <w:jc w:val="center"/>
              <w:rPr>
                <w:rFonts w:ascii="宋体" w:hAnsi="宋体" w:cs="宋体"/>
                <w:color w:val="000000"/>
                <w:kern w:val="0"/>
                <w:sz w:val="24"/>
                <w:szCs w:val="24"/>
              </w:rPr>
            </w:pPr>
          </w:p>
        </w:tc>
        <w:tc>
          <w:tcPr>
            <w:tcW w:w="850" w:type="dxa"/>
            <w:vMerge w:val="continue"/>
            <w:noWrap w:val="0"/>
            <w:vAlign w:val="center"/>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土</w:t>
            </w:r>
          </w:p>
        </w:tc>
        <w:tc>
          <w:tcPr>
            <w:tcW w:w="2410" w:type="dxa"/>
            <w:noWrap w:val="0"/>
            <w:vAlign w:val="center"/>
          </w:tcPr>
          <w:p>
            <w:pPr>
              <w:widowControl/>
              <w:jc w:val="center"/>
              <w:rPr>
                <w:rFonts w:ascii="宋体" w:hAnsi="宋体" w:cs="宋体"/>
                <w:color w:val="FF0000"/>
                <w:kern w:val="0"/>
                <w:sz w:val="24"/>
                <w:szCs w:val="24"/>
              </w:rPr>
            </w:pPr>
            <w:r>
              <w:rPr>
                <w:rFonts w:hint="eastAsia" w:ascii="宋体" w:hAnsi="宋体" w:cs="宋体"/>
                <w:kern w:val="0"/>
                <w:sz w:val="24"/>
                <w:szCs w:val="24"/>
              </w:rPr>
              <w:t>最大密度度、最佳含水率</w:t>
            </w:r>
          </w:p>
        </w:tc>
        <w:tc>
          <w:tcPr>
            <w:tcW w:w="2410" w:type="dxa"/>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施工前，不少于1次，每5000m</w:t>
            </w:r>
            <w:r>
              <w:rPr>
                <w:rFonts w:hint="eastAsia" w:ascii="宋体" w:hAnsi="宋体" w:cs="宋体"/>
                <w:color w:val="000000"/>
                <w:kern w:val="0"/>
                <w:sz w:val="24"/>
                <w:szCs w:val="24"/>
                <w:vertAlign w:val="superscript"/>
              </w:rPr>
              <w:t>3</w:t>
            </w:r>
            <w:r>
              <w:rPr>
                <w:rFonts w:hint="eastAsia" w:ascii="宋体" w:hAnsi="宋体" w:cs="宋体"/>
                <w:color w:val="000000"/>
                <w:kern w:val="0"/>
                <w:sz w:val="24"/>
                <w:szCs w:val="24"/>
              </w:rPr>
              <w:t>测一次，且土样有变化应重新试验</w:t>
            </w:r>
          </w:p>
        </w:tc>
        <w:tc>
          <w:tcPr>
            <w:tcW w:w="709" w:type="dxa"/>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种植土</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pH 值、全盐含量、质地、有机质含量</w:t>
            </w:r>
          </w:p>
        </w:tc>
        <w:tc>
          <w:tcPr>
            <w:tcW w:w="2410" w:type="dxa"/>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每种料源至少取样一次，土质有变化时重新取样</w:t>
            </w:r>
          </w:p>
        </w:tc>
        <w:tc>
          <w:tcPr>
            <w:tcW w:w="709" w:type="dxa"/>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51"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地基</w:t>
            </w:r>
          </w:p>
        </w:tc>
        <w:tc>
          <w:tcPr>
            <w:tcW w:w="1275" w:type="dxa"/>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回填土</w:t>
            </w:r>
          </w:p>
        </w:tc>
        <w:tc>
          <w:tcPr>
            <w:tcW w:w="2410" w:type="dxa"/>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密度（灌砂法）</w:t>
            </w:r>
          </w:p>
        </w:tc>
        <w:tc>
          <w:tcPr>
            <w:tcW w:w="2410" w:type="dxa"/>
            <w:noWrap w:val="0"/>
            <w:vAlign w:val="center"/>
          </w:tcPr>
          <w:p>
            <w:pPr>
              <w:widowControl/>
              <w:ind w:firstLine="240" w:firstLineChars="100"/>
              <w:jc w:val="center"/>
              <w:rPr>
                <w:rFonts w:hint="eastAsia" w:ascii="宋体" w:hAnsi="宋体" w:cs="宋体"/>
                <w:color w:val="000000"/>
                <w:kern w:val="0"/>
                <w:sz w:val="24"/>
                <w:szCs w:val="24"/>
              </w:rPr>
            </w:pPr>
            <w:r>
              <w:rPr>
                <w:rFonts w:hint="eastAsia" w:ascii="宋体" w:hAnsi="宋体" w:cs="宋体"/>
                <w:color w:val="000000"/>
                <w:kern w:val="0"/>
                <w:sz w:val="24"/>
                <w:szCs w:val="24"/>
              </w:rPr>
              <w:t>每1000m</w:t>
            </w:r>
            <w:r>
              <w:rPr>
                <w:rFonts w:hint="eastAsia" w:ascii="宋体" w:hAnsi="宋体" w:cs="宋体"/>
                <w:color w:val="000000"/>
                <w:kern w:val="0"/>
                <w:sz w:val="24"/>
                <w:szCs w:val="24"/>
                <w:vertAlign w:val="superscript"/>
              </w:rPr>
              <w:t>2</w:t>
            </w:r>
            <w:r>
              <w:rPr>
                <w:rFonts w:hint="eastAsia" w:ascii="宋体" w:hAnsi="宋体" w:cs="宋体"/>
                <w:color w:val="000000"/>
                <w:kern w:val="0"/>
                <w:sz w:val="24"/>
                <w:szCs w:val="24"/>
              </w:rPr>
              <w:t>、每压实层抽检3点。</w:t>
            </w:r>
          </w:p>
        </w:tc>
        <w:tc>
          <w:tcPr>
            <w:tcW w:w="709" w:type="dxa"/>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点</w:t>
            </w:r>
          </w:p>
        </w:tc>
        <w:tc>
          <w:tcPr>
            <w:tcW w:w="850" w:type="dxa"/>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地基土（Ⅲ类土）</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地基承载力（动力触探）</w:t>
            </w:r>
          </w:p>
        </w:tc>
        <w:tc>
          <w:tcPr>
            <w:tcW w:w="2410" w:type="dxa"/>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单位工程检测数量不应少于10点，当面积超过3000m应每500m增加1点，同一土层不应少于6点</w:t>
            </w:r>
          </w:p>
        </w:tc>
        <w:tc>
          <w:tcPr>
            <w:tcW w:w="709"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点</w:t>
            </w:r>
          </w:p>
        </w:tc>
        <w:tc>
          <w:tcPr>
            <w:tcW w:w="85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基桩</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kern w:val="0"/>
                <w:sz w:val="24"/>
                <w:szCs w:val="24"/>
              </w:rPr>
              <w:t>低应变</w:t>
            </w:r>
          </w:p>
        </w:tc>
        <w:tc>
          <w:tcPr>
            <w:tcW w:w="2410" w:type="dxa"/>
            <w:noWrap w:val="0"/>
            <w:vAlign w:val="center"/>
          </w:tcPr>
          <w:p>
            <w:pPr>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全数检测</w:t>
            </w:r>
          </w:p>
        </w:tc>
        <w:tc>
          <w:tcPr>
            <w:tcW w:w="709" w:type="dxa"/>
            <w:vMerge w:val="restart"/>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天</w:t>
            </w:r>
          </w:p>
        </w:tc>
        <w:tc>
          <w:tcPr>
            <w:tcW w:w="850" w:type="dxa"/>
            <w:vMerge w:val="restart"/>
            <w:noWrap w:val="0"/>
            <w:vAlign w:val="center"/>
          </w:tcPr>
          <w:p>
            <w:pPr>
              <w:jc w:val="center"/>
              <w:rPr>
                <w:rFonts w:ascii="宋体" w:hAnsi="宋体" w:cs="宋体"/>
                <w:color w:val="000000"/>
                <w:kern w:val="0"/>
                <w:sz w:val="24"/>
                <w:szCs w:val="24"/>
              </w:rPr>
            </w:pPr>
            <w:r>
              <w:rPr>
                <w:rFonts w:hint="eastAsia" w:ascii="宋体" w:hAnsi="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hint="eastAsia"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kern w:val="0"/>
                <w:sz w:val="24"/>
                <w:szCs w:val="24"/>
              </w:rPr>
              <w:t>单桩竖向抗压承载力</w:t>
            </w:r>
          </w:p>
        </w:tc>
        <w:tc>
          <w:tcPr>
            <w:tcW w:w="2410" w:type="dxa"/>
            <w:noWrap w:val="0"/>
            <w:vAlign w:val="center"/>
          </w:tcPr>
          <w:p>
            <w:pPr>
              <w:ind w:firstLine="240" w:firstLineChars="100"/>
              <w:jc w:val="center"/>
              <w:rPr>
                <w:rFonts w:hint="eastAsia" w:ascii="宋体" w:hAnsi="宋体" w:cs="宋体"/>
                <w:color w:val="000000"/>
                <w:kern w:val="0"/>
                <w:sz w:val="24"/>
                <w:szCs w:val="24"/>
              </w:rPr>
            </w:pPr>
            <w:r>
              <w:rPr>
                <w:rFonts w:hint="eastAsia" w:ascii="宋体" w:hAnsi="宋体" w:cs="宋体"/>
                <w:color w:val="000000"/>
                <w:kern w:val="0"/>
                <w:sz w:val="24"/>
                <w:szCs w:val="24"/>
              </w:rPr>
              <w:t>检测数量应为基桩总数的1%，且不少于3根，当总桩数小于50根时，不少于2根</w:t>
            </w:r>
          </w:p>
        </w:tc>
        <w:tc>
          <w:tcPr>
            <w:tcW w:w="709" w:type="dxa"/>
            <w:vMerge w:val="continue"/>
            <w:noWrap w:val="0"/>
            <w:vAlign w:val="center"/>
          </w:tcPr>
          <w:p>
            <w:pPr>
              <w:jc w:val="center"/>
              <w:rPr>
                <w:rFonts w:ascii="宋体" w:hAnsi="宋体" w:cs="宋体"/>
                <w:color w:val="000000"/>
                <w:kern w:val="0"/>
                <w:sz w:val="24"/>
                <w:szCs w:val="24"/>
              </w:rPr>
            </w:pPr>
          </w:p>
        </w:tc>
        <w:tc>
          <w:tcPr>
            <w:tcW w:w="850" w:type="dxa"/>
            <w:vMerge w:val="continue"/>
            <w:noWrap w:val="0"/>
            <w:vAlign w:val="center"/>
          </w:tcPr>
          <w:p>
            <w:pPr>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反力装置费</w:t>
            </w:r>
          </w:p>
        </w:tc>
        <w:tc>
          <w:tcPr>
            <w:tcW w:w="2410" w:type="dxa"/>
            <w:noWrap w:val="0"/>
            <w:vAlign w:val="center"/>
          </w:tcPr>
          <w:p>
            <w:pPr>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709" w:type="dxa"/>
            <w:vMerge w:val="continue"/>
            <w:noWrap w:val="0"/>
            <w:vAlign w:val="center"/>
          </w:tcPr>
          <w:p>
            <w:pPr>
              <w:jc w:val="center"/>
              <w:rPr>
                <w:rFonts w:ascii="宋体" w:hAnsi="宋体" w:cs="宋体"/>
                <w:color w:val="000000"/>
                <w:kern w:val="0"/>
                <w:sz w:val="24"/>
                <w:szCs w:val="24"/>
              </w:rPr>
            </w:pPr>
          </w:p>
        </w:tc>
        <w:tc>
          <w:tcPr>
            <w:tcW w:w="850" w:type="dxa"/>
            <w:vMerge w:val="continue"/>
            <w:noWrap w:val="0"/>
            <w:vAlign w:val="center"/>
          </w:tcPr>
          <w:p>
            <w:pPr>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吊装费</w:t>
            </w:r>
          </w:p>
        </w:tc>
        <w:tc>
          <w:tcPr>
            <w:tcW w:w="2410" w:type="dxa"/>
            <w:noWrap w:val="0"/>
            <w:vAlign w:val="center"/>
          </w:tcPr>
          <w:p>
            <w:pPr>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709" w:type="dxa"/>
            <w:vMerge w:val="continue"/>
            <w:noWrap w:val="0"/>
            <w:vAlign w:val="center"/>
          </w:tcPr>
          <w:p>
            <w:pPr>
              <w:jc w:val="center"/>
              <w:rPr>
                <w:rFonts w:ascii="宋体" w:hAnsi="宋体" w:cs="宋体"/>
                <w:color w:val="000000"/>
                <w:kern w:val="0"/>
                <w:sz w:val="24"/>
                <w:szCs w:val="24"/>
              </w:rPr>
            </w:pPr>
          </w:p>
        </w:tc>
        <w:tc>
          <w:tcPr>
            <w:tcW w:w="850" w:type="dxa"/>
            <w:vMerge w:val="continue"/>
            <w:noWrap w:val="0"/>
            <w:vAlign w:val="center"/>
          </w:tcPr>
          <w:p>
            <w:pPr>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vMerge w:val="continue"/>
            <w:noWrap w:val="0"/>
            <w:vAlign w:val="center"/>
          </w:tcPr>
          <w:p>
            <w:pPr>
              <w:widowControl/>
              <w:jc w:val="center"/>
              <w:rPr>
                <w:rFonts w:ascii="宋体" w:hAnsi="宋体" w:cs="宋体"/>
                <w:color w:val="000000"/>
                <w:kern w:val="0"/>
                <w:sz w:val="24"/>
                <w:szCs w:val="24"/>
              </w:rPr>
            </w:pPr>
          </w:p>
        </w:tc>
        <w:tc>
          <w:tcPr>
            <w:tcW w:w="2410" w:type="dxa"/>
            <w:noWrap w:val="0"/>
            <w:vAlign w:val="center"/>
          </w:tcPr>
          <w:p>
            <w:pPr>
              <w:widowControl/>
              <w:jc w:val="center"/>
              <w:rPr>
                <w:rFonts w:ascii="宋体" w:hAnsi="宋体" w:cs="宋体"/>
                <w:color w:val="FF0000"/>
                <w:kern w:val="0"/>
                <w:sz w:val="24"/>
                <w:szCs w:val="24"/>
              </w:rPr>
            </w:pPr>
            <w:r>
              <w:rPr>
                <w:rFonts w:hint="eastAsia" w:ascii="宋体" w:hAnsi="宋体" w:cs="宋体"/>
                <w:color w:val="000000"/>
                <w:kern w:val="0"/>
                <w:sz w:val="24"/>
                <w:szCs w:val="24"/>
              </w:rPr>
              <w:t>运输费</w:t>
            </w:r>
          </w:p>
        </w:tc>
        <w:tc>
          <w:tcPr>
            <w:tcW w:w="2410" w:type="dxa"/>
            <w:noWrap w:val="0"/>
            <w:vAlign w:val="center"/>
          </w:tcPr>
          <w:p>
            <w:pPr>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709" w:type="dxa"/>
            <w:vMerge w:val="continue"/>
            <w:noWrap w:val="0"/>
            <w:vAlign w:val="center"/>
          </w:tcPr>
          <w:p>
            <w:pPr>
              <w:jc w:val="center"/>
              <w:rPr>
                <w:rFonts w:ascii="宋体" w:hAnsi="宋体" w:cs="宋体"/>
                <w:color w:val="000000"/>
                <w:kern w:val="0"/>
                <w:sz w:val="24"/>
                <w:szCs w:val="24"/>
              </w:rPr>
            </w:pPr>
          </w:p>
        </w:tc>
        <w:tc>
          <w:tcPr>
            <w:tcW w:w="850" w:type="dxa"/>
            <w:vMerge w:val="continue"/>
            <w:noWrap w:val="0"/>
            <w:vAlign w:val="center"/>
          </w:tcPr>
          <w:p>
            <w:pPr>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1"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主体结构</w:t>
            </w:r>
          </w:p>
        </w:tc>
        <w:tc>
          <w:tcPr>
            <w:tcW w:w="1275" w:type="dxa"/>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饰面砖</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拉伸粘结强度</w:t>
            </w:r>
          </w:p>
        </w:tc>
        <w:tc>
          <w:tcPr>
            <w:tcW w:w="2410" w:type="dxa"/>
            <w:noWrap w:val="0"/>
            <w:vAlign w:val="center"/>
          </w:tcPr>
          <w:p>
            <w:pPr>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现场粘贴饰面砖粘结强度检验应以每500m2同类基体饰面砖为一个检验批，不足500m2应为一个检验批；每批应取不少于一组3个试样，每连续三个楼层应取不少于一组试样，取样宜均匀分布</w:t>
            </w:r>
          </w:p>
        </w:tc>
        <w:tc>
          <w:tcPr>
            <w:tcW w:w="709" w:type="dxa"/>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noWrap w:val="0"/>
            <w:vAlign w:val="center"/>
          </w:tcPr>
          <w:p>
            <w:pPr>
              <w:jc w:val="center"/>
              <w:rPr>
                <w:rFonts w:ascii="宋体" w:hAnsi="宋体" w:cs="宋体"/>
                <w:color w:val="000000"/>
                <w:kern w:val="0"/>
                <w:sz w:val="24"/>
                <w:szCs w:val="24"/>
              </w:rPr>
            </w:pPr>
            <w:r>
              <w:rPr>
                <w:rFonts w:hint="eastAsia"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植筋（D≤12mm）</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后锚固承载力</w:t>
            </w:r>
          </w:p>
        </w:tc>
        <w:tc>
          <w:tcPr>
            <w:tcW w:w="2410" w:type="dxa"/>
            <w:noWrap w:val="0"/>
            <w:vAlign w:val="center"/>
          </w:tcPr>
          <w:p>
            <w:pPr>
              <w:ind w:firstLine="240" w:firstLineChars="100"/>
              <w:jc w:val="center"/>
              <w:rPr>
                <w:rFonts w:hint="eastAsia" w:ascii="宋体" w:hAnsi="宋体" w:cs="宋体"/>
                <w:color w:val="000000"/>
                <w:kern w:val="0"/>
                <w:sz w:val="24"/>
                <w:szCs w:val="24"/>
              </w:rPr>
            </w:pPr>
            <w:r>
              <w:rPr>
                <w:rFonts w:hint="eastAsia" w:ascii="宋体" w:hAnsi="宋体" w:cs="宋体"/>
                <w:color w:val="000000"/>
                <w:kern w:val="0"/>
                <w:sz w:val="24"/>
                <w:szCs w:val="24"/>
              </w:rPr>
              <w:t>对重要结构构件及生命线工程的非结构构件，应取每一检验批植筋总数的3％且不少于5件进行检验；对一般结构构件，应取每一检验批植筋总数的1％且不少于3件进行检验；对非生命线工程的非结构构件，应取每一检验批锚固件总数的0.1％且不少于3件进行检验</w:t>
            </w:r>
          </w:p>
        </w:tc>
        <w:tc>
          <w:tcPr>
            <w:tcW w:w="709" w:type="dxa"/>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根</w:t>
            </w:r>
          </w:p>
        </w:tc>
        <w:tc>
          <w:tcPr>
            <w:tcW w:w="850"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851"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主体结构</w:t>
            </w:r>
          </w:p>
        </w:tc>
        <w:tc>
          <w:tcPr>
            <w:tcW w:w="1275"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混凝土</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混凝土回弹</w:t>
            </w:r>
          </w:p>
        </w:tc>
        <w:tc>
          <w:tcPr>
            <w:tcW w:w="2410" w:type="dxa"/>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随机抽取构件，抽检数量不宜少于同批构件总数的30％且不宜少于10件。当检验批构件数量大于30个时，抽样构件数量可适当调整，并不得少于国家现行有关标准规定的最少抽样数量。</w:t>
            </w:r>
          </w:p>
        </w:tc>
        <w:tc>
          <w:tcPr>
            <w:tcW w:w="709"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测区</w:t>
            </w:r>
          </w:p>
        </w:tc>
        <w:tc>
          <w:tcPr>
            <w:tcW w:w="85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钢筋探测</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钢筋位置、保护层厚度</w:t>
            </w:r>
          </w:p>
        </w:tc>
        <w:tc>
          <w:tcPr>
            <w:tcW w:w="2410" w:type="dxa"/>
            <w:noWrap w:val="0"/>
            <w:vAlign w:val="center"/>
          </w:tcPr>
          <w:p>
            <w:pPr>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对非悬挑梁板类构件，应各抽取构件数量的2%且不少于5个构件进行检验。对选定的梁类构件，应对全部纵向受力钢筋的保护层厚度进行检验；对选定的板类构件，应抽取不少于6根纵向受力钢筋的保护层厚度进行检验。对每根钢筋，应选择有代表性的不同部位量测3点取平均值。</w:t>
            </w:r>
          </w:p>
        </w:tc>
        <w:tc>
          <w:tcPr>
            <w:tcW w:w="709" w:type="dxa"/>
            <w:noWrap w:val="0"/>
            <w:vAlign w:val="center"/>
          </w:tcPr>
          <w:p>
            <w:pPr>
              <w:widowControl/>
              <w:jc w:val="center"/>
              <w:rPr>
                <w:rFonts w:ascii="宋体" w:hAnsi="宋体" w:cs="宋体"/>
                <w:color w:val="FF0000"/>
                <w:kern w:val="0"/>
                <w:sz w:val="24"/>
                <w:szCs w:val="24"/>
              </w:rPr>
            </w:pPr>
            <w:r>
              <w:rPr>
                <w:rFonts w:hint="eastAsia" w:ascii="宋体" w:hAnsi="宋体" w:cs="宋体"/>
                <w:kern w:val="0"/>
                <w:sz w:val="24"/>
                <w:szCs w:val="24"/>
              </w:rPr>
              <w:t>测区</w:t>
            </w:r>
          </w:p>
        </w:tc>
        <w:tc>
          <w:tcPr>
            <w:tcW w:w="85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钢结构涂层</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厚度</w:t>
            </w:r>
          </w:p>
        </w:tc>
        <w:tc>
          <w:tcPr>
            <w:tcW w:w="2410" w:type="dxa"/>
            <w:noWrap w:val="0"/>
            <w:vAlign w:val="center"/>
          </w:tcPr>
          <w:p>
            <w:pPr>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1%，且不少于3件</w:t>
            </w:r>
          </w:p>
        </w:tc>
        <w:tc>
          <w:tcPr>
            <w:tcW w:w="709" w:type="dxa"/>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组</w:t>
            </w:r>
          </w:p>
        </w:tc>
        <w:tc>
          <w:tcPr>
            <w:tcW w:w="850" w:type="dxa"/>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焊缝</w:t>
            </w:r>
          </w:p>
        </w:tc>
        <w:tc>
          <w:tcPr>
            <w:tcW w:w="2410" w:type="dxa"/>
            <w:noWrap w:val="0"/>
            <w:vAlign w:val="center"/>
          </w:tcPr>
          <w:p>
            <w:pPr>
              <w:widowControl/>
              <w:jc w:val="center"/>
              <w:rPr>
                <w:rFonts w:ascii="宋体" w:hAnsi="宋体" w:cs="宋体"/>
                <w:color w:val="FF0000"/>
                <w:kern w:val="0"/>
                <w:sz w:val="24"/>
                <w:szCs w:val="24"/>
              </w:rPr>
            </w:pPr>
            <w:r>
              <w:rPr>
                <w:rFonts w:hint="eastAsia" w:ascii="宋体" w:hAnsi="宋体" w:cs="宋体"/>
                <w:kern w:val="0"/>
                <w:sz w:val="24"/>
                <w:szCs w:val="24"/>
              </w:rPr>
              <w:t>超声波探伤</w:t>
            </w:r>
          </w:p>
        </w:tc>
        <w:tc>
          <w:tcPr>
            <w:tcW w:w="2410" w:type="dxa"/>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焊缝质量等级为一级按被检测焊缝处数的100%抽检；焊缝质量等级为二级按不少于被检测焊缝处数的20%抽检。</w:t>
            </w:r>
          </w:p>
        </w:tc>
        <w:tc>
          <w:tcPr>
            <w:tcW w:w="709"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点</w:t>
            </w:r>
          </w:p>
        </w:tc>
        <w:tc>
          <w:tcPr>
            <w:tcW w:w="85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51" w:type="dxa"/>
            <w:vMerge w:val="restart"/>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道路及其他</w:t>
            </w:r>
          </w:p>
        </w:tc>
        <w:tc>
          <w:tcPr>
            <w:tcW w:w="1275"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路基</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密度（灌砂法）</w:t>
            </w:r>
          </w:p>
        </w:tc>
        <w:tc>
          <w:tcPr>
            <w:tcW w:w="2410" w:type="dxa"/>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每1000m2、每压实层抽检3点。</w:t>
            </w:r>
          </w:p>
        </w:tc>
        <w:tc>
          <w:tcPr>
            <w:tcW w:w="709"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点</w:t>
            </w:r>
          </w:p>
        </w:tc>
        <w:tc>
          <w:tcPr>
            <w:tcW w:w="85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垫层</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密度（灌砂法）</w:t>
            </w:r>
          </w:p>
        </w:tc>
        <w:tc>
          <w:tcPr>
            <w:tcW w:w="2410" w:type="dxa"/>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每1000m2、每压实层抽检3点。</w:t>
            </w:r>
          </w:p>
        </w:tc>
        <w:tc>
          <w:tcPr>
            <w:tcW w:w="709"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点</w:t>
            </w:r>
          </w:p>
        </w:tc>
        <w:tc>
          <w:tcPr>
            <w:tcW w:w="85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51" w:type="dxa"/>
            <w:vMerge w:val="continue"/>
            <w:noWrap w:val="0"/>
            <w:vAlign w:val="center"/>
          </w:tcPr>
          <w:p>
            <w:pPr>
              <w:widowControl/>
              <w:jc w:val="center"/>
              <w:rPr>
                <w:rFonts w:ascii="宋体" w:hAnsi="宋体" w:cs="宋体"/>
                <w:color w:val="000000"/>
                <w:kern w:val="0"/>
                <w:sz w:val="24"/>
                <w:szCs w:val="24"/>
              </w:rPr>
            </w:pPr>
          </w:p>
        </w:tc>
        <w:tc>
          <w:tcPr>
            <w:tcW w:w="1275"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路面</w:t>
            </w:r>
          </w:p>
        </w:tc>
        <w:tc>
          <w:tcPr>
            <w:tcW w:w="241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厚度</w:t>
            </w:r>
          </w:p>
        </w:tc>
        <w:tc>
          <w:tcPr>
            <w:tcW w:w="2410" w:type="dxa"/>
            <w:noWrap w:val="0"/>
            <w:vAlign w:val="center"/>
          </w:tcPr>
          <w:p>
            <w:pPr>
              <w:widowControl/>
              <w:ind w:firstLine="240" w:firstLineChars="100"/>
              <w:jc w:val="center"/>
              <w:rPr>
                <w:rFonts w:ascii="宋体" w:hAnsi="宋体" w:cs="宋体"/>
                <w:color w:val="000000"/>
                <w:kern w:val="0"/>
                <w:sz w:val="24"/>
                <w:szCs w:val="24"/>
              </w:rPr>
            </w:pPr>
            <w:r>
              <w:rPr>
                <w:rFonts w:hint="eastAsia" w:ascii="宋体" w:hAnsi="宋体" w:cs="宋体"/>
                <w:color w:val="000000"/>
                <w:kern w:val="0"/>
                <w:sz w:val="24"/>
                <w:szCs w:val="24"/>
              </w:rPr>
              <w:t>每1000m2测1点</w:t>
            </w:r>
          </w:p>
        </w:tc>
        <w:tc>
          <w:tcPr>
            <w:tcW w:w="709"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点</w:t>
            </w:r>
          </w:p>
        </w:tc>
        <w:tc>
          <w:tcPr>
            <w:tcW w:w="850" w:type="dxa"/>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r>
    </w:tbl>
    <w:p>
      <w:pPr>
        <w:spacing w:line="480" w:lineRule="auto"/>
        <w:ind w:firstLine="482" w:firstLineChars="200"/>
        <w:jc w:val="left"/>
        <w:rPr>
          <w:rFonts w:ascii="宋体" w:hAnsi="宋体"/>
          <w:b/>
          <w:sz w:val="24"/>
          <w:szCs w:val="24"/>
        </w:rPr>
      </w:pPr>
      <w:r>
        <w:rPr>
          <w:rFonts w:hint="eastAsia" w:ascii="宋体" w:hAnsi="宋体"/>
          <w:b/>
          <w:sz w:val="24"/>
          <w:szCs w:val="24"/>
        </w:rPr>
        <w:t>（二）服务要求</w:t>
      </w:r>
    </w:p>
    <w:p>
      <w:pPr>
        <w:spacing w:line="480" w:lineRule="auto"/>
        <w:ind w:firstLine="480" w:firstLineChars="200"/>
        <w:jc w:val="left"/>
        <w:rPr>
          <w:rFonts w:ascii="宋体" w:hAnsi="宋体"/>
          <w:sz w:val="24"/>
          <w:szCs w:val="24"/>
        </w:rPr>
      </w:pPr>
      <w:r>
        <w:rPr>
          <w:rFonts w:hint="eastAsia" w:ascii="宋体" w:hAnsi="宋体"/>
          <w:sz w:val="24"/>
          <w:szCs w:val="24"/>
        </w:rPr>
        <w:t>1、成交供应商为本项目提供的</w:t>
      </w:r>
      <w:r>
        <w:rPr>
          <w:rFonts w:ascii="宋体" w:hAnsi="宋体"/>
          <w:sz w:val="24"/>
          <w:szCs w:val="24"/>
        </w:rPr>
        <w:t>所有服务应符合现行的国家</w:t>
      </w:r>
      <w:r>
        <w:rPr>
          <w:rFonts w:hint="eastAsia" w:ascii="宋体" w:hAnsi="宋体"/>
          <w:sz w:val="24"/>
          <w:szCs w:val="24"/>
        </w:rPr>
        <w:t>相关</w:t>
      </w:r>
      <w:r>
        <w:rPr>
          <w:rFonts w:ascii="宋体" w:hAnsi="宋体"/>
          <w:sz w:val="24"/>
          <w:szCs w:val="24"/>
        </w:rPr>
        <w:t>标准、行业标准、地方标准或者其他标准、规范。</w:t>
      </w:r>
    </w:p>
    <w:p>
      <w:pPr>
        <w:spacing w:line="480" w:lineRule="auto"/>
        <w:ind w:firstLine="480" w:firstLineChars="200"/>
        <w:jc w:val="left"/>
        <w:rPr>
          <w:rFonts w:ascii="宋体" w:hAnsi="宋体"/>
          <w:sz w:val="24"/>
          <w:szCs w:val="24"/>
        </w:rPr>
      </w:pPr>
      <w:r>
        <w:rPr>
          <w:rFonts w:hint="eastAsia" w:ascii="宋体" w:hAnsi="宋体"/>
          <w:sz w:val="24"/>
          <w:szCs w:val="24"/>
        </w:rPr>
        <w:t>2、成交供应商应</w:t>
      </w:r>
      <w:r>
        <w:rPr>
          <w:rFonts w:ascii="宋体" w:hAnsi="宋体"/>
          <w:sz w:val="24"/>
          <w:szCs w:val="24"/>
        </w:rPr>
        <w:t>对本项目涉及到的商业</w:t>
      </w:r>
      <w:r>
        <w:rPr>
          <w:rFonts w:hint="eastAsia" w:ascii="宋体" w:hAnsi="宋体"/>
          <w:sz w:val="24"/>
          <w:szCs w:val="24"/>
        </w:rPr>
        <w:t>和</w:t>
      </w:r>
      <w:r>
        <w:rPr>
          <w:rFonts w:ascii="宋体" w:hAnsi="宋体"/>
          <w:sz w:val="24"/>
          <w:szCs w:val="24"/>
        </w:rPr>
        <w:t>技术等内容保密，违者</w:t>
      </w:r>
      <w:r>
        <w:rPr>
          <w:rFonts w:hint="eastAsia" w:ascii="宋体" w:hAnsi="宋体"/>
          <w:sz w:val="24"/>
          <w:szCs w:val="24"/>
        </w:rPr>
        <w:t>须</w:t>
      </w:r>
      <w:r>
        <w:rPr>
          <w:rFonts w:ascii="宋体" w:hAnsi="宋体"/>
          <w:sz w:val="24"/>
          <w:szCs w:val="24"/>
        </w:rPr>
        <w:t>对由此</w:t>
      </w:r>
      <w:r>
        <w:rPr>
          <w:rFonts w:hint="eastAsia" w:ascii="宋体" w:hAnsi="宋体"/>
          <w:sz w:val="24"/>
          <w:szCs w:val="24"/>
        </w:rPr>
        <w:t>造成</w:t>
      </w:r>
      <w:r>
        <w:rPr>
          <w:rFonts w:ascii="宋体" w:hAnsi="宋体"/>
          <w:sz w:val="24"/>
          <w:szCs w:val="24"/>
        </w:rPr>
        <w:t>的后果承担法律责任。</w:t>
      </w:r>
    </w:p>
    <w:p>
      <w:pPr>
        <w:spacing w:line="480" w:lineRule="auto"/>
        <w:ind w:firstLine="480" w:firstLineChars="200"/>
        <w:jc w:val="left"/>
        <w:rPr>
          <w:rFonts w:ascii="宋体" w:hAnsi="宋体"/>
          <w:sz w:val="24"/>
          <w:szCs w:val="24"/>
        </w:rPr>
      </w:pPr>
      <w:r>
        <w:rPr>
          <w:rFonts w:hint="eastAsia" w:ascii="宋体" w:hAnsi="宋体"/>
          <w:sz w:val="24"/>
          <w:szCs w:val="24"/>
        </w:rPr>
        <w:t>3、</w:t>
      </w:r>
      <w:r>
        <w:rPr>
          <w:rFonts w:ascii="宋体" w:hAnsi="宋体"/>
          <w:sz w:val="24"/>
          <w:szCs w:val="24"/>
        </w:rPr>
        <w:t>成果文件：</w:t>
      </w:r>
      <w:r>
        <w:rPr>
          <w:rFonts w:hint="eastAsia" w:ascii="宋体" w:hAnsi="宋体"/>
          <w:sz w:val="24"/>
          <w:szCs w:val="24"/>
        </w:rPr>
        <w:t>成交供应商根据技术规范、规程、标准等要求对本项目进行工程材料检测，并按照</w:t>
      </w:r>
      <w:r>
        <w:rPr>
          <w:rFonts w:ascii="宋体" w:hAnsi="宋体"/>
          <w:sz w:val="24"/>
          <w:szCs w:val="24"/>
        </w:rPr>
        <w:t>检测内容编制</w:t>
      </w:r>
      <w:r>
        <w:rPr>
          <w:rFonts w:hint="eastAsia" w:ascii="宋体" w:hAnsi="宋体"/>
          <w:sz w:val="24"/>
          <w:szCs w:val="24"/>
        </w:rPr>
        <w:t>检测报告，报告的内容</w:t>
      </w:r>
      <w:r>
        <w:rPr>
          <w:rFonts w:ascii="宋体" w:hAnsi="宋体"/>
          <w:sz w:val="24"/>
          <w:szCs w:val="24"/>
        </w:rPr>
        <w:t>应完整、详实</w:t>
      </w:r>
      <w:r>
        <w:rPr>
          <w:rFonts w:hint="eastAsia" w:ascii="宋体" w:hAnsi="宋体"/>
          <w:sz w:val="24"/>
          <w:szCs w:val="24"/>
        </w:rPr>
        <w:t>，如实反映</w:t>
      </w:r>
      <w:r>
        <w:rPr>
          <w:rFonts w:ascii="宋体" w:hAnsi="宋体"/>
          <w:sz w:val="24"/>
          <w:szCs w:val="24"/>
        </w:rPr>
        <w:t>本次检测的有关情况</w:t>
      </w:r>
      <w:r>
        <w:rPr>
          <w:rFonts w:hint="eastAsia" w:ascii="宋体" w:hAnsi="宋体"/>
          <w:sz w:val="24"/>
          <w:szCs w:val="24"/>
        </w:rPr>
        <w:t>。检测</w:t>
      </w:r>
      <w:r>
        <w:rPr>
          <w:rFonts w:ascii="宋体" w:hAnsi="宋体"/>
          <w:sz w:val="24"/>
          <w:szCs w:val="24"/>
        </w:rPr>
        <w:t>结果如存在异常情况，须</w:t>
      </w:r>
      <w:r>
        <w:rPr>
          <w:rFonts w:hint="eastAsia" w:ascii="宋体" w:hAnsi="宋体"/>
          <w:sz w:val="24"/>
          <w:szCs w:val="24"/>
        </w:rPr>
        <w:t>以</w:t>
      </w:r>
      <w:r>
        <w:rPr>
          <w:rFonts w:ascii="宋体" w:hAnsi="宋体"/>
          <w:sz w:val="24"/>
          <w:szCs w:val="24"/>
        </w:rPr>
        <w:t>明确的书面结论性报告形式</w:t>
      </w:r>
      <w:r>
        <w:rPr>
          <w:rFonts w:hint="eastAsia" w:ascii="宋体" w:hAnsi="宋体"/>
          <w:sz w:val="24"/>
          <w:szCs w:val="24"/>
        </w:rPr>
        <w:t>第一时间</w:t>
      </w:r>
      <w:r>
        <w:rPr>
          <w:rFonts w:ascii="宋体" w:hAnsi="宋体"/>
          <w:sz w:val="24"/>
          <w:szCs w:val="24"/>
        </w:rPr>
        <w:t>报告采购人，</w:t>
      </w:r>
      <w:r>
        <w:rPr>
          <w:rFonts w:hint="eastAsia" w:ascii="宋体" w:hAnsi="宋体"/>
          <w:sz w:val="24"/>
          <w:szCs w:val="24"/>
        </w:rPr>
        <w:t>以便</w:t>
      </w:r>
      <w:r>
        <w:rPr>
          <w:rFonts w:ascii="宋体" w:hAnsi="宋体"/>
          <w:sz w:val="24"/>
          <w:szCs w:val="24"/>
        </w:rPr>
        <w:t>采购</w:t>
      </w:r>
      <w:r>
        <w:rPr>
          <w:rFonts w:hint="eastAsia" w:ascii="宋体" w:hAnsi="宋体"/>
          <w:sz w:val="24"/>
          <w:szCs w:val="24"/>
        </w:rPr>
        <w:t>人</w:t>
      </w:r>
      <w:r>
        <w:rPr>
          <w:rFonts w:ascii="宋体" w:hAnsi="宋体"/>
          <w:sz w:val="24"/>
          <w:szCs w:val="24"/>
        </w:rPr>
        <w:t>采取紧急措施</w:t>
      </w:r>
      <w:r>
        <w:rPr>
          <w:rFonts w:hint="eastAsia" w:ascii="宋体" w:hAnsi="宋体"/>
          <w:sz w:val="24"/>
          <w:szCs w:val="24"/>
        </w:rPr>
        <w:t>。成交供应商对检测报告提出的检测结果及结论负责。成交供应商</w:t>
      </w:r>
      <w:r>
        <w:rPr>
          <w:rFonts w:ascii="宋体" w:hAnsi="宋体"/>
          <w:sz w:val="24"/>
          <w:szCs w:val="24"/>
        </w:rPr>
        <w:t>按照采购人要求</w:t>
      </w:r>
      <w:r>
        <w:rPr>
          <w:rFonts w:hint="eastAsia" w:ascii="宋体" w:hAnsi="宋体"/>
          <w:sz w:val="24"/>
          <w:szCs w:val="24"/>
        </w:rPr>
        <w:t>提供响应</w:t>
      </w:r>
      <w:r>
        <w:rPr>
          <w:rFonts w:ascii="宋体" w:hAnsi="宋体"/>
          <w:sz w:val="24"/>
          <w:szCs w:val="24"/>
        </w:rPr>
        <w:t>的</w:t>
      </w:r>
      <w:r>
        <w:rPr>
          <w:rFonts w:hint="eastAsia" w:ascii="宋体" w:hAnsi="宋体"/>
          <w:sz w:val="24"/>
          <w:szCs w:val="24"/>
        </w:rPr>
        <w:t>检测报告</w:t>
      </w:r>
      <w:r>
        <w:rPr>
          <w:rFonts w:ascii="宋体" w:hAnsi="宋体"/>
          <w:sz w:val="24"/>
          <w:szCs w:val="24"/>
        </w:rPr>
        <w:t>份数。</w:t>
      </w:r>
    </w:p>
    <w:p>
      <w:pPr>
        <w:spacing w:line="480" w:lineRule="auto"/>
        <w:ind w:firstLine="480" w:firstLineChars="200"/>
        <w:jc w:val="left"/>
        <w:rPr>
          <w:rFonts w:ascii="宋体" w:hAnsi="宋体"/>
          <w:sz w:val="24"/>
          <w:szCs w:val="24"/>
        </w:rPr>
      </w:pPr>
      <w:r>
        <w:rPr>
          <w:rFonts w:ascii="宋体" w:hAnsi="宋体"/>
          <w:sz w:val="24"/>
          <w:szCs w:val="24"/>
        </w:rPr>
        <w:t>4</w:t>
      </w:r>
      <w:r>
        <w:rPr>
          <w:rFonts w:hint="eastAsia" w:ascii="宋体" w:hAnsi="宋体"/>
          <w:sz w:val="24"/>
          <w:szCs w:val="24"/>
        </w:rPr>
        <w:t>、服务</w:t>
      </w:r>
      <w:r>
        <w:rPr>
          <w:rFonts w:ascii="宋体" w:hAnsi="宋体"/>
          <w:sz w:val="24"/>
          <w:szCs w:val="24"/>
        </w:rPr>
        <w:t>过程中，</w:t>
      </w:r>
      <w:r>
        <w:rPr>
          <w:rFonts w:hint="eastAsia" w:ascii="宋体" w:hAnsi="宋体"/>
          <w:sz w:val="24"/>
          <w:szCs w:val="24"/>
        </w:rPr>
        <w:t>成交</w:t>
      </w:r>
      <w:r>
        <w:rPr>
          <w:rFonts w:ascii="宋体" w:hAnsi="宋体"/>
          <w:sz w:val="24"/>
          <w:szCs w:val="24"/>
        </w:rPr>
        <w:t>供应商须</w:t>
      </w:r>
      <w:r>
        <w:rPr>
          <w:rFonts w:hint="eastAsia" w:ascii="宋体" w:hAnsi="宋体"/>
          <w:sz w:val="24"/>
          <w:szCs w:val="24"/>
        </w:rPr>
        <w:t>维护</w:t>
      </w:r>
      <w:r>
        <w:rPr>
          <w:rFonts w:ascii="宋体" w:hAnsi="宋体"/>
          <w:sz w:val="24"/>
          <w:szCs w:val="24"/>
        </w:rPr>
        <w:t>采购人的合法权益</w:t>
      </w:r>
      <w:r>
        <w:rPr>
          <w:rFonts w:hint="eastAsia" w:ascii="宋体" w:hAnsi="宋体"/>
          <w:sz w:val="24"/>
          <w:szCs w:val="24"/>
        </w:rPr>
        <w:t>。</w:t>
      </w:r>
    </w:p>
    <w:p>
      <w:pPr>
        <w:pStyle w:val="8"/>
        <w:rPr>
          <w:rFonts w:eastAsia="宋体"/>
          <w:color w:val="auto"/>
          <w:kern w:val="0"/>
        </w:rPr>
      </w:pPr>
    </w:p>
    <w:p>
      <w:pPr>
        <w:pStyle w:val="3"/>
        <w:spacing w:beforeLines="50" w:afterLines="50" w:line="400" w:lineRule="exact"/>
        <w:rPr>
          <w:rFonts w:ascii="Times New Roman" w:hAnsi="Times New Roman"/>
          <w:sz w:val="28"/>
          <w:szCs w:val="28"/>
        </w:rPr>
      </w:pPr>
      <w:r>
        <w:rPr>
          <w:rFonts w:hint="eastAsia" w:ascii="Times New Roman" w:hAnsi="Times New Roman"/>
          <w:sz w:val="28"/>
          <w:szCs w:val="28"/>
          <w:lang w:val="en-US" w:eastAsia="zh-CN"/>
        </w:rPr>
        <w:t>四、</w:t>
      </w:r>
      <w:r>
        <w:rPr>
          <w:rFonts w:hint="eastAsia" w:ascii="Times New Roman" w:hAnsi="Times New Roman"/>
          <w:sz w:val="28"/>
          <w:szCs w:val="28"/>
        </w:rPr>
        <w:t>商务要求（实质性要求）</w:t>
      </w:r>
    </w:p>
    <w:p>
      <w:pPr>
        <w:pStyle w:val="9"/>
        <w:spacing w:line="480" w:lineRule="auto"/>
        <w:ind w:firstLine="482" w:firstLineChars="200"/>
        <w:jc w:val="both"/>
        <w:rPr>
          <w:rFonts w:ascii="宋体" w:hAnsi="宋体"/>
          <w:b/>
          <w:sz w:val="24"/>
          <w:szCs w:val="24"/>
        </w:rPr>
      </w:pPr>
      <w:r>
        <w:rPr>
          <w:rFonts w:hint="eastAsia" w:ascii="宋体" w:hAnsi="宋体"/>
          <w:b/>
          <w:sz w:val="24"/>
          <w:szCs w:val="24"/>
        </w:rPr>
        <w:t>1、</w:t>
      </w:r>
      <w:r>
        <w:rPr>
          <w:rFonts w:hint="eastAsia" w:ascii="宋体" w:hAnsi="宋体" w:cs="宋体"/>
          <w:b/>
          <w:sz w:val="24"/>
          <w:szCs w:val="24"/>
        </w:rPr>
        <w:t>服务期限</w:t>
      </w:r>
      <w:r>
        <w:rPr>
          <w:rFonts w:hint="eastAsia" w:ascii="宋体" w:hAnsi="宋体"/>
          <w:b/>
          <w:sz w:val="24"/>
          <w:szCs w:val="24"/>
        </w:rPr>
        <w:t>：</w:t>
      </w:r>
      <w:r>
        <w:rPr>
          <w:rFonts w:hint="eastAsia" w:ascii="宋体" w:hAnsi="宋体"/>
          <w:color w:val="000000"/>
          <w:sz w:val="24"/>
          <w:szCs w:val="24"/>
          <w:lang w:val="en-US" w:eastAsia="zh-CN"/>
        </w:rPr>
        <w:t>270日历天</w:t>
      </w:r>
      <w:r>
        <w:rPr>
          <w:rFonts w:ascii="宋体" w:hAnsi="宋体"/>
          <w:color w:val="000000"/>
          <w:sz w:val="24"/>
          <w:szCs w:val="24"/>
        </w:rPr>
        <w:t>。</w:t>
      </w:r>
    </w:p>
    <w:p>
      <w:pPr>
        <w:pStyle w:val="9"/>
        <w:spacing w:line="480" w:lineRule="auto"/>
        <w:ind w:firstLine="482" w:firstLineChars="200"/>
        <w:jc w:val="both"/>
        <w:rPr>
          <w:rFonts w:ascii="宋体" w:hAnsi="宋体"/>
          <w:sz w:val="24"/>
          <w:szCs w:val="24"/>
        </w:rPr>
      </w:pPr>
      <w:r>
        <w:rPr>
          <w:rFonts w:hint="eastAsia" w:ascii="宋体" w:hAnsi="宋体"/>
          <w:b/>
          <w:sz w:val="24"/>
          <w:szCs w:val="24"/>
        </w:rPr>
        <w:t>2、服务地点：</w:t>
      </w:r>
      <w:r>
        <w:rPr>
          <w:rFonts w:hint="eastAsia" w:ascii="宋体" w:hAnsi="宋体"/>
          <w:sz w:val="24"/>
          <w:szCs w:val="24"/>
        </w:rPr>
        <w:t>采购人指定地点。</w:t>
      </w:r>
    </w:p>
    <w:p>
      <w:pPr>
        <w:pStyle w:val="9"/>
        <w:spacing w:line="480" w:lineRule="auto"/>
        <w:ind w:firstLine="482" w:firstLineChars="200"/>
        <w:jc w:val="both"/>
        <w:rPr>
          <w:rFonts w:ascii="宋体" w:hAnsi="宋体"/>
          <w:b/>
          <w:sz w:val="24"/>
          <w:szCs w:val="24"/>
        </w:rPr>
      </w:pPr>
      <w:r>
        <w:rPr>
          <w:rFonts w:ascii="宋体" w:hAnsi="宋体"/>
          <w:b/>
          <w:sz w:val="24"/>
          <w:szCs w:val="24"/>
        </w:rPr>
        <w:t>3、付款方式：</w:t>
      </w:r>
      <w:r>
        <w:rPr>
          <w:rFonts w:hint="eastAsia" w:ascii="宋体" w:hAnsi="宋体"/>
          <w:b/>
          <w:sz w:val="24"/>
          <w:szCs w:val="24"/>
        </w:rPr>
        <w:t xml:space="preserve"> </w:t>
      </w:r>
    </w:p>
    <w:p>
      <w:pPr>
        <w:pStyle w:val="9"/>
        <w:spacing w:line="480" w:lineRule="auto"/>
        <w:ind w:firstLine="480" w:firstLineChars="200"/>
        <w:jc w:val="both"/>
        <w:rPr>
          <w:rFonts w:ascii="宋体" w:hAnsi="宋体"/>
          <w:bCs/>
          <w:sz w:val="24"/>
          <w:szCs w:val="24"/>
        </w:rPr>
      </w:pPr>
      <w:r>
        <w:rPr>
          <w:rFonts w:hint="eastAsia" w:ascii="宋体" w:hAnsi="宋体"/>
          <w:bCs/>
          <w:sz w:val="24"/>
          <w:szCs w:val="24"/>
        </w:rPr>
        <w:t>（1）签订政府采购合同生效后，达到付款条件起15日，支付合同总金额的30%作为预付款。</w:t>
      </w:r>
    </w:p>
    <w:p>
      <w:pPr>
        <w:pStyle w:val="9"/>
        <w:spacing w:line="480" w:lineRule="auto"/>
        <w:ind w:firstLine="480" w:firstLineChars="200"/>
        <w:jc w:val="both"/>
        <w:rPr>
          <w:rFonts w:ascii="宋体" w:hAnsi="宋体"/>
          <w:bCs/>
          <w:sz w:val="24"/>
          <w:szCs w:val="24"/>
        </w:rPr>
      </w:pPr>
      <w:r>
        <w:rPr>
          <w:rFonts w:hint="eastAsia" w:ascii="宋体" w:hAnsi="宋体"/>
          <w:bCs/>
          <w:sz w:val="24"/>
          <w:szCs w:val="24"/>
        </w:rPr>
        <w:t xml:space="preserve">（2）整体完工（包含装修工程）后，达到付款条件起30日，支付合同总金额的40%。 </w:t>
      </w:r>
    </w:p>
    <w:p>
      <w:pPr>
        <w:pStyle w:val="9"/>
        <w:spacing w:line="480" w:lineRule="auto"/>
        <w:ind w:firstLine="480" w:firstLineChars="200"/>
        <w:jc w:val="both"/>
        <w:rPr>
          <w:rFonts w:ascii="宋体" w:hAnsi="宋体"/>
          <w:bCs/>
          <w:sz w:val="24"/>
          <w:szCs w:val="24"/>
        </w:rPr>
      </w:pPr>
      <w:r>
        <w:rPr>
          <w:rFonts w:hint="eastAsia" w:ascii="宋体" w:hAnsi="宋体"/>
          <w:bCs/>
          <w:sz w:val="24"/>
          <w:szCs w:val="24"/>
        </w:rPr>
        <w:t xml:space="preserve">（3）最终竣工验收报告完成并递交甲方后，达到付款条件起30日，支付合同总金额的30%。 </w:t>
      </w:r>
    </w:p>
    <w:p>
      <w:pPr>
        <w:pStyle w:val="9"/>
        <w:spacing w:line="480" w:lineRule="auto"/>
        <w:ind w:firstLine="480" w:firstLineChars="200"/>
        <w:jc w:val="both"/>
        <w:rPr>
          <w:rFonts w:ascii="宋体" w:hAnsi="宋体"/>
          <w:bCs/>
          <w:sz w:val="24"/>
          <w:szCs w:val="24"/>
        </w:rPr>
      </w:pPr>
      <w:r>
        <w:rPr>
          <w:rFonts w:hint="eastAsia" w:ascii="宋体" w:hAnsi="宋体"/>
          <w:bCs/>
          <w:sz w:val="24"/>
          <w:szCs w:val="24"/>
        </w:rPr>
        <w:t>（4）供应商应在采购人支付费用前，提供等额有效的正式完税发票。 注：本项目按实结算。</w:t>
      </w:r>
    </w:p>
    <w:p>
      <w:pPr>
        <w:spacing w:line="480" w:lineRule="auto"/>
        <w:ind w:firstLine="482" w:firstLineChars="200"/>
        <w:rPr>
          <w:rFonts w:ascii="宋体" w:hAnsi="宋体"/>
          <w:b/>
          <w:sz w:val="24"/>
          <w:szCs w:val="24"/>
        </w:rPr>
      </w:pPr>
      <w:r>
        <w:rPr>
          <w:rFonts w:hint="eastAsia" w:ascii="宋体" w:hAnsi="宋体"/>
          <w:b/>
          <w:sz w:val="24"/>
          <w:szCs w:val="24"/>
        </w:rPr>
        <w:t>4、报价要求：</w:t>
      </w:r>
      <w:r>
        <w:rPr>
          <w:rFonts w:hint="eastAsia" w:ascii="宋体" w:hAnsi="宋体"/>
          <w:sz w:val="24"/>
          <w:szCs w:val="24"/>
        </w:rPr>
        <w:t>本次</w:t>
      </w:r>
      <w:r>
        <w:rPr>
          <w:rFonts w:ascii="宋体" w:hAnsi="宋体"/>
          <w:sz w:val="24"/>
          <w:szCs w:val="24"/>
        </w:rPr>
        <w:t>报价采用人民币报价，报价是</w:t>
      </w:r>
      <w:r>
        <w:rPr>
          <w:rFonts w:hint="eastAsia" w:ascii="宋体" w:hAnsi="宋体"/>
          <w:sz w:val="24"/>
          <w:szCs w:val="24"/>
        </w:rPr>
        <w:t>供应商</w:t>
      </w:r>
      <w:r>
        <w:rPr>
          <w:rFonts w:ascii="宋体" w:hAnsi="宋体"/>
          <w:sz w:val="24"/>
          <w:szCs w:val="24"/>
        </w:rPr>
        <w:t>全部完成本项目所有的项目内容的最终报价，包括供应商</w:t>
      </w:r>
      <w:r>
        <w:rPr>
          <w:rFonts w:hint="eastAsia" w:ascii="宋体" w:hAnsi="宋体"/>
          <w:sz w:val="24"/>
          <w:szCs w:val="24"/>
        </w:rPr>
        <w:t>履约</w:t>
      </w:r>
      <w:r>
        <w:rPr>
          <w:rFonts w:ascii="宋体" w:hAnsi="宋体"/>
          <w:sz w:val="24"/>
          <w:szCs w:val="24"/>
        </w:rPr>
        <w:t>过程中的人工费、</w:t>
      </w:r>
      <w:r>
        <w:rPr>
          <w:rFonts w:hint="eastAsia" w:ascii="宋体" w:hAnsi="宋体"/>
          <w:sz w:val="24"/>
          <w:szCs w:val="24"/>
        </w:rPr>
        <w:t>保险</w:t>
      </w:r>
      <w:r>
        <w:rPr>
          <w:rFonts w:ascii="宋体" w:hAnsi="宋体"/>
          <w:sz w:val="24"/>
          <w:szCs w:val="24"/>
        </w:rPr>
        <w:t>、检测、成果提交、税费</w:t>
      </w:r>
      <w:r>
        <w:rPr>
          <w:rFonts w:hint="eastAsia" w:ascii="宋体" w:hAnsi="宋体"/>
          <w:sz w:val="24"/>
          <w:szCs w:val="24"/>
        </w:rPr>
        <w:t>等</w:t>
      </w:r>
      <w:r>
        <w:rPr>
          <w:rFonts w:ascii="宋体" w:hAnsi="宋体"/>
          <w:sz w:val="24"/>
          <w:szCs w:val="24"/>
        </w:rPr>
        <w:t>完成本项目所需要的其他</w:t>
      </w:r>
      <w:r>
        <w:rPr>
          <w:rFonts w:hint="eastAsia" w:ascii="宋体" w:hAnsi="宋体"/>
          <w:sz w:val="24"/>
          <w:szCs w:val="24"/>
        </w:rPr>
        <w:t>所有</w:t>
      </w:r>
      <w:r>
        <w:rPr>
          <w:rFonts w:ascii="宋体" w:hAnsi="宋体"/>
          <w:sz w:val="24"/>
          <w:szCs w:val="24"/>
        </w:rPr>
        <w:t>费用。因</w:t>
      </w:r>
      <w:r>
        <w:rPr>
          <w:rFonts w:hint="eastAsia" w:ascii="宋体" w:hAnsi="宋体"/>
          <w:sz w:val="24"/>
          <w:szCs w:val="24"/>
        </w:rPr>
        <w:t>供应商</w:t>
      </w:r>
      <w:r>
        <w:rPr>
          <w:rFonts w:ascii="宋体" w:hAnsi="宋体"/>
          <w:sz w:val="24"/>
          <w:szCs w:val="24"/>
        </w:rPr>
        <w:t>自身原因造成漏报、少报皆</w:t>
      </w:r>
      <w:r>
        <w:rPr>
          <w:rFonts w:hint="eastAsia" w:ascii="宋体" w:hAnsi="宋体"/>
          <w:sz w:val="24"/>
          <w:szCs w:val="24"/>
        </w:rPr>
        <w:t>由</w:t>
      </w:r>
      <w:r>
        <w:rPr>
          <w:rFonts w:ascii="宋体" w:hAnsi="宋体"/>
          <w:sz w:val="24"/>
          <w:szCs w:val="24"/>
        </w:rPr>
        <w:t>其自行</w:t>
      </w:r>
      <w:r>
        <w:rPr>
          <w:rFonts w:hint="eastAsia" w:ascii="宋体" w:hAnsi="宋体"/>
          <w:sz w:val="24"/>
          <w:szCs w:val="24"/>
        </w:rPr>
        <w:t>承担</w:t>
      </w:r>
      <w:r>
        <w:rPr>
          <w:rFonts w:ascii="宋体" w:hAnsi="宋体"/>
          <w:sz w:val="24"/>
          <w:szCs w:val="24"/>
        </w:rPr>
        <w:t>责任，采购人不再补偿。</w:t>
      </w:r>
    </w:p>
    <w:p>
      <w:pPr>
        <w:spacing w:line="480" w:lineRule="auto"/>
        <w:ind w:firstLine="482" w:firstLineChars="200"/>
        <w:rPr>
          <w:rFonts w:ascii="宋体" w:hAnsi="宋体"/>
          <w:b/>
          <w:sz w:val="24"/>
          <w:szCs w:val="24"/>
        </w:rPr>
      </w:pPr>
      <w:r>
        <w:rPr>
          <w:rFonts w:ascii="宋体" w:hAnsi="宋体"/>
          <w:b/>
          <w:sz w:val="24"/>
          <w:szCs w:val="24"/>
        </w:rPr>
        <w:t>5</w:t>
      </w:r>
      <w:r>
        <w:rPr>
          <w:rFonts w:hint="eastAsia" w:ascii="宋体" w:hAnsi="宋体"/>
          <w:b/>
          <w:sz w:val="24"/>
          <w:szCs w:val="24"/>
        </w:rPr>
        <w:t>、验收方法和标准：</w:t>
      </w:r>
    </w:p>
    <w:p>
      <w:pPr>
        <w:spacing w:line="480" w:lineRule="auto"/>
        <w:ind w:firstLine="480" w:firstLineChars="200"/>
        <w:rPr>
          <w:rFonts w:ascii="宋体" w:hAnsi="宋体"/>
          <w:bCs/>
          <w:sz w:val="24"/>
          <w:szCs w:val="24"/>
        </w:rPr>
      </w:pPr>
      <w:r>
        <w:rPr>
          <w:rFonts w:hint="eastAsia" w:ascii="宋体" w:hAnsi="宋体"/>
          <w:bCs/>
          <w:sz w:val="24"/>
          <w:szCs w:val="24"/>
        </w:rPr>
        <w:t>采购人与成交供应商按照《财政部关于进一步加强政府采购需求和履约验收管理的指导意见》（财库〔2016〕205 号）和乐山市财政局《关于沿用〈乐山市政府采购项目需求论证和履约验收管理实施细则〉的通知》（乐市财政采〔2021〕8 号）的要求进行验收的通知要求、响应文件及合同承诺的内容进行验收。</w:t>
      </w:r>
    </w:p>
    <w:p>
      <w:pPr>
        <w:spacing w:line="480" w:lineRule="auto"/>
        <w:ind w:firstLine="480" w:firstLineChars="200"/>
        <w:rPr>
          <w:rFonts w:ascii="宋体" w:hAnsi="宋体"/>
          <w:bCs/>
          <w:sz w:val="24"/>
          <w:szCs w:val="24"/>
        </w:rPr>
      </w:pPr>
      <w:r>
        <w:rPr>
          <w:rFonts w:hint="eastAsia" w:ascii="宋体" w:hAnsi="宋体"/>
          <w:bCs/>
          <w:sz w:val="24"/>
          <w:szCs w:val="24"/>
        </w:rPr>
        <w:t>即：（1）符合达到现行国家、行业标准，符合相关法律法规要求。</w:t>
      </w:r>
    </w:p>
    <w:p>
      <w:pPr>
        <w:spacing w:line="480" w:lineRule="auto"/>
        <w:ind w:firstLine="960" w:firstLineChars="400"/>
        <w:rPr>
          <w:rFonts w:ascii="宋体" w:hAnsi="宋体"/>
          <w:bCs/>
          <w:sz w:val="24"/>
          <w:szCs w:val="24"/>
        </w:rPr>
      </w:pPr>
      <w:r>
        <w:rPr>
          <w:rFonts w:hint="eastAsia" w:ascii="宋体" w:hAnsi="宋体"/>
          <w:bCs/>
          <w:sz w:val="24"/>
          <w:szCs w:val="24"/>
        </w:rPr>
        <w:t>（2）符合本项目采购文件的要求。</w:t>
      </w:r>
    </w:p>
    <w:p>
      <w:pPr>
        <w:spacing w:line="480" w:lineRule="auto"/>
        <w:ind w:firstLine="960" w:firstLineChars="400"/>
        <w:rPr>
          <w:rFonts w:ascii="宋体" w:hAnsi="宋体"/>
          <w:bCs/>
          <w:sz w:val="24"/>
          <w:szCs w:val="24"/>
        </w:rPr>
      </w:pPr>
      <w:r>
        <w:rPr>
          <w:rFonts w:hint="eastAsia" w:ascii="宋体" w:hAnsi="宋体"/>
          <w:bCs/>
          <w:sz w:val="24"/>
          <w:szCs w:val="24"/>
        </w:rPr>
        <w:t>（3）符合本项目响应文件的要求。</w:t>
      </w:r>
    </w:p>
    <w:p>
      <w:pPr>
        <w:spacing w:line="480" w:lineRule="auto"/>
        <w:ind w:firstLine="960" w:firstLineChars="400"/>
        <w:rPr>
          <w:rFonts w:ascii="宋体" w:hAnsi="宋体"/>
          <w:bCs/>
          <w:sz w:val="24"/>
          <w:szCs w:val="24"/>
        </w:rPr>
      </w:pPr>
      <w:r>
        <w:rPr>
          <w:rFonts w:hint="eastAsia" w:ascii="宋体" w:hAnsi="宋体"/>
          <w:bCs/>
          <w:sz w:val="24"/>
          <w:szCs w:val="24"/>
        </w:rPr>
        <w:t>（4）验收不合格的，采购人要求成交供应商限期整改后再次验收，若再不达标的，后续采购价款不予支付。</w:t>
      </w:r>
    </w:p>
    <w:p>
      <w:pPr>
        <w:spacing w:line="480" w:lineRule="auto"/>
        <w:ind w:firstLine="482" w:firstLineChars="200"/>
        <w:rPr>
          <w:rFonts w:ascii="宋体" w:hAnsi="宋体" w:cs="宋体"/>
          <w:b/>
          <w:bCs/>
          <w:sz w:val="24"/>
          <w:szCs w:val="24"/>
        </w:rPr>
      </w:pPr>
      <w:r>
        <w:rPr>
          <w:rFonts w:ascii="宋体" w:hAnsi="宋体" w:cs="宋体"/>
          <w:b/>
          <w:bCs/>
          <w:sz w:val="24"/>
          <w:szCs w:val="24"/>
        </w:rPr>
        <w:t>6</w:t>
      </w:r>
      <w:r>
        <w:rPr>
          <w:rFonts w:hint="eastAsia" w:ascii="宋体" w:hAnsi="宋体" w:cs="宋体"/>
          <w:b/>
          <w:bCs/>
          <w:sz w:val="24"/>
          <w:szCs w:val="24"/>
        </w:rPr>
        <w:t>、履约保证金：</w:t>
      </w:r>
      <w:r>
        <w:rPr>
          <w:rFonts w:hint="eastAsia" w:ascii="宋体" w:hAnsi="宋体" w:cs="宋体"/>
          <w:bCs/>
          <w:sz w:val="24"/>
          <w:szCs w:val="24"/>
        </w:rPr>
        <w:t>本项目</w:t>
      </w:r>
      <w:r>
        <w:rPr>
          <w:rFonts w:ascii="宋体" w:hAnsi="宋体" w:cs="宋体"/>
          <w:bCs/>
          <w:sz w:val="24"/>
          <w:szCs w:val="24"/>
        </w:rPr>
        <w:t>不收取履约保证金。</w:t>
      </w:r>
    </w:p>
    <w:p>
      <w:pPr>
        <w:spacing w:line="480" w:lineRule="auto"/>
        <w:ind w:firstLine="482" w:firstLineChars="200"/>
        <w:rPr>
          <w:rFonts w:ascii="宋体" w:hAnsi="宋体" w:cs="宋体"/>
          <w:sz w:val="24"/>
          <w:szCs w:val="24"/>
        </w:rPr>
      </w:pPr>
      <w:bookmarkStart w:id="7" w:name="_Toc15982"/>
      <w:r>
        <w:rPr>
          <w:rFonts w:ascii="宋体" w:hAnsi="宋体" w:cs="宋体"/>
          <w:b/>
          <w:bCs/>
          <w:sz w:val="24"/>
          <w:szCs w:val="24"/>
        </w:rPr>
        <w:t>7</w:t>
      </w:r>
      <w:r>
        <w:rPr>
          <w:rFonts w:hint="eastAsia" w:ascii="宋体" w:hAnsi="宋体"/>
          <w:b/>
          <w:sz w:val="24"/>
          <w:szCs w:val="24"/>
        </w:rPr>
        <w:t>、保密要求：</w:t>
      </w:r>
      <w:r>
        <w:rPr>
          <w:rFonts w:hint="eastAsia" w:ascii="宋体" w:hAnsi="宋体"/>
          <w:bCs/>
          <w:sz w:val="24"/>
          <w:szCs w:val="24"/>
        </w:rPr>
        <w:t>本</w:t>
      </w:r>
      <w:r>
        <w:rPr>
          <w:rFonts w:ascii="宋体" w:hAnsi="宋体" w:cs="宋体"/>
          <w:sz w:val="24"/>
          <w:szCs w:val="24"/>
        </w:rPr>
        <w:t>项目</w:t>
      </w:r>
      <w:r>
        <w:rPr>
          <w:rFonts w:hint="eastAsia" w:ascii="宋体" w:hAnsi="宋体" w:cs="宋体"/>
          <w:sz w:val="24"/>
          <w:szCs w:val="24"/>
        </w:rPr>
        <w:t>检测</w:t>
      </w:r>
      <w:r>
        <w:rPr>
          <w:rFonts w:ascii="宋体" w:hAnsi="宋体" w:cs="宋体"/>
          <w:sz w:val="24"/>
          <w:szCs w:val="24"/>
        </w:rPr>
        <w:t>过程中所涉及的所有信息资料及所产生的成果的所有权归采购人所有，未经采购人书面允许不得将信息资料透露给第三方，否则采购人有权追究其法律责任。</w:t>
      </w:r>
    </w:p>
    <w:p>
      <w:pPr>
        <w:spacing w:line="480" w:lineRule="auto"/>
        <w:ind w:firstLine="482" w:firstLineChars="200"/>
        <w:jc w:val="left"/>
        <w:rPr>
          <w:rFonts w:ascii="宋体" w:hAnsi="宋体" w:cs="宋体"/>
          <w:sz w:val="24"/>
          <w:szCs w:val="24"/>
        </w:rPr>
      </w:pPr>
      <w:r>
        <w:rPr>
          <w:rFonts w:ascii="宋体" w:hAnsi="宋体" w:cs="宋体"/>
          <w:b/>
          <w:bCs/>
          <w:sz w:val="24"/>
          <w:szCs w:val="24"/>
        </w:rPr>
        <w:t>8</w:t>
      </w:r>
      <w:r>
        <w:rPr>
          <w:rFonts w:hint="eastAsia" w:ascii="宋体" w:hAnsi="宋体" w:cs="宋体"/>
          <w:b/>
          <w:bCs/>
          <w:sz w:val="24"/>
          <w:szCs w:val="24"/>
        </w:rPr>
        <w:t>、</w:t>
      </w:r>
      <w:r>
        <w:rPr>
          <w:rFonts w:ascii="宋体" w:hAnsi="宋体" w:cs="宋体"/>
          <w:b/>
          <w:bCs/>
          <w:sz w:val="24"/>
          <w:szCs w:val="24"/>
        </w:rPr>
        <w:t>知识产权：</w:t>
      </w:r>
      <w:r>
        <w:rPr>
          <w:rFonts w:hint="eastAsia" w:ascii="宋体" w:hAnsi="宋体"/>
          <w:sz w:val="24"/>
          <w:szCs w:val="24"/>
        </w:rPr>
        <w:t>本次</w:t>
      </w:r>
      <w:r>
        <w:rPr>
          <w:rFonts w:ascii="宋体" w:hAnsi="宋体"/>
          <w:sz w:val="24"/>
          <w:szCs w:val="24"/>
        </w:rPr>
        <w:t>项目</w:t>
      </w:r>
      <w:r>
        <w:rPr>
          <w:rFonts w:hint="eastAsia" w:ascii="宋体" w:hAnsi="宋体"/>
          <w:sz w:val="24"/>
          <w:szCs w:val="24"/>
        </w:rPr>
        <w:t>检测</w:t>
      </w:r>
      <w:r>
        <w:rPr>
          <w:rFonts w:ascii="宋体" w:hAnsi="宋体"/>
          <w:sz w:val="24"/>
          <w:szCs w:val="24"/>
        </w:rPr>
        <w:t>及其他资料的</w:t>
      </w:r>
      <w:r>
        <w:rPr>
          <w:rFonts w:hint="eastAsia" w:ascii="宋体" w:hAnsi="宋体"/>
          <w:sz w:val="24"/>
          <w:szCs w:val="24"/>
        </w:rPr>
        <w:t>知识产权</w:t>
      </w:r>
      <w:r>
        <w:rPr>
          <w:rFonts w:ascii="宋体" w:hAnsi="宋体"/>
          <w:sz w:val="24"/>
          <w:szCs w:val="24"/>
        </w:rPr>
        <w:t>属于采购人，成交供应商必须对采购人提供的资料进行保密。</w:t>
      </w:r>
    </w:p>
    <w:p>
      <w:pPr>
        <w:spacing w:line="480" w:lineRule="auto"/>
        <w:ind w:firstLine="482" w:firstLineChars="200"/>
        <w:jc w:val="left"/>
        <w:rPr>
          <w:rFonts w:hint="eastAsia" w:ascii="宋体" w:hAnsi="宋体" w:cs="宋体"/>
          <w:bCs/>
          <w:sz w:val="24"/>
          <w:szCs w:val="24"/>
        </w:rPr>
      </w:pPr>
      <w:r>
        <w:rPr>
          <w:rFonts w:ascii="宋体" w:hAnsi="宋体" w:cs="宋体"/>
          <w:b/>
          <w:bCs/>
          <w:sz w:val="24"/>
          <w:szCs w:val="24"/>
        </w:rPr>
        <w:t>9</w:t>
      </w:r>
      <w:r>
        <w:rPr>
          <w:rFonts w:hint="eastAsia" w:ascii="宋体" w:hAnsi="宋体" w:cs="宋体"/>
          <w:b/>
          <w:bCs/>
          <w:sz w:val="24"/>
          <w:szCs w:val="24"/>
        </w:rPr>
        <w:t>、安全责任</w:t>
      </w:r>
      <w:r>
        <w:rPr>
          <w:rFonts w:ascii="宋体" w:hAnsi="宋体" w:cs="宋体"/>
          <w:b/>
          <w:bCs/>
          <w:sz w:val="24"/>
          <w:szCs w:val="24"/>
        </w:rPr>
        <w:t>：</w:t>
      </w:r>
      <w:r>
        <w:rPr>
          <w:rFonts w:hint="eastAsia" w:ascii="宋体" w:hAnsi="宋体" w:cs="宋体"/>
          <w:bCs/>
          <w:sz w:val="24"/>
          <w:szCs w:val="24"/>
        </w:rPr>
        <w:t>如因成交供应商工作人员在履行合同过程中的疏忽、失职、过错等故意或者过失原因造成安全事故、财产损失、人身事故由此而导致的采购人对任何第三方的法律责任等，成交供应商对此均应承担全部的赔偿责任。</w:t>
      </w:r>
    </w:p>
    <w:p>
      <w:pPr>
        <w:spacing w:line="480" w:lineRule="auto"/>
        <w:ind w:firstLine="482" w:firstLineChars="200"/>
        <w:jc w:val="left"/>
        <w:rPr>
          <w:rFonts w:ascii="宋体" w:hAnsi="宋体" w:cs="宋体"/>
          <w:b/>
          <w:bCs/>
          <w:sz w:val="24"/>
          <w:szCs w:val="24"/>
        </w:rPr>
      </w:pPr>
      <w:r>
        <w:rPr>
          <w:rFonts w:ascii="宋体" w:hAnsi="宋体" w:cs="宋体"/>
          <w:b/>
          <w:bCs/>
          <w:sz w:val="24"/>
          <w:szCs w:val="24"/>
        </w:rPr>
        <w:t>10</w:t>
      </w:r>
      <w:r>
        <w:rPr>
          <w:rFonts w:hint="eastAsia" w:ascii="宋体" w:hAnsi="宋体" w:cs="宋体"/>
          <w:b/>
          <w:bCs/>
          <w:sz w:val="24"/>
          <w:szCs w:val="24"/>
        </w:rPr>
        <w:t>、违约</w:t>
      </w:r>
      <w:r>
        <w:rPr>
          <w:rFonts w:ascii="宋体" w:hAnsi="宋体" w:cs="宋体"/>
          <w:b/>
          <w:bCs/>
          <w:sz w:val="24"/>
          <w:szCs w:val="24"/>
        </w:rPr>
        <w:t>责任：</w:t>
      </w:r>
    </w:p>
    <w:p>
      <w:pPr>
        <w:spacing w:line="480" w:lineRule="auto"/>
        <w:ind w:firstLine="480" w:firstLineChars="200"/>
        <w:jc w:val="left"/>
        <w:rPr>
          <w:rFonts w:ascii="宋体" w:hAnsi="宋体"/>
          <w:sz w:val="24"/>
          <w:szCs w:val="24"/>
        </w:rPr>
      </w:pPr>
      <w:r>
        <w:rPr>
          <w:rFonts w:hint="eastAsia" w:ascii="宋体" w:hAnsi="宋体"/>
          <w:sz w:val="24"/>
          <w:szCs w:val="24"/>
        </w:rPr>
        <w:t>（1）采购人</w:t>
      </w:r>
      <w:r>
        <w:rPr>
          <w:rFonts w:ascii="宋体" w:hAnsi="宋体"/>
          <w:sz w:val="24"/>
          <w:szCs w:val="24"/>
        </w:rPr>
        <w:t>和供应商双方必须遵守本项目政府采购合同并执行合同中的各项规定，保证合同的正常履行</w:t>
      </w:r>
      <w:r>
        <w:rPr>
          <w:rFonts w:hint="eastAsia" w:ascii="宋体" w:hAnsi="宋体"/>
          <w:sz w:val="24"/>
          <w:szCs w:val="24"/>
        </w:rPr>
        <w:t>。</w:t>
      </w:r>
    </w:p>
    <w:p>
      <w:pPr>
        <w:spacing w:line="480" w:lineRule="auto"/>
        <w:ind w:firstLine="480" w:firstLineChars="200"/>
        <w:jc w:val="left"/>
        <w:rPr>
          <w:rFonts w:ascii="宋体" w:hAnsi="宋体"/>
          <w:sz w:val="24"/>
          <w:szCs w:val="24"/>
        </w:rPr>
      </w:pPr>
      <w:r>
        <w:rPr>
          <w:rFonts w:hint="eastAsia" w:ascii="宋体" w:hAnsi="宋体"/>
          <w:sz w:val="24"/>
          <w:szCs w:val="24"/>
        </w:rPr>
        <w:t>（2）如因</w:t>
      </w:r>
      <w:r>
        <w:rPr>
          <w:rFonts w:ascii="宋体" w:hAnsi="宋体"/>
          <w:sz w:val="24"/>
          <w:szCs w:val="24"/>
        </w:rPr>
        <w:t>供应商的工作人员在履约职务过程中的疏忽、失职、过错等故意或过失原因给</w:t>
      </w:r>
      <w:r>
        <w:rPr>
          <w:rFonts w:hint="eastAsia" w:ascii="宋体" w:hAnsi="宋体"/>
          <w:sz w:val="24"/>
          <w:szCs w:val="24"/>
        </w:rPr>
        <w:t>采购人造成</w:t>
      </w:r>
      <w:r>
        <w:rPr>
          <w:rFonts w:ascii="宋体" w:hAnsi="宋体"/>
          <w:sz w:val="24"/>
          <w:szCs w:val="24"/>
        </w:rPr>
        <w:t>损失或侵害，包括但不</w:t>
      </w:r>
      <w:r>
        <w:rPr>
          <w:rFonts w:hint="eastAsia" w:ascii="宋体" w:hAnsi="宋体"/>
          <w:sz w:val="24"/>
          <w:szCs w:val="24"/>
        </w:rPr>
        <w:t>限于</w:t>
      </w:r>
      <w:r>
        <w:rPr>
          <w:rFonts w:ascii="宋体" w:hAnsi="宋体"/>
          <w:sz w:val="24"/>
          <w:szCs w:val="24"/>
        </w:rPr>
        <w:t>甲方本身的</w:t>
      </w:r>
      <w:r>
        <w:rPr>
          <w:rFonts w:hint="eastAsia" w:ascii="宋体" w:hAnsi="宋体"/>
          <w:sz w:val="24"/>
          <w:szCs w:val="24"/>
        </w:rPr>
        <w:t>财产损失</w:t>
      </w:r>
      <w:r>
        <w:rPr>
          <w:rFonts w:ascii="宋体" w:hAnsi="宋体"/>
          <w:sz w:val="24"/>
          <w:szCs w:val="24"/>
        </w:rPr>
        <w:t>、由此导致的采购人对任何第三方的法律责任等，供应商对此均应承担全部的赔偿责任。</w:t>
      </w:r>
    </w:p>
    <w:p>
      <w:pPr>
        <w:spacing w:line="480" w:lineRule="auto"/>
        <w:ind w:firstLine="480" w:firstLineChars="200"/>
        <w:jc w:val="left"/>
        <w:rPr>
          <w:rFonts w:ascii="宋体" w:hAnsi="宋体"/>
          <w:sz w:val="24"/>
          <w:szCs w:val="24"/>
          <w:highlight w:val="yellow"/>
        </w:rPr>
      </w:pPr>
      <w:r>
        <w:rPr>
          <w:rFonts w:hint="eastAsia" w:ascii="宋体" w:hAnsi="宋体"/>
          <w:sz w:val="24"/>
          <w:szCs w:val="24"/>
        </w:rPr>
        <w:t>（</w:t>
      </w:r>
      <w:r>
        <w:rPr>
          <w:rFonts w:ascii="宋体" w:hAnsi="宋体"/>
          <w:sz w:val="24"/>
          <w:szCs w:val="24"/>
        </w:rPr>
        <w:t>3</w:t>
      </w:r>
      <w:r>
        <w:rPr>
          <w:rFonts w:hint="eastAsia" w:ascii="宋体" w:hAnsi="宋体"/>
          <w:sz w:val="24"/>
          <w:szCs w:val="24"/>
        </w:rPr>
        <w:t>）如因</w:t>
      </w:r>
      <w:r>
        <w:rPr>
          <w:rFonts w:ascii="宋体" w:hAnsi="宋体"/>
          <w:sz w:val="24"/>
          <w:szCs w:val="24"/>
        </w:rPr>
        <w:t>供应商工作人员在</w:t>
      </w:r>
      <w:r>
        <w:rPr>
          <w:rFonts w:hint="eastAsia" w:ascii="宋体" w:hAnsi="宋体"/>
          <w:sz w:val="24"/>
          <w:szCs w:val="24"/>
        </w:rPr>
        <w:t>提供</w:t>
      </w:r>
      <w:r>
        <w:rPr>
          <w:rFonts w:ascii="宋体" w:hAnsi="宋体"/>
          <w:sz w:val="24"/>
          <w:szCs w:val="24"/>
        </w:rPr>
        <w:t>服务过程中出现违规、违约等情形，</w:t>
      </w:r>
      <w:r>
        <w:rPr>
          <w:rFonts w:hint="eastAsia" w:ascii="宋体" w:hAnsi="宋体"/>
          <w:sz w:val="24"/>
          <w:szCs w:val="24"/>
        </w:rPr>
        <w:t>采购人</w:t>
      </w:r>
      <w:r>
        <w:rPr>
          <w:rFonts w:ascii="宋体" w:hAnsi="宋体"/>
          <w:sz w:val="24"/>
          <w:szCs w:val="24"/>
        </w:rPr>
        <w:t>有权单方面</w:t>
      </w:r>
      <w:r>
        <w:rPr>
          <w:rFonts w:hint="eastAsia" w:ascii="宋体" w:hAnsi="宋体"/>
          <w:sz w:val="24"/>
          <w:szCs w:val="24"/>
        </w:rPr>
        <w:t>终止</w:t>
      </w:r>
      <w:r>
        <w:rPr>
          <w:rFonts w:ascii="宋体" w:hAnsi="宋体"/>
          <w:sz w:val="24"/>
          <w:szCs w:val="24"/>
        </w:rPr>
        <w:t>合同。</w:t>
      </w:r>
    </w:p>
    <w:p>
      <w:pPr>
        <w:spacing w:line="480" w:lineRule="auto"/>
        <w:ind w:firstLine="482" w:firstLineChars="200"/>
        <w:jc w:val="left"/>
        <w:rPr>
          <w:rFonts w:ascii="宋体" w:hAnsi="宋体" w:cs="宋体"/>
          <w:b/>
          <w:bCs/>
          <w:sz w:val="24"/>
          <w:szCs w:val="24"/>
        </w:rPr>
      </w:pPr>
      <w:r>
        <w:rPr>
          <w:rFonts w:ascii="宋体" w:hAnsi="宋体" w:cs="宋体"/>
          <w:b/>
          <w:bCs/>
          <w:sz w:val="24"/>
          <w:szCs w:val="24"/>
        </w:rPr>
        <w:t>11</w:t>
      </w:r>
      <w:r>
        <w:rPr>
          <w:rFonts w:hint="eastAsia" w:ascii="宋体" w:hAnsi="宋体" w:cs="宋体"/>
          <w:b/>
          <w:bCs/>
          <w:sz w:val="24"/>
          <w:szCs w:val="24"/>
        </w:rPr>
        <w:t>、争议解决</w:t>
      </w:r>
      <w:r>
        <w:rPr>
          <w:rFonts w:ascii="宋体" w:hAnsi="宋体" w:cs="宋体"/>
          <w:b/>
          <w:bCs/>
          <w:sz w:val="24"/>
          <w:szCs w:val="24"/>
        </w:rPr>
        <w:t>办法：</w:t>
      </w:r>
    </w:p>
    <w:p>
      <w:pPr>
        <w:spacing w:line="480" w:lineRule="auto"/>
        <w:ind w:firstLine="480" w:firstLineChars="200"/>
        <w:jc w:val="left"/>
        <w:rPr>
          <w:rFonts w:ascii="宋体" w:hAnsi="宋体"/>
          <w:sz w:val="24"/>
          <w:szCs w:val="24"/>
        </w:rPr>
      </w:pPr>
      <w:r>
        <w:rPr>
          <w:rFonts w:hint="eastAsia" w:ascii="宋体" w:hAnsi="宋体"/>
          <w:sz w:val="24"/>
          <w:szCs w:val="24"/>
        </w:rPr>
        <w:t>（1）采购人</w:t>
      </w:r>
      <w:r>
        <w:rPr>
          <w:rFonts w:ascii="宋体" w:hAnsi="宋体"/>
          <w:sz w:val="24"/>
          <w:szCs w:val="24"/>
        </w:rPr>
        <w:t>与供应商双方</w:t>
      </w:r>
      <w:r>
        <w:rPr>
          <w:rFonts w:hint="eastAsia" w:ascii="宋体" w:hAnsi="宋体"/>
          <w:sz w:val="24"/>
          <w:szCs w:val="24"/>
        </w:rPr>
        <w:t>就</w:t>
      </w:r>
      <w:r>
        <w:rPr>
          <w:rFonts w:ascii="宋体" w:hAnsi="宋体"/>
          <w:sz w:val="24"/>
          <w:szCs w:val="24"/>
        </w:rPr>
        <w:t>本项目政府采购合同所产生的</w:t>
      </w:r>
      <w:r>
        <w:rPr>
          <w:rFonts w:hint="eastAsia" w:ascii="宋体" w:hAnsi="宋体"/>
          <w:sz w:val="24"/>
          <w:szCs w:val="24"/>
        </w:rPr>
        <w:t>任何</w:t>
      </w:r>
      <w:r>
        <w:rPr>
          <w:rFonts w:ascii="宋体" w:hAnsi="宋体"/>
          <w:sz w:val="24"/>
          <w:szCs w:val="24"/>
        </w:rPr>
        <w:t>争议都应该进行</w:t>
      </w:r>
      <w:r>
        <w:rPr>
          <w:rFonts w:hint="eastAsia" w:ascii="宋体" w:hAnsi="宋体"/>
          <w:sz w:val="24"/>
          <w:szCs w:val="24"/>
        </w:rPr>
        <w:t>友好</w:t>
      </w:r>
      <w:r>
        <w:rPr>
          <w:rFonts w:ascii="宋体" w:hAnsi="宋体"/>
          <w:sz w:val="24"/>
          <w:szCs w:val="24"/>
        </w:rPr>
        <w:t>协商，协商解决不成的，任何</w:t>
      </w:r>
      <w:r>
        <w:rPr>
          <w:rFonts w:hint="eastAsia" w:ascii="宋体" w:hAnsi="宋体"/>
          <w:sz w:val="24"/>
          <w:szCs w:val="24"/>
        </w:rPr>
        <w:t>一方</w:t>
      </w:r>
      <w:r>
        <w:rPr>
          <w:rFonts w:ascii="宋体" w:hAnsi="宋体"/>
          <w:sz w:val="24"/>
          <w:szCs w:val="24"/>
        </w:rPr>
        <w:t>均可</w:t>
      </w:r>
      <w:r>
        <w:rPr>
          <w:rFonts w:hint="eastAsia" w:ascii="宋体" w:hAnsi="宋体"/>
          <w:sz w:val="24"/>
          <w:szCs w:val="24"/>
        </w:rPr>
        <w:t>向采购人</w:t>
      </w:r>
      <w:r>
        <w:rPr>
          <w:rFonts w:ascii="宋体" w:hAnsi="宋体"/>
          <w:sz w:val="24"/>
          <w:szCs w:val="24"/>
        </w:rPr>
        <w:t>所在地管辖权的</w:t>
      </w:r>
      <w:r>
        <w:rPr>
          <w:rFonts w:hint="eastAsia" w:ascii="宋体" w:hAnsi="宋体"/>
          <w:sz w:val="24"/>
          <w:szCs w:val="24"/>
        </w:rPr>
        <w:t>仲裁委员会提交仲裁，</w:t>
      </w:r>
      <w:r>
        <w:rPr>
          <w:rFonts w:ascii="宋体" w:hAnsi="宋体"/>
          <w:sz w:val="24"/>
          <w:szCs w:val="24"/>
        </w:rPr>
        <w:t>仲裁裁决应为最终决定，并对</w:t>
      </w:r>
      <w:r>
        <w:rPr>
          <w:rFonts w:hint="eastAsia" w:ascii="宋体" w:hAnsi="宋体"/>
          <w:sz w:val="24"/>
          <w:szCs w:val="24"/>
        </w:rPr>
        <w:t>双方</w:t>
      </w:r>
      <w:r>
        <w:rPr>
          <w:rFonts w:ascii="宋体" w:hAnsi="宋体"/>
          <w:sz w:val="24"/>
          <w:szCs w:val="24"/>
        </w:rPr>
        <w:t>具有</w:t>
      </w:r>
      <w:r>
        <w:rPr>
          <w:rFonts w:hint="eastAsia" w:ascii="宋体" w:hAnsi="宋体"/>
          <w:sz w:val="24"/>
          <w:szCs w:val="24"/>
        </w:rPr>
        <w:t>约束力。</w:t>
      </w:r>
    </w:p>
    <w:p>
      <w:pPr>
        <w:spacing w:line="480" w:lineRule="auto"/>
        <w:ind w:firstLine="480" w:firstLineChars="200"/>
        <w:jc w:val="left"/>
        <w:rPr>
          <w:rFonts w:ascii="宋体" w:hAnsi="宋体"/>
          <w:sz w:val="24"/>
          <w:szCs w:val="24"/>
        </w:rPr>
      </w:pPr>
      <w:r>
        <w:rPr>
          <w:rFonts w:hint="eastAsia" w:ascii="宋体" w:hAnsi="宋体"/>
          <w:sz w:val="24"/>
          <w:szCs w:val="24"/>
        </w:rPr>
        <w:t>（2）除</w:t>
      </w:r>
      <w:r>
        <w:rPr>
          <w:rFonts w:ascii="宋体" w:hAnsi="宋体"/>
          <w:sz w:val="24"/>
          <w:szCs w:val="24"/>
        </w:rPr>
        <w:t>另有</w:t>
      </w:r>
      <w:r>
        <w:rPr>
          <w:rFonts w:hint="eastAsia" w:ascii="宋体" w:hAnsi="宋体"/>
          <w:sz w:val="24"/>
          <w:szCs w:val="24"/>
        </w:rPr>
        <w:t>裁决</w:t>
      </w:r>
      <w:r>
        <w:rPr>
          <w:rFonts w:ascii="宋体" w:hAnsi="宋体"/>
          <w:sz w:val="24"/>
          <w:szCs w:val="24"/>
        </w:rPr>
        <w:t>外，仲裁费</w:t>
      </w:r>
      <w:r>
        <w:rPr>
          <w:rFonts w:hint="eastAsia" w:ascii="宋体" w:hAnsi="宋体"/>
          <w:sz w:val="24"/>
          <w:szCs w:val="24"/>
        </w:rPr>
        <w:t>应由</w:t>
      </w:r>
      <w:r>
        <w:rPr>
          <w:rFonts w:ascii="宋体" w:hAnsi="宋体"/>
          <w:sz w:val="24"/>
          <w:szCs w:val="24"/>
        </w:rPr>
        <w:t>败诉方负担。</w:t>
      </w:r>
    </w:p>
    <w:p>
      <w:pPr>
        <w:spacing w:line="480" w:lineRule="auto"/>
        <w:ind w:firstLine="480" w:firstLineChars="200"/>
        <w:jc w:val="left"/>
        <w:rPr>
          <w:rFonts w:ascii="宋体" w:hAnsi="宋体"/>
          <w:sz w:val="24"/>
          <w:szCs w:val="24"/>
          <w:highlight w:val="yellow"/>
        </w:rPr>
      </w:pPr>
      <w:r>
        <w:rPr>
          <w:rFonts w:hint="eastAsia" w:ascii="宋体" w:hAnsi="宋体"/>
          <w:sz w:val="24"/>
          <w:szCs w:val="24"/>
        </w:rPr>
        <w:t>（</w:t>
      </w:r>
      <w:r>
        <w:rPr>
          <w:rFonts w:ascii="宋体" w:hAnsi="宋体"/>
          <w:sz w:val="24"/>
          <w:szCs w:val="24"/>
        </w:rPr>
        <w:t>3</w:t>
      </w:r>
      <w:r>
        <w:rPr>
          <w:rFonts w:hint="eastAsia" w:ascii="宋体" w:hAnsi="宋体"/>
          <w:sz w:val="24"/>
          <w:szCs w:val="24"/>
        </w:rPr>
        <w:t>）在仲裁</w:t>
      </w:r>
      <w:r>
        <w:rPr>
          <w:rFonts w:ascii="宋体" w:hAnsi="宋体"/>
          <w:sz w:val="24"/>
          <w:szCs w:val="24"/>
        </w:rPr>
        <w:t>期间，</w:t>
      </w:r>
      <w:r>
        <w:rPr>
          <w:rFonts w:hint="eastAsia" w:ascii="宋体" w:hAnsi="宋体"/>
          <w:sz w:val="24"/>
          <w:szCs w:val="24"/>
        </w:rPr>
        <w:t>除</w:t>
      </w:r>
      <w:r>
        <w:rPr>
          <w:rFonts w:ascii="宋体" w:hAnsi="宋体"/>
          <w:sz w:val="24"/>
          <w:szCs w:val="24"/>
        </w:rPr>
        <w:t>正在进行仲裁部分外，合同其他部分继续执行。</w:t>
      </w:r>
    </w:p>
    <w:p>
      <w:pPr>
        <w:spacing w:line="480" w:lineRule="auto"/>
        <w:ind w:firstLine="482" w:firstLineChars="200"/>
        <w:rPr>
          <w:rFonts w:ascii="宋体" w:hAnsi="宋体"/>
          <w:b/>
          <w:sz w:val="24"/>
          <w:szCs w:val="24"/>
        </w:rPr>
      </w:pPr>
      <w:r>
        <w:rPr>
          <w:rFonts w:ascii="宋体" w:hAnsi="宋体"/>
          <w:b/>
          <w:sz w:val="24"/>
          <w:szCs w:val="24"/>
        </w:rPr>
        <w:t>12</w:t>
      </w:r>
      <w:r>
        <w:rPr>
          <w:rFonts w:hint="eastAsia" w:ascii="宋体" w:hAnsi="宋体"/>
          <w:b/>
          <w:sz w:val="24"/>
          <w:szCs w:val="24"/>
        </w:rPr>
        <w:t>、未尽事宜在合同中详细约定。</w:t>
      </w:r>
      <w:bookmarkEnd w:id="7"/>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ì.">
    <w:altName w:val="宋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kMGM2Y2IwODk2MTk1YzkzYjg0ZTEyMWFlYTFjODIifQ=="/>
  </w:docVars>
  <w:rsids>
    <w:rsidRoot w:val="010A7621"/>
    <w:rsid w:val="010A7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szCs w:val="20"/>
    </w:rPr>
  </w:style>
  <w:style w:type="paragraph" w:styleId="4">
    <w:name w:val="Title"/>
    <w:basedOn w:val="1"/>
    <w:next w:val="1"/>
    <w:qFormat/>
    <w:uiPriority w:val="0"/>
    <w:pPr>
      <w:spacing w:before="240" w:after="60"/>
      <w:jc w:val="center"/>
      <w:outlineLvl w:val="0"/>
    </w:pPr>
    <w:rPr>
      <w:rFonts w:ascii="等线 Light" w:hAnsi="等线 Light"/>
      <w:b/>
      <w:bCs/>
      <w:sz w:val="32"/>
      <w:szCs w:val="3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9">
    <w:name w:val="正文（绿盟科技）"/>
    <w:qFormat/>
    <w:uiPriority w:val="0"/>
    <w:pPr>
      <w:spacing w:line="300" w:lineRule="auto"/>
    </w:pPr>
    <w:rPr>
      <w:rFonts w:ascii="Arial" w:hAnsi="Arial"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2024-03-29T02:00:00Z</dcterms:created>
  <dc:creator>等风来</dc:creator>
  <cp:lastModifiedBy>等风来</cp:lastModifiedBy>
  <dcterms:modified xsi:type="dcterms:W3CDTF">2024-03-29T02:00:56Z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E861E5ED34E84930851343D1229BFB44_11</vt:lpwstr>
  </property>
</Properties>
</file>