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采购需求</w:t>
      </w:r>
      <w:bookmarkStart w:id="0" w:name="_GoBack"/>
      <w:bookmarkEnd w:id="0"/>
    </w:p>
    <w:p>
      <w:pPr>
        <w:rPr>
          <w:rFonts w:hint="eastAsia"/>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根据《中华人民共和国网络安全法》、公安部《关于开展信息安全等级保护安全建设整改工作的指导意见》（公信安[2009]1429号）、《信息安全技术 网络安全等级保护基本要求》（GB/T 22239-2019）等相关标准法规的要求，对五通桥区人民医院开展等级保护测评服务工作。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3.2、服务内容及服务要求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3.2.1服务内容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360,000.00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360,000.00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0"/>
        <w:gridCol w:w="1297"/>
        <w:gridCol w:w="766"/>
        <w:gridCol w:w="1360"/>
        <w:gridCol w:w="680"/>
        <w:gridCol w:w="1000"/>
        <w:gridCol w:w="636"/>
        <w:gridCol w:w="680"/>
        <w:gridCol w:w="680"/>
        <w:gridCol w:w="7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210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140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22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98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是否涉及核心产品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是否涉及采购进口产品</w:t>
            </w:r>
          </w:p>
        </w:tc>
        <w:tc>
          <w:tcPr>
            <w:tcW w:w="112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是否涉及采购节能产品</w:t>
            </w:r>
          </w:p>
        </w:tc>
        <w:tc>
          <w:tcPr>
            <w:tcW w:w="1405"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信息系统安全等级测评项目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360,000.00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租赁和商务服务业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3.2.2服务要求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标的名称：信息系统安全等级测评项目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94"/>
        <w:gridCol w:w="395"/>
        <w:gridCol w:w="77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rPr>
                <w:rFonts w:hint="eastAsia" w:ascii="宋体" w:hAnsi="宋体" w:eastAsia="宋体" w:cs="宋体"/>
                <w:sz w:val="24"/>
                <w:szCs w:val="24"/>
              </w:rPr>
            </w:pP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(一)建设目标任务：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根据《中华人民共和国网络安全法》、公安部《关于开展信息安全等级保护安全建设整改工作的指导意见》（公信安[2009]1429号）、《信息安全技术 网络安全等级保护基本要求》（GB/T 22239-2019）等相关标准法规的要求，对五通桥区人民医院开展等级保护测评服务工作。本次需对我单位以下信息系统提供安全测评和咨询服务：</w:t>
            </w:r>
          </w:p>
          <w:tbl>
            <w:tblPr>
              <w:tblW w:w="11709"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02"/>
              <w:gridCol w:w="3503"/>
              <w:gridCol w:w="3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690" w:type="dxa"/>
                  <w:tcBorders>
                    <w:top w:val="single" w:color="000000" w:sz="12" w:space="0"/>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系统名称</w:t>
                  </w:r>
                </w:p>
              </w:tc>
              <w:tc>
                <w:tcPr>
                  <w:tcW w:w="3494" w:type="dxa"/>
                  <w:tcBorders>
                    <w:top w:val="single" w:color="000000" w:sz="12" w:space="0"/>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拟定安全等级</w:t>
                  </w:r>
                </w:p>
              </w:tc>
              <w:tc>
                <w:tcPr>
                  <w:tcW w:w="3495" w:type="dxa"/>
                  <w:tcBorders>
                    <w:top w:val="single" w:color="000000" w:sz="12" w:space="0"/>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90"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HIS系统</w:t>
                  </w:r>
                </w:p>
              </w:tc>
              <w:tc>
                <w:tcPr>
                  <w:tcW w:w="3494"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第三级</w:t>
                  </w:r>
                </w:p>
              </w:tc>
              <w:tc>
                <w:tcPr>
                  <w:tcW w:w="3495"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90"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LIS系统</w:t>
                  </w:r>
                </w:p>
              </w:tc>
              <w:tc>
                <w:tcPr>
                  <w:tcW w:w="3494"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第三级</w:t>
                  </w:r>
                </w:p>
              </w:tc>
              <w:tc>
                <w:tcPr>
                  <w:tcW w:w="3495"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90"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PACS系统</w:t>
                  </w:r>
                </w:p>
              </w:tc>
              <w:tc>
                <w:tcPr>
                  <w:tcW w:w="3494"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第三级</w:t>
                  </w:r>
                </w:p>
              </w:tc>
              <w:tc>
                <w:tcPr>
                  <w:tcW w:w="3495"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4690"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EMR电子病历系统</w:t>
                  </w:r>
                </w:p>
              </w:tc>
              <w:tc>
                <w:tcPr>
                  <w:tcW w:w="3494"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第三级</w:t>
                  </w:r>
                </w:p>
              </w:tc>
              <w:tc>
                <w:tcPr>
                  <w:tcW w:w="3495" w:type="dxa"/>
                  <w:tcBorders>
                    <w:top w:val="nil"/>
                    <w:left w:val="single" w:color="000000" w:sz="12" w:space="0"/>
                    <w:bottom w:val="single" w:color="000000" w:sz="12" w:space="0"/>
                    <w:right w:val="single" w:color="000000" w:sz="12"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00"/>
                    <w:jc w:val="center"/>
                    <w:rPr>
                      <w:rFonts w:hint="eastAsia" w:ascii="宋体" w:hAnsi="宋体" w:eastAsia="宋体" w:cs="宋体"/>
                    </w:rPr>
                  </w:pPr>
                  <w:r>
                    <w:rPr>
                      <w:rFonts w:hint="eastAsia" w:ascii="宋体" w:hAnsi="宋体" w:eastAsia="宋体" w:cs="宋体"/>
                      <w:color w:val="0D0D0D"/>
                      <w:sz w:val="24"/>
                      <w:szCs w:val="24"/>
                      <w:bdr w:val="none" w:color="auto" w:sz="0" w:space="0"/>
                    </w:rPr>
                    <w:t>1项</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（二）服务期限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76"/>
              <w:jc w:val="both"/>
              <w:rPr>
                <w:rFonts w:hint="eastAsia" w:ascii="宋体" w:hAnsi="宋体" w:eastAsia="宋体" w:cs="宋体"/>
              </w:rPr>
            </w:pPr>
            <w:r>
              <w:rPr>
                <w:rFonts w:hint="eastAsia" w:ascii="宋体" w:hAnsi="宋体" w:eastAsia="宋体" w:cs="宋体"/>
                <w:color w:val="0D0D0D"/>
                <w:sz w:val="24"/>
                <w:szCs w:val="24"/>
                <w:bdr w:val="none" w:color="auto" w:sz="0" w:space="0"/>
                <w:shd w:val="clear" w:fill="FFFF00"/>
              </w:rPr>
              <w:t>自合同签订，达到进场测评条件后60个工作日内完成测评</w:t>
            </w:r>
            <w:r>
              <w:rPr>
                <w:rFonts w:hint="eastAsia" w:ascii="宋体" w:hAnsi="宋体" w:eastAsia="宋体" w:cs="宋体"/>
                <w:color w:val="0D0D0D"/>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（三）服务内容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依据国家等级保护相关政策、标准以及其它相关要求，并结合五通桥区人民医院信息系统具体情况，对该信息系统进行等级保护测评，内容包括：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1、按照信息系统安全等级保护要求，对上表中各信息系统完成系统拓扑结构及说明；编制五通桥区人民医院信息系统等级测评报告。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2、现状测评，至少包括：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1）包括安全物理环境测评、安全通信网络测评、安全区域边界测评、安全计算环境测评、安全管理中心测评、安全管理制度测评、安全管理机构测评、安全管理人员测评、安全建设管理测评、安全运维管理测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2）形成差距分析报告。依据测评情况，对现状测评进行汇总统计，找出当前系统与国家等级保护标准的差距，通过对信息系统基本安全保护状态的分析给出整改建议，列出被测信息系统中存在的主要问题以及可能造成的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3、协助完成整改工作。依据整改方案，为五通桥区人民医院信息系统安全整改的各项工作提供技术咨询服务。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4、等级测评，至少包括：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（1）按照等级保护相关标准对系统从技术、管理等方面进行安全等级测评工作。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（2）编制测评报告。出具《五通桥区人民医院信息系统网络安全等级测评报告》。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5、对信息系统进行技术测试和安全扫描，测试各系统的可用性、可靠性、安全漏洞、系统后门、病毒木马、受攻击情况、网页篡改情况、系统防篡改能力等，测评报告内容、格式、规范和结果必须符合市级以上公安机关相关要求和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（四）测评依据：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此次测评依据的标准包括但不限于以下规范性文件：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22239-2019：《信息安全技术 网络安全等级保护基本要求》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20984-2022：《信息安全技术 信息安全风险评估方法》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以下为本次测评的相关依据的法律法规、标准和文档：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Ø《中华人民共和国网络安全法》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Ø公通字[2007]43号：《信息安全等级保护管理办法》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28448-2019：《信息安全技术 网络安全等级保护测评要求》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28449-2019：《信息安全技术 网络安全等级保护测评过程指南》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25058-2019：《信息安全技术网络安全等级保护实施指南》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20271-2006：《信息安全技术 信息系统通用安全技术要求》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20269-2006：《信息安全技术 信息系统安全管理要求》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20282-2006：《信息安全技术 信息系统安全工程管理要求》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21052-2007：《信息安全技术 信息系统安全物理环境技术要求》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ØGB/T 20270-2006：《信息安全技术 网络基础安全技术要求》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（五）测评应满足的原则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本次信息系统安全等级保护测评服务方案设计，以及具体实施内容应满足以下原则：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（1）保密原则：对测评的过程数据和结果数据严格保密，未经授权不得泄露给任何单位和个人，不得利用此数据进行任何侵害采购人的行为，否则采购人有权追究参选人的责任。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（2）标准性原则：测评方案的设计与实施应依据国家等级保护的相关标准进行。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（3）规范性原则：参选人的工作中的过程和文档，具有很好的规范性，可以便于项目的跟踪和控制。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240"/>
              <w:jc w:val="both"/>
              <w:rPr>
                <w:rFonts w:hint="eastAsia" w:ascii="宋体" w:hAnsi="宋体" w:eastAsia="宋体" w:cs="宋体"/>
              </w:rPr>
            </w:pPr>
            <w:r>
              <w:rPr>
                <w:rFonts w:hint="eastAsia" w:ascii="宋体" w:hAnsi="宋体" w:eastAsia="宋体" w:cs="宋体"/>
                <w:color w:val="0D0D0D"/>
                <w:sz w:val="24"/>
                <w:szCs w:val="24"/>
                <w:bdr w:val="none" w:color="auto" w:sz="0" w:space="0"/>
              </w:rPr>
              <w:t>（4）可控性原则：等保测评服务的进度要跟上进度表的安排，保证采购人对于测评工作的可控性。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rPr>
            </w:pPr>
            <w:r>
              <w:rPr>
                <w:rStyle w:val="7"/>
                <w:rFonts w:hint="eastAsia" w:ascii="宋体" w:hAnsi="宋体" w:eastAsia="宋体" w:cs="宋体"/>
                <w:color w:val="0D0D0D"/>
                <w:sz w:val="24"/>
                <w:szCs w:val="24"/>
                <w:bdr w:val="none" w:color="auto" w:sz="0" w:space="0"/>
              </w:rPr>
              <w:t>（六）本次安全等级保护测评的整体要求。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1、参选人应详细描述本次项目整体实施方案，包括项目概述、等保测评服务方案、项目实施方案、测试过程中需使用测试设备清单、时间安排、阶段性文档提交和验收标准等。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2、参选人应详细描述服务人员的组成、资质及各自职责的划分。参选人应配置有经验的测评人员进行本次等级保护测评工作。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3、安全测评工具软件运行可能需要的硬件平台（如笔记本电脑、PC、工作站等）和操作系统软件等由参选人推荐，经采购人确认后由参选人提供并在测评中使用。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4、参选人根据采购人现有场地和网络环境提出相应的运行环境的具体要求。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rPr>
            </w:pPr>
            <w:r>
              <w:rPr>
                <w:rFonts w:hint="eastAsia" w:ascii="宋体" w:hAnsi="宋体" w:eastAsia="宋体" w:cs="宋体"/>
                <w:color w:val="0D0D0D"/>
                <w:sz w:val="24"/>
                <w:szCs w:val="24"/>
                <w:bdr w:val="none" w:color="auto" w:sz="0" w:space="0"/>
              </w:rPr>
              <w:t>5、本次测评，因问题整改有可能涉及多次测评，相关费用均已包含在本次投标报价中，采购人不再支付费用。</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3.2.3人员配置要求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供应商自己按项目需求、方案自行配置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3.2.4设施设备要求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供应商自己按项目需求、方案自行配置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3.3、商务要求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3.3.1服务期限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自合同签订之日起60日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3.3.2服务地点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乐山市五通桥区人民医院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3.3.3验收标准和方法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验收要求：中选人出具《乐山市五通桥区人民医院信息系统网络安全等级测评报告》。 验收标准：严格按照国家有关规定、采购文件的要求、成交供应商的响应文件及承诺并参照《财政部关于进一步加强政府采购需求和履约验收管理的指导意见》（财库〔2016〕205号）的要求进行验收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3.3.4支付方式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分期付款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3.3.5支付约定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同签订后且采购人收到成交供应商开具的等额发票后 ，达到付款条件起 30 日内，支付合同总金额的 40.00%。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测评工作完成，成交供应商出具测评报告，经采购人认可并完成报备以后，且采购人收到成交供应商开具的等额发票后 ，达到付款条件起 30 日内，支付合同总金额的 60.00%。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3.3.6违约责任与解决争议的方法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合同履行期间，若双方发生争议，可协商或由有关部门协调解决，协商或协调不成功的，双方均可向五通桥区人民法院提起诉讼依法维护其合法权益。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 其它要求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无</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70517"/>
    <w:rsid w:val="4EA70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2024-01-18T02:25:00Z</dcterms:created>
  <dc:creator>admin</dc:creator>
  <cp:lastModifiedBy>admin</cp:lastModifiedBy>
  <dcterms:modified xsi:type="dcterms:W3CDTF">2024-01-18T02:26:36Z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35022112FEF34A319707E2FC1CAF2CC7</vt:lpwstr>
  </property>
</Properties>
</file>