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采购需求</w:t>
      </w:r>
    </w:p>
    <w:p>
      <w:pPr>
        <w:jc w:val="center"/>
        <w:rPr>
          <w:rFonts w:hint="eastAsia"/>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五通桥区2023年中央财政粮油生产保障资金水稻绿色高产高效项目（太阳能杀虫灯、性诱装置）采购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950,000.00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950,000.00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3"/>
        <w:gridCol w:w="1261"/>
        <w:gridCol w:w="814"/>
        <w:gridCol w:w="1427"/>
        <w:gridCol w:w="713"/>
        <w:gridCol w:w="713"/>
        <w:gridCol w:w="662"/>
        <w:gridCol w:w="713"/>
        <w:gridCol w:w="714"/>
        <w:gridCol w:w="8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10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40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2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98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40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太阳能 风吸式 杀虫灯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750,000.00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二化螟性诱装置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标的名称：太阳能 风吸式 杀虫灯</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★1、符合或优于 GB/T24689.2-2017、GB/T19064-2003国家标准；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2、产品具有光控、雨控、时控、温控（冬季保护功能）、防雷击功能以及过充和过放保护功能；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▲3、安全稳定系统：具有智能防触电安全保护功能以及LED灯珠工作稳定系统；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▲4、诱虫光源：LED高效节能诱虫灯管功率≧5W；</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▲5、诱集光源峰值波长都应在320-450nm之间，且诱集光源波长应在制造商明示的波长±20nm的范围内，使用寿命≧12000小时，灯管启动时间≤10s；</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▲6、采用全密封一体化恒压型控制器，具有防水、防尘、防虫、防爆特点；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7、灯体要求：整灯高度≥2.5米，且太阳能板置于灯顶部，整机最大尺寸≥320mm*320mm*2500mm，整灯为一体式结构，灯杆为不锈钢材质，壁厚≥1.2mm，经过喷塑处理，具有一定卡通或景观造型</w:t>
            </w:r>
            <w:r>
              <w:rPr>
                <w:rStyle w:val="7"/>
                <w:rFonts w:hint="eastAsia" w:ascii="宋体" w:hAnsi="宋体" w:eastAsia="宋体" w:cs="宋体"/>
                <w:color w:val="E74C3C"/>
                <w:sz w:val="24"/>
                <w:szCs w:val="24"/>
                <w:bdr w:val="none" w:color="auto" w:sz="0" w:space="0"/>
              </w:rPr>
              <w:t>（提供整灯实物彩色照片）</w:t>
            </w:r>
            <w:r>
              <w:rPr>
                <w:rStyle w:val="7"/>
                <w:rFonts w:hint="eastAsia" w:ascii="宋体" w:hAnsi="宋体" w:eastAsia="宋体" w:cs="宋体"/>
                <w:color w:val="0D0D0D"/>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8、风机具有防卡死功能。按国家标准检验风机防卡死实验后，应能正常工作；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▲9、风机功率≥6W，进风口风速≥5m/s，转速≥2300RPM,最大风量≥150CFM，防水等级≥IP68，正常工作时的噪音分贝≦35DBA；</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▲10、风扇恒功率特性：风扇正常工作电压为8V-15V，转速不变，当扇叶负载越重，转速降低，功率降低；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▲11、昆虫收虫装置：灯体接虫口下端与灯杆上端相连，形成超大容量接虫装置，能容纳≥12L害虫，且具有虫水分离、益虫逃生孔和防止害虫爬出功能；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▲12、单晶硅太阳能电池板功率≥50W，免维护锂电池≥24Ah；</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▲13、诱虫光源安全性：诱虫光源满足GB/T20145-2006灯光对生物安全无危害，照射时间在8H以内，有效曝辐限制为</w:t>
            </w:r>
            <w:r>
              <w:rPr>
                <w:rStyle w:val="7"/>
                <w:rFonts w:hint="eastAsia" w:ascii="宋体" w:hAnsi="宋体" w:eastAsia="宋体" w:cs="宋体"/>
                <w:sz w:val="24"/>
                <w:szCs w:val="24"/>
                <w:bdr w:val="none" w:color="auto" w:sz="0" w:space="0"/>
              </w:rPr>
              <w:t>30J·M</w:t>
            </w:r>
            <w:r>
              <w:rPr>
                <w:rStyle w:val="7"/>
                <w:rFonts w:hint="eastAsia" w:ascii="宋体" w:hAnsi="宋体" w:eastAsia="宋体" w:cs="宋体"/>
                <w:sz w:val="24"/>
                <w:szCs w:val="24"/>
                <w:bdr w:val="none" w:color="auto" w:sz="0" w:space="0"/>
                <w:vertAlign w:val="baseline"/>
              </w:rPr>
              <w:t>-2</w:t>
            </w:r>
            <w:r>
              <w:rPr>
                <w:rStyle w:val="7"/>
                <w:rFonts w:hint="eastAsia" w:ascii="宋体" w:hAnsi="宋体" w:eastAsia="宋体" w:cs="宋体"/>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▲14、绝缘阻抗：在本体与两条导线间加500V交流电压之间绝缘阻抗10 MΩ以上；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15、绝缘耐压：1mA Max/导线与外框间测量，600VAC/min；</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16、整灯每天工作时间≥5小时；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17、每个杀虫灯具有独立二维码，可以进行安装信息及报修信息等填写，具有物联网功能：可以通过手机小程序或APP查询产品地理位置和产品信息及工作状态</w:t>
            </w:r>
            <w:r>
              <w:rPr>
                <w:rStyle w:val="7"/>
                <w:rFonts w:hint="eastAsia" w:ascii="宋体" w:hAnsi="宋体" w:eastAsia="宋体" w:cs="宋体"/>
                <w:color w:val="E74C3C"/>
                <w:sz w:val="24"/>
                <w:szCs w:val="24"/>
                <w:bdr w:val="none" w:color="auto" w:sz="0" w:space="0"/>
              </w:rPr>
              <w:t>（提供截图）</w:t>
            </w:r>
            <w:r>
              <w:rPr>
                <w:rStyle w:val="7"/>
                <w:rFonts w:hint="eastAsia" w:ascii="宋体" w:hAnsi="宋体" w:eastAsia="宋体" w:cs="宋体"/>
                <w:color w:val="0D0D0D"/>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hanging="10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18、每台设备有效控制面积≥30亩，安装情况根据现场地形进行适当的调整。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1"/>
              <w:jc w:val="both"/>
              <w:rPr>
                <w:rFonts w:hint="eastAsia" w:ascii="宋体" w:hAnsi="宋体" w:eastAsia="宋体" w:cs="宋体"/>
              </w:rPr>
            </w:pPr>
            <w:r>
              <w:rPr>
                <w:rStyle w:val="7"/>
                <w:rFonts w:hint="eastAsia" w:ascii="宋体" w:hAnsi="宋体" w:eastAsia="宋体" w:cs="宋体"/>
                <w:color w:val="E74C3C"/>
                <w:sz w:val="21"/>
                <w:szCs w:val="21"/>
                <w:bdr w:val="none" w:color="auto" w:sz="0" w:space="0"/>
              </w:rPr>
              <w:t>注：1、带“★”为实质性要求，投标人均应全部满足，否则视为无效响应。</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Style w:val="7"/>
                <w:rFonts w:hint="eastAsia" w:ascii="宋体" w:hAnsi="宋体" w:eastAsia="宋体" w:cs="宋体"/>
                <w:color w:val="E74C3C"/>
                <w:sz w:val="21"/>
                <w:szCs w:val="21"/>
                <w:bdr w:val="none" w:color="auto" w:sz="0" w:space="0"/>
              </w:rPr>
              <w:t>带“▲”为本次招标项目的重要参数，投标文件里均需提供具有CMA或CNAS标识的检测报告复印件予以佐证，可在国家官方查询平台上查询:提供有效查询截图。成交后签订合同前须提供具有CMA或CNAS标识的检测报告原件给采购人查验，检测报告须证明参数且可在国家官方查询平台上查询有效提供查询截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1"/>
              <w:jc w:val="both"/>
              <w:rPr>
                <w:rFonts w:hint="eastAsia" w:ascii="宋体" w:hAnsi="宋体" w:eastAsia="宋体" w:cs="宋体"/>
              </w:rPr>
            </w:pPr>
            <w:r>
              <w:rPr>
                <w:rStyle w:val="7"/>
                <w:rFonts w:hint="eastAsia" w:ascii="宋体" w:hAnsi="宋体" w:eastAsia="宋体" w:cs="宋体"/>
                <w:color w:val="E74C3C"/>
                <w:sz w:val="21"/>
                <w:szCs w:val="21"/>
                <w:bdr w:val="none" w:color="auto" w:sz="0" w:space="0"/>
              </w:rPr>
              <w:t>3、清单中的技术参数描述如与特定品牌或型号相匹配，仅作为技术指标参考，不代表指向特定产品，竞标人可提供等同于或优于参数要求的产品。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E74C3C"/>
                <w:sz w:val="21"/>
                <w:szCs w:val="21"/>
                <w:bdr w:val="none" w:color="auto" w:sz="0" w:space="0"/>
              </w:rPr>
              <w:t>4、本项目采购清单中的采购标的名称，因采购人不能穷尽详列或通俗认知等原因，可能供应商提供的竞标产品所对应的证书、证明等对产品命名等存在一定差别，在满足本项目采购需求的前提下，本项目给予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E74C3C"/>
                <w:sz w:val="21"/>
                <w:szCs w:val="21"/>
                <w:bdr w:val="none" w:color="auto" w:sz="0" w:space="0"/>
              </w:rPr>
              <w:t>5、以上涉及的标准、规范在本项目开标前有新标准、规范更替的以新标准为准，本谈判文件不再调整。</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标的名称：二化螟性诱装置</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w:t>
            </w:r>
            <w:r>
              <w:rPr>
                <w:rStyle w:val="7"/>
                <w:rFonts w:hint="eastAsia" w:ascii="宋体" w:hAnsi="宋体" w:eastAsia="宋体" w:cs="宋体"/>
                <w:sz w:val="24"/>
                <w:szCs w:val="24"/>
                <w:bdr w:val="none" w:color="auto" w:sz="0" w:space="0"/>
              </w:rPr>
              <w:t>诱捕器由5个部件组成，分别是筒体、多网孔锥形壳体、诱芯杆、2个支架固定器和支撑杆；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▲2、诱捕器总高度300mm±3mm，外直径176mm±2mm，内直径165mm±2mm,集虫桶容积≥4500mL；</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▲3、筒体顶部设有悬挂孔，悬挂孔直径5mm±0.1mm；筒身顶部有40≥个小透气孔，利于诱芯挥发；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4、筒体外周侧安装2个支架固定器及卡扣，卡扣孔直径为11mm±0.5mm,用于桶体和支撑杆结合固定，能够一键锁紧；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5、多网孔锥形壳体上窄下宽，害虫能进不能出，防止活虫逃逸。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6、锥体总高度200mm±2mm，设上下2个进虫口，下进虫口内径140mm±1mm,上进虫口内径20mm±0.5mm；</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7、诱芯杆杆长120mm±1mm，横向安置于多网孔锥体下部；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8、支撑架为包胶钢管，高度≥1500mm，直径11mm±0.5mm，穿过固定器卡扣孔固定，并可上下调节诱捕器悬挂高度；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▲9、诱芯（2个），主要活性组分为顺 11-16Ald，9-16Ald，13-18Ald 等，包括高效增效剂和稳定剂；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▲10、每只诱芯活性组分含量≥1.8mg;各活性成分的纯度≥98.5%;载体毛细管材质：PVC微管缓释载体；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11、毛细管尺寸：外径 2.5±0.2 mm，内径 1.5±0.1 mm，长度 80±3 mm；</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hanging="100"/>
              <w:jc w:val="both"/>
              <w:rPr>
                <w:rFonts w:hint="eastAsia" w:ascii="宋体" w:hAnsi="宋体" w:eastAsia="宋体" w:cs="宋体"/>
              </w:rPr>
            </w:pPr>
            <w:r>
              <w:rPr>
                <w:rStyle w:val="7"/>
                <w:rFonts w:hint="eastAsia" w:ascii="宋体" w:hAnsi="宋体" w:eastAsia="宋体" w:cs="宋体"/>
                <w:sz w:val="24"/>
                <w:szCs w:val="24"/>
                <w:bdr w:val="none" w:color="auto" w:sz="0" w:space="0"/>
              </w:rPr>
              <w:t>▲12、田间持效期：不低于2个月，冷冻贮存期：不少于 2 年（-18℃）。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hanging="100"/>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 </w:t>
            </w:r>
            <w:r>
              <w:rPr>
                <w:rStyle w:val="7"/>
                <w:rFonts w:hint="eastAsia" w:ascii="宋体" w:hAnsi="宋体" w:eastAsia="宋体" w:cs="宋体"/>
                <w:sz w:val="24"/>
                <w:szCs w:val="24"/>
                <w:bdr w:val="none" w:color="auto" w:sz="0" w:space="0"/>
              </w:rPr>
              <w:t>每套二化螟性诱装置配套2个诱芯；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1"/>
              <w:jc w:val="both"/>
              <w:rPr>
                <w:rFonts w:hint="eastAsia" w:ascii="宋体" w:hAnsi="宋体" w:eastAsia="宋体" w:cs="宋体"/>
              </w:rPr>
            </w:pPr>
            <w:r>
              <w:rPr>
                <w:rStyle w:val="7"/>
                <w:rFonts w:hint="eastAsia" w:ascii="宋体" w:hAnsi="宋体" w:eastAsia="宋体" w:cs="宋体"/>
                <w:color w:val="E74C3C"/>
                <w:sz w:val="21"/>
                <w:szCs w:val="21"/>
                <w:bdr w:val="none" w:color="auto" w:sz="0" w:space="0"/>
                <w:shd w:val="clear" w:fill="F1F7FF"/>
              </w:rPr>
              <w:t>注：1、带“★”为实质性要求，投标人均应全部满足，否则视为无效响应。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Style w:val="7"/>
                <w:rFonts w:hint="eastAsia" w:ascii="宋体" w:hAnsi="宋体" w:eastAsia="宋体" w:cs="宋体"/>
                <w:color w:val="E74C3C"/>
                <w:sz w:val="21"/>
                <w:szCs w:val="21"/>
                <w:bdr w:val="none" w:color="auto" w:sz="0" w:space="0"/>
              </w:rPr>
              <w:t>带“▲”为本次招标项目的重要参数，投标文件里均需提供具有CMA或CNAS标识的检测报告复印件予以佐证，可在国家官方查询平台上查询:提供有效查询截图。成交后签订合同前须提供具有CMA或CNAS标识的检测报告原件给采购人查验，检测报告须证明参数且可在国家官方查询平台上查询有效提供查询截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1"/>
              <w:jc w:val="both"/>
              <w:rPr>
                <w:rFonts w:hint="eastAsia" w:ascii="宋体" w:hAnsi="宋体" w:eastAsia="宋体" w:cs="宋体"/>
              </w:rPr>
            </w:pPr>
            <w:r>
              <w:rPr>
                <w:rStyle w:val="7"/>
                <w:rFonts w:hint="eastAsia" w:ascii="宋体" w:hAnsi="宋体" w:eastAsia="宋体" w:cs="宋体"/>
                <w:color w:val="E74C3C"/>
                <w:sz w:val="21"/>
                <w:szCs w:val="21"/>
                <w:bdr w:val="none" w:color="auto" w:sz="0" w:space="0"/>
                <w:shd w:val="clear" w:fill="F1F7FF"/>
              </w:rPr>
              <w:t>3、清单中的技术参数描述如与特定品牌或型号相匹配，仅作为技术指标参考，不代表指向特定产品，竞标人可提供等同于或优于参数要求的产品。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E74C3C"/>
                <w:sz w:val="21"/>
                <w:szCs w:val="21"/>
                <w:bdr w:val="none" w:color="auto" w:sz="0" w:space="0"/>
                <w:shd w:val="clear" w:fill="F1F7FF"/>
              </w:rPr>
              <w:t>4、本项目采购清单中的采购标的名称，因采购人不能穷尽详列或通俗认知等原因，可能供应商提供的竞标产品所对应的证书、证明等对产品命名等存在一定差别，在满足本项目采购需求的前提下，本项目给予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E74C3C"/>
                <w:sz w:val="21"/>
                <w:szCs w:val="21"/>
                <w:bdr w:val="none" w:color="auto" w:sz="0" w:space="0"/>
                <w:shd w:val="clear" w:fill="F1F7FF"/>
              </w:rPr>
              <w:t>5、以上涉及的标准、规范在本项目开标前有新标准、规范更替的以新标准为准，本谈判文件不再调整。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五通桥区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签订合同 ，达到付款条件起 15 日内，支付合同总金额的 30.00%。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验收合格 ，达到付款条件起 15 日内，支付合同总金额的 70.00%。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3.3.3验收及标准（实质性要求） 1）验收依据：本项目采购文件、成交供应商响应文件、国家相关法律法规及行业现行的相关验收规范、标准执行。 2）验收办法：按照《财政部关于进一步加强政府采购需求和履约验收管理的指导意见》（财库﹝2016﹞205号）以及竞争性谈判文件的质量要求和技术指标、成交供应商的响应文件及承诺与本合同约定标准的要求进行验收。 3）项目验收时须具备下列条件：成交供应商提供的产品必须是原厂生产的，符合国家、行业和生产者的质量检测标准，未使用过的全新货物，并附有正规的质量保证书或合格证； 4）成交供应商履约时违反本项第3）条规定情形的，采购人有权拒收，不予支付合同价款，同时单方终止合同。 3.3.4违约责任： 1）采购人与成交供应商必须遵守本合同并执行合同中的各项规定，保证本合同的正常履行。任何一方违约给对方造成的直接损失均负有赔偿责任，对方均有权视情况要求另一方继续履行合同或提出解除合同。 2）如因成交供应商在履约过程中的疏忽、失职、过错等故意或者过失原因给采购人造成损失或侵害，包括但不限于采购人本身的财产损失、由此而导致的采购人对任何第三方的法律责任等，成交供应商对此均应承担全部的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3.2服务要求：（实质性要求） 1）可根据用户需求在灯杆或灯头部分设计产品的应用场景和作物相关造型及元素。 2）成交供应商须在合同签订后30个日历天内完成全部的供货、配送、安装工作。 3）安装要求：所有需要安装的产品设备须严格按照采购人的安装要求进行安装，安装需牢固稳定，运行正常。 4）每安装一台风吸式太阳能杀虫灯须用水印相机拍照存档，后期打印装订成册作为项目验收的部分佐证资料。 5）质保期:杀虫灯质保期为安装调试完毕验收合格后1年，质保期内免费维修及更换所有零部件。 6）履约地点：采购人指定的地点（多个地点），且按照要求进行分发，分发转运等所有费用由投标人自行承担。 7）成交供应商配送的货物各项技术指标符合国家标准、行业标准、本邀请书的要求以及国家、行业强制性要求（如有），并提供产品质量合格证。 8）成交供应商配送的货物符合其报价响应的数量，并提供镇或村委会盖章的签收凭证。 9）成交供应商在配送过程中的配送车辆、配送人员的财产及人身安全等安全责任，由成交供应商自行负责，（投标单位需单独提供承诺，格式自拟）。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3.4.8违约责任及解决争议的方法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3.3.5争议解决办法： 1）采购人与成交供应商双方就本协议所产生的任何争议都应该进行友好协商，协商解决不成的，任何一方均可向项目所在地有管辖权的人民法院提起诉讼。 2）诉讼费应由败诉方承担。 3）在诉讼期间，除正在进行诉讼的部分外，合同其他部分继续执行。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一、售后服务要求：（实质性要求） 1）为保证产品质量，要求供货产品须为原厂原装，产品生产好后由工厂直发到最终用户单位并附有正规产品的质量保证书或合格证，产品外包装箱不得拆封，外包装箱标签不得有任何涂改，如未满足上述要求，采购人有权拒收，并终止合同的执行，同时追究成交供应商违约责任。 2）成交供应商所提供的货物开箱后，发现有任何质量问题（包括外观损伤），必须以采购人能接受的方式加以解决。 二、其他商务要求：（实质性要求） 1、报价要求： 1）供应商报价是指供应商全部完成本项目所有的服务内容的全部工作、服务内容的综合最终报价，包括供应商履约过程中的物资采购、差旅、包装、运输、搬运及二次转运、试验、技术培训指导及材料、验收、样品送检费用、税金、合理利润及与供应履约本项目所需要的其他所有费用。采购人在项目结算时不再向成交供应商支付其他任何费用。如出现在响应报价估算错误等引起的损失由竞标人自行承担； 2）小微企业、残疾人福利性单位、监狱企业、失信企业的优惠与惩戒在此竞标人实际报价的基础上由评审委员会按政策执行。 2、报价及报价评审特别说明 1）供应商可结合自身实际，选择提供符合要求的产品进行报价；供应商应在报价响应资料中对应提供报价产品满足本邀请书规定的技术要求、资格条件的证明材料。 2）本项目报价评审中，按符合项目要求（资格要求、技术要求等邀请书规定要求）且报价最低的产品为成交原则，确定成交供应商。 3、其他相关事宜 1）成交供应商在项目履约过程中投入的设备、材料及安装过程中的措施、办法涉及到国家节能、环保方面的政策要求的，按国家节能、环保现行政策要求执行。 2）本项目不允许成交供应商分包履约； 3）本项目严禁成交供应商任何形式的转包； 4）成交供应商在履约过程中，如若涉及国家相关强制管理制度、许可制度等强制方面的规定及要求的，应当符合其规定及要求。 5）成交供应商在配送供给服务中，需要采购人、各镇村组干部群众给予配合支持的，由成交供应商主动协调处理。 6）在本采购文件中没有提及的与本项目履约切实相关的事宜，在采购人与成交供应商订立合同时明细约定或后续补充约定（约定的内容须符合国家相关法律法规的规定）。</w:t>
      </w:r>
    </w:p>
    <w:p>
      <w:pPr>
        <w:jc w:val="center"/>
        <w:rPr>
          <w:rFonts w:hint="eastAsia"/>
          <w:sz w:val="32"/>
          <w:szCs w:val="32"/>
          <w:lang w:val="en-US" w:eastAsia="zh-CN"/>
        </w:rPr>
      </w:pPr>
      <w:bookmarkStart w:id="0" w:name="_GoBack"/>
      <w:bookmarkEnd w:id="0"/>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94A68"/>
    <w:multiLevelType w:val="multilevel"/>
    <w:tmpl w:val="B1094A6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7B6FBD41"/>
    <w:multiLevelType w:val="multilevel"/>
    <w:tmpl w:val="7B6FBD4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13CF8"/>
    <w:rsid w:val="4C913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2024-04-17T08:23:00Z</dcterms:created>
  <dc:creator>admin</dc:creator>
  <cp:lastModifiedBy>admin</cp:lastModifiedBy>
  <dcterms:modified xsi:type="dcterms:W3CDTF">2024-04-17T08:32:05Z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880170468D6C416DB43F9B2F4A2FC2C9</vt:lpwstr>
  </property>
</Properties>
</file>