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为确保城南幼儿园顺利投用，采购家具设备一批。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586,116.00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586,116.00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2"/>
        <w:gridCol w:w="1370"/>
        <w:gridCol w:w="787"/>
        <w:gridCol w:w="1412"/>
        <w:gridCol w:w="702"/>
        <w:gridCol w:w="705"/>
        <w:gridCol w:w="663"/>
        <w:gridCol w:w="705"/>
        <w:gridCol w:w="706"/>
        <w:gridCol w:w="7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幼儿课桌1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幼儿课桌2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幼儿课桌3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四方桌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儿童椅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四层玩具柜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91,200.00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书包柜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43,200.00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儿童床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250,800.00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园长室班台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副团长室班台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沙发</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双人位面对面办公桌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总务室班台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出纳室班台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班椅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20人会议桌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会议椅1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教师餐桌、餐椅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组</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折叠培训桌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会议椅2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班级椅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5,400.00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教学用椅</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检查床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580.00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观察床</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1,170.00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器械台（车）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诊察桌</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1,250.00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诊察凳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216.00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器械柜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药品柜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2,090.00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资料柜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小型红外线消毒柜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标的名称：幼儿课桌1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5029"/>
              <w:gridCol w:w="57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color w:val="0D0D0D"/>
                      <w:sz w:val="24"/>
                      <w:szCs w:val="24"/>
                      <w:bdr w:val="none" w:color="auto" w:sz="0" w:space="0"/>
                    </w:rPr>
                  </w:pPr>
                  <w:r>
                    <w:rPr>
                      <w:rFonts w:hint="eastAsia" w:ascii="宋体" w:hAnsi="宋体" w:eastAsia="宋体" w:cs="宋体"/>
                      <w:color w:val="0D0D0D"/>
                      <w:sz w:val="24"/>
                      <w:szCs w:val="24"/>
                      <w:bdr w:val="none" w:color="auto" w:sz="0" w:space="0"/>
                    </w:rPr>
                    <w:t>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color w:val="0D0D0D"/>
                      <w:sz w:val="24"/>
                      <w:szCs w:val="24"/>
                      <w:bdr w:val="none" w:color="auto" w:sz="0" w:space="0"/>
                    </w:rPr>
                  </w:pPr>
                  <w:r>
                    <w:rPr>
                      <w:rFonts w:hint="eastAsia" w:ascii="宋体" w:hAnsi="宋体" w:eastAsia="宋体" w:cs="宋体"/>
                      <w:color w:val="0D0D0D"/>
                      <w:sz w:val="24"/>
                      <w:szCs w:val="24"/>
                      <w:bdr w:val="none" w:color="auto" w:sz="0" w:space="0"/>
                    </w:rPr>
                    <w:t>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color w:val="0D0D0D"/>
                      <w:sz w:val="24"/>
                      <w:szCs w:val="24"/>
                      <w:bdr w:val="none" w:color="auto" w:sz="0" w:space="0"/>
                    </w:rPr>
                  </w:pPr>
                  <w:r>
                    <w:rPr>
                      <w:rFonts w:hint="eastAsia" w:ascii="宋体" w:hAnsi="宋体" w:eastAsia="宋体" w:cs="宋体"/>
                      <w:color w:val="0D0D0D"/>
                      <w:sz w:val="24"/>
                      <w:szCs w:val="24"/>
                      <w:bdr w:val="none" w:color="auto" w:sz="0" w:space="0"/>
                    </w:rPr>
                    <w:t>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color w:val="0D0D0D"/>
                      <w:sz w:val="24"/>
                      <w:szCs w:val="24"/>
                      <w:bdr w:val="none" w:color="auto" w:sz="0" w:space="0"/>
                      <w:lang w:eastAsia="zh-CN"/>
                    </w:rPr>
                  </w:pPr>
                  <w:r>
                    <w:rPr>
                      <w:rFonts w:hint="eastAsia" w:ascii="宋体" w:hAnsi="宋体" w:eastAsia="宋体" w:cs="宋体"/>
                      <w:color w:val="0D0D0D"/>
                      <w:sz w:val="24"/>
                      <w:szCs w:val="24"/>
                      <w:bdr w:val="none" w:color="auto" w:sz="0" w:space="0"/>
                      <w:lang w:eastAsia="zh-CN"/>
                    </w:rPr>
                    <w:t>桌</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1、尺寸：≥1200×600×500mm；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14</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标的名称：幼儿课桌2</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幼儿课桌2</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1、尺寸：≥1200×600×550mm；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32</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标的名称：幼儿课桌3</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幼儿课桌3</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1、尺寸：≥1200×600×600mm；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20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标的名称：四方桌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四方桌3</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1、尺寸：≥600×600×600mm；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18</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标的名称：儿童椅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儿童椅3</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1、尺寸：≥290×290×570mm，坐高≥300mm；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2、材质：椅子主构架采用22×50mm橡胶木实木料，坐板靠板采用≥18mm厚橡胶木实木板；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椅架、坐板和靠板油漆喷涂五次底漆和两次面漆（椅子底部喷涂三次底漆和一次面漆），自动化流水线生产，倒圆角，打孔等更加精准控制；底漆采用UV水性阻色处理。产品表面光洁，无气泡、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5、固定件：采用橡胶木实木卯榫结构一次成型；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350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标的名称：四层玩具柜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四层玩具柜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1、尺寸：≥800×300×650mm；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152</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标的名称：书包柜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书包柜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1、尺寸：≥1200*300*800mm；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36</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标的名称：儿童床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儿童床</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1、尺寸：≥1300*550*300㎜；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2、材质：采用≥18mm厚橡胶木实木板；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3、水性漆：涂料采用水性漆表面喷涂处理；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4、工艺：油漆喷涂五次底漆和两次面漆，自动化流水线生产，倒圆角，打孔等更加精准控制；底漆采用UV水性阻色处理。产品表面光洁，无裂缝，无毛刺，无锐边，连接牢固安全，边缘抛圆处理；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5、五金件：使用不锈钢制作；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6、脚钉：贴地处装有橡胶脚钉，防止板材磨损。</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456</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标的名称：园长室班台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班台</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1、规格：≥1600*790*750mm，边柜：≥1600*400*600mm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为保证产品质量，需通过以下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◆3、通过有资质检测机构检测，检测真菌主要有巴西曲霉（黑曲霉）、绿色木霉（绿色胶霉），检测菌种主要有大肠杆菌、金黄色葡萄球菌，供应商需要提供生物抗菌型净化膜的抗菌率检测合格报告。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通过有资质测机构检测检测（检测报告有CMA国家级认证标识），供应商需要提供生物抗菌型净化实木板的释放负离子功能的检测报告（检测结果：初始浓度不低于平均值7.2×107/m3，24h浓度不低于平均值4.72×108/m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通过有资质检测机构检测（检测报告有CMA国家级认证标识），检测依据:QB/T2761-2006《室内空气净化产品净化效果测定方法》，供应商需要提供生物抗菌型净化实木板的甲醛去除率的检测报告,甲醛去除率≥50%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6、封边：选用塑料PVC封边，厚度≥0.8mm，自动封边机进行封边处理，坚固耐用，防止因温差大的情况下使水分入侵，造成变形开裂，可溶性重金属（铅、镉、铬、汞）的迁移为零。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both"/>
                    <w:rPr>
                      <w:rFonts w:hint="eastAsia" w:ascii="宋体" w:hAnsi="宋体" w:eastAsia="宋体" w:cs="宋体"/>
                    </w:rPr>
                  </w:pPr>
                  <w:r>
                    <w:rPr>
                      <w:rFonts w:hint="eastAsia" w:ascii="宋体" w:hAnsi="宋体" w:eastAsia="宋体" w:cs="宋体"/>
                      <w:color w:val="0D0D0D"/>
                      <w:sz w:val="24"/>
                      <w:szCs w:val="24"/>
                      <w:bdr w:val="none" w:color="auto" w:sz="0" w:space="0"/>
                    </w:rPr>
                    <w:t>7、粘合剂（白乳胶）：游离甲醛释放量≤0.3g/kg，耐热、耐寒、防水、绿色无污染，符合GB 18583-2008 室内装饰装修材料胶粘剂中有害物质限量标准；</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标的名称：副团长室班台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班台</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1、规格：桌子≥1600*800*750mm，边柜：≥1600*400*600mm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4、粘合剂（白乳胶）：游离甲醛释放量≤0.3g/kg，耐热、耐寒、防水、绿色无污染。</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标的名称：沙发</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7"/>
              <w:gridCol w:w="4650"/>
              <w:gridCol w:w="556"/>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沙发</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1、规格：皮艺沙发1+1+3（2个单人位皮艺沙发，1个三人位皮艺沙发），三人位≥205*85*78cm；单人位：≥90*85*78cm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2、沙发接触面用纳帕牛皮，羽绒靠包，乳胶+高密度海绵座包。45密度高回弹海绵，细腻柔软，不易变形。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3、实木框架，稳固经久不变形。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4、碳素钢高脚设计，紧固称重，清洁无死角。                  </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组</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标的名称：双人位面对面办公桌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双人位面对面办公桌</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1、规格：桌子尺寸：≥1400*1200*750mm，边柜尺寸：≥2400*400*620mm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4、粘合剂（白乳胶）：游离甲醛释放量≤0.3g/kg，耐热、耐寒、防水、绿色无污染。</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标的名称：总务室班台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班台</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1、规格：桌子≥1400*700*750mm，小柜≥600*400*420mm，长柜≥1200*400*650，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4、粘合剂（白乳胶）：游离甲醛释放量≤0.3g/kg，耐热、耐寒、防水、绿色无污染。</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标的名称：出纳室班台</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班台</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1、规格：桌子≥1400*700*750mm，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4、粘合剂（白乳胶）：游离甲醛释放量≤0.3g/kg，耐热、耐寒、防水、绿色无污染。</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标的名称：班椅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班椅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1、规格型号：≥扶手宽65mm，座深50cm，座高40-50cm，总高85-95cm；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2、座内板多层实木板压制而成，座内海绵由PU材料发泡而成定型绵密度≥75KG/M3.泡绵回弹性≥95%，座面优质环保防污网布，经防虫、防潮等处理，透气性强。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3、椅背带护腰设计，增强腰部舒适度；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4、优质尼龙五星脚架， 优质气压棒，升降≥50万次无损坏，防爆尼龙万向轮；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5、根据人体工学原理设计，坐感舒适。</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8</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标的名称：20人会议桌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20人会议桌</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1、规格：桌子≥4500*1500㎜。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2、基材：采用厚度≥25mm优质生物抗菌型净化实木板,生态环保无污染，整体工艺无油漆处理，表面采用生物抗菌型净化膜压贴。生物抗菌型净化实木板具有环保抗菌、去除甲醛、释放负离子等功能。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3、封边：选用塑料PVC封边，厚度0.8mm，自动封边机进行封边处理，坚固耐用，防止因温差大的情况下使水分入侵，造成变形开裂，可溶性重金属（铅、镉、铬、汞）的迁移为零。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4、粘合剂（白乳胶）：游离甲醛释放量≤0.3g/kg，耐热、耐寒、防水、绿色无污染。</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标的名称：会议椅1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会议椅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1、规格：≥50*50*98cm。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基材：黑色，皮革弓形椅，头层西皮，细腻纹理，天然质感。原生材质；结实紧密，防水防尘，便手擦拭。加厚原生整块海棉，高回弹，透气好。原生pp扶手承托，用料扎实耐高温。加厚钢管，防滑脚垫，稳固耐用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3.椅架金属件外观性能要求如管材应无裂缝、叠缝 ，外露管口端面应封闭，焊接处应无脱焊、虚焊、焊穿、错位 ，焊接处应无夹渣、气孔、焊瘤、焊丝头、咬边、飞溅，焊接处表面波纹应均匀 ，涂层应无漏喷，锈蚀和脱色、掉色现象 ，涂层应光滑均匀，色泽一致，应无流挂、疙瘩、皱皮、飞漆等缺陷。</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30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标的名称：教师餐桌、餐椅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10" w:right="0" w:hanging="210"/>
                    <w:jc w:val="center"/>
                    <w:rPr>
                      <w:rFonts w:hint="eastAsia" w:ascii="宋体" w:hAnsi="宋体" w:eastAsia="宋体" w:cs="宋体"/>
                    </w:rPr>
                  </w:pPr>
                  <w:r>
                    <w:rPr>
                      <w:rFonts w:hint="eastAsia" w:ascii="宋体" w:hAnsi="宋体" w:eastAsia="宋体" w:cs="宋体"/>
                      <w:color w:val="0D0D0D"/>
                      <w:sz w:val="21"/>
                      <w:szCs w:val="21"/>
                      <w:bdr w:val="none" w:color="auto" w:sz="0" w:space="0"/>
                    </w:rPr>
                    <w:t>教师餐桌、餐椅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51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规格：一张长桌+四把椅子组合，长桌≥120CM*60CM*75CM±10mm，椅子≥50CM*58CM*76CM±10mm；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51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餐桌：基材采用厚度≥25mm三聚氰胺板 ； 采用厚度≥0.8mm封边条符合QB/T 4463-2013 家具用封边条技术要求；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51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餐椅：椅架采用枫香木，坐垫海绵生物抗菌型净化绵，整体具有良好的缓冲、抗震、隔音、防潮、调节干湿度、保护等作用；</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组</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标的名称：折叠培训桌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折叠培训桌</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1、规格：≥120CM*50CM*75CM。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2、面板采用2.5mm环保实木颗粒板，1.5mm加厚热熔墙边，平滑不刮手。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3、稳固钢架：采用黑色烤漆钢架。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4、能折叠收纳，节省空间，收张有度。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5、黑胡桃木色。</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20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标的名称：会议椅2</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会议椅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D0D0D"/>
                      <w:sz w:val="21"/>
                      <w:szCs w:val="21"/>
                      <w:bdr w:val="none" w:color="auto" w:sz="0" w:space="0"/>
                    </w:rPr>
                    <w:t>1、</w:t>
                  </w:r>
                  <w:r>
                    <w:rPr>
                      <w:rFonts w:hint="eastAsia" w:ascii="宋体" w:hAnsi="宋体" w:eastAsia="宋体" w:cs="宋体"/>
                      <w:color w:val="0D0D0D"/>
                      <w:sz w:val="24"/>
                      <w:szCs w:val="24"/>
                      <w:bdr w:val="none" w:color="auto" w:sz="0" w:space="0"/>
                    </w:rPr>
                    <w:t>规格：椅靠背最窄425mm,扶手外缘之间距离600mm，椅高84mm，椅坐垫440*440mm，前后椅脚距离（不含轮子)537mm， 左右椅脚距离（不含轮子)485mm，坐高460mm，写字板360*245mm。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2、饰面：椅座采用优质麻绒面料，椅背采用优质网布；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3、海绵：芯材采用生物抗菌型净化绵制作,整体具有良好的缓冲、抗震、隔音、防潮、调节干湿度、保护等作用。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both"/>
                    <w:rPr>
                      <w:rFonts w:hint="eastAsia" w:ascii="宋体" w:hAnsi="宋体" w:eastAsia="宋体" w:cs="宋体"/>
                    </w:rPr>
                  </w:pPr>
                  <w:r>
                    <w:rPr>
                      <w:rFonts w:hint="eastAsia" w:ascii="宋体" w:hAnsi="宋体" w:eastAsia="宋体" w:cs="宋体"/>
                      <w:color w:val="0D0D0D"/>
                      <w:sz w:val="24"/>
                      <w:szCs w:val="24"/>
                      <w:bdr w:val="none" w:color="auto" w:sz="0" w:space="0"/>
                    </w:rPr>
                    <w:t>◆4、生物抗菌型净化绵可以净化室内空气中的有毒有害物质甲醛，净化效果可以保持在3年以上，并随时可抽检，甲醛净化效率≧80%以上，（检测依据JC/T1074-2008《室内空气净化功能涂覆材料净化性能》）生物抗菌型净化绵具有阻燃性功能，（检测依据GB8624-2012《建筑材料及制品燃烧性能分级》标准，）检测内容包括燃烧增长速率指数：FIGRA0.4MUJW/s≤750，60s内焰尖高度：Fsmm≤150，60s内有无燃烧滴落物引燃滤纸现象：符合要求,检测结果达到B2（D）级标准。供应商需要提供生物抗菌型净化绵的合格检测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both"/>
                    <w:rPr>
                      <w:rFonts w:hint="eastAsia" w:ascii="宋体" w:hAnsi="宋体" w:eastAsia="宋体" w:cs="宋体"/>
                    </w:rPr>
                  </w:pPr>
                  <w:r>
                    <w:rPr>
                      <w:rFonts w:hint="eastAsia" w:ascii="宋体" w:hAnsi="宋体" w:eastAsia="宋体" w:cs="宋体"/>
                      <w:color w:val="0D0D0D"/>
                      <w:sz w:val="24"/>
                      <w:szCs w:val="24"/>
                      <w:bdr w:val="none" w:color="auto" w:sz="0" w:space="0"/>
                    </w:rPr>
                    <w:t> 5、胶粘剂：采用水基型胶粘剂, 符合室内装饰装修材料胶粘剂中有害物质限量标准要求，其中总挥发性有机物含量≤62g/L，游离甲醛含量≤0.05g；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0" w:right="0" w:firstLine="240"/>
                    <w:jc w:val="left"/>
                    <w:rPr>
                      <w:rFonts w:hint="eastAsia" w:ascii="宋体" w:hAnsi="宋体" w:eastAsia="宋体" w:cs="宋体"/>
                    </w:rPr>
                  </w:pPr>
                  <w:r>
                    <w:rPr>
                      <w:rFonts w:hint="eastAsia" w:ascii="宋体" w:hAnsi="宋体" w:eastAsia="宋体" w:cs="宋体"/>
                      <w:color w:val="0D0D0D"/>
                      <w:sz w:val="24"/>
                      <w:szCs w:val="24"/>
                      <w:bdr w:val="none" w:color="auto" w:sz="0" w:space="0"/>
                    </w:rPr>
                    <w:t>6、尼龙加玻璃纤维高强度靠背框架与坐垫框架；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7、椅架：优质钢制椅架，壁厚≥1.5mm，静电喷塑处理；连接件：优质铝合金压铸而成，精抛处理；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8、功能：带万向轮，360度自由选择，顺滑无阻；折叠写字板，可推叠；靠背7度倾仰，坐垫可翻起；</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100</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标的名称：班级椅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班级椅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规格：≥540*570*920㎜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1、饰面：椅座采用优质麻绒面料，椅背采用优质网布；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2、海绵：芯材采用生物抗菌型净化绵制作，整体具有良好的缓冲、抗震、隔音、防潮、调节干湿度、保护等作用。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3、胶粘剂：采用水基型胶粘剂, 符合室内装饰装修材料胶粘剂中有害物质限量标准要求，其中总挥发性有机物含量≤62g/L，游离甲醛含量≤0.05g。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4、尼龙加玻璃纤维高强度靠背框架与坐垫框架。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left"/>
                    <w:rPr>
                      <w:rFonts w:hint="eastAsia" w:ascii="宋体" w:hAnsi="宋体" w:eastAsia="宋体" w:cs="宋体"/>
                    </w:rPr>
                  </w:pPr>
                  <w:r>
                    <w:rPr>
                      <w:rFonts w:hint="eastAsia" w:ascii="宋体" w:hAnsi="宋体" w:eastAsia="宋体" w:cs="宋体"/>
                      <w:color w:val="0D0D0D"/>
                      <w:sz w:val="24"/>
                      <w:szCs w:val="24"/>
                      <w:bdr w:val="none" w:color="auto" w:sz="0" w:space="0"/>
                    </w:rPr>
                    <w:t>5、椅架：优质25管钢制椅架，壁厚≥2.0mm，静电喷塑处理；连接件：优质铝合金压铸而成，精抛处理。</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12</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标的名称：教学用椅</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教学用椅</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1、规格：≥480*560*780㎜。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2、材质：实木。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3、饰面：超纤皮。</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12</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标的名称：检查床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ascii="等线" w:hAnsi="等线" w:eastAsia="等线" w:cs="等线"/>
                      <w:color w:val="0D0D0D"/>
                      <w:sz w:val="22"/>
                      <w:szCs w:val="22"/>
                      <w:bdr w:val="none" w:color="auto" w:sz="0" w:space="0"/>
                    </w:rPr>
                    <w:t>检查床</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幼儿平板诊查床， 规格尺寸：≥1500mm*600mm*600mm，床框采用≥40mm*20mm*1.2mm厚的矩管焊接；床腿采用≥32mm*32mm*1.0mm的圆管焊接；床面采用厚的木板包覆以海绵和人造革制成。</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eastAsia" w:ascii="宋体" w:hAnsi="宋体" w:eastAsia="宋体" w:cs="宋体"/>
                      <w:color w:val="0D0D0D"/>
                      <w:sz w:val="22"/>
                      <w:szCs w:val="22"/>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eastAsia" w:ascii="宋体" w:hAnsi="宋体" w:eastAsia="宋体" w:cs="宋体"/>
                      <w:color w:val="0D0D0D"/>
                      <w:sz w:val="22"/>
                      <w:szCs w:val="22"/>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标的名称：观察床</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观察床</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铁架床头，平板病床，规格≥1950*900*500mm, 含床垫。</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eastAsia" w:ascii="宋体" w:hAnsi="宋体" w:eastAsia="宋体" w:cs="宋体"/>
                      <w:color w:val="0D0D0D"/>
                      <w:sz w:val="22"/>
                      <w:szCs w:val="22"/>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eastAsia" w:ascii="宋体" w:hAnsi="宋体" w:eastAsia="宋体" w:cs="宋体"/>
                      <w:color w:val="0D0D0D"/>
                      <w:sz w:val="22"/>
                      <w:szCs w:val="22"/>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标的名称：器械台（车）</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5"/>
              <w:gridCol w:w="4458"/>
              <w:gridCol w:w="513"/>
              <w:gridCol w:w="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器械台（车）</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不锈钢双层，带轮，≥500*400*850mm。</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hanging="200"/>
                    <w:jc w:val="center"/>
                    <w:rPr>
                      <w:rFonts w:hint="eastAsia" w:ascii="宋体" w:hAnsi="宋体" w:eastAsia="宋体" w:cs="宋体"/>
                    </w:rPr>
                  </w:pPr>
                  <w:r>
                    <w:rPr>
                      <w:rFonts w:hint="eastAsia" w:ascii="宋体" w:hAnsi="宋体" w:eastAsia="宋体" w:cs="宋体"/>
                      <w:color w:val="0D0D0D"/>
                      <w:sz w:val="20"/>
                      <w:szCs w:val="20"/>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hanging="200"/>
                    <w:jc w:val="center"/>
                    <w:rPr>
                      <w:rFonts w:hint="eastAsia" w:ascii="宋体" w:hAnsi="宋体" w:eastAsia="宋体" w:cs="宋体"/>
                    </w:rPr>
                  </w:pPr>
                  <w:r>
                    <w:rPr>
                      <w:rFonts w:hint="eastAsia" w:ascii="宋体" w:hAnsi="宋体" w:eastAsia="宋体" w:cs="宋体"/>
                      <w:color w:val="0D0D0D"/>
                      <w:sz w:val="20"/>
                      <w:szCs w:val="20"/>
                      <w:bdr w:val="none" w:color="auto" w:sz="0" w:space="0"/>
                    </w:rPr>
                    <w:t>台</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标的名称：诊察桌</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诊察桌</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95"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全钢板拆装式，外形尺寸≥1200*600*750mm结实耐用美观大方。</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default" w:ascii="Times New Roman" w:hAnsi="Times New Roman" w:eastAsia="宋体" w:cs="Times New Roman"/>
                      <w:color w:val="0D0D0D"/>
                      <w:sz w:val="22"/>
                      <w:szCs w:val="22"/>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25" w:right="0" w:hanging="220"/>
                    <w:jc w:val="center"/>
                    <w:rPr>
                      <w:rFonts w:hint="eastAsia" w:ascii="宋体" w:hAnsi="宋体" w:eastAsia="宋体" w:cs="宋体"/>
                    </w:rPr>
                  </w:pPr>
                  <w:r>
                    <w:rPr>
                      <w:rFonts w:hint="eastAsia" w:ascii="宋体" w:hAnsi="宋体" w:eastAsia="宋体" w:cs="宋体"/>
                      <w:color w:val="0D0D0D"/>
                      <w:sz w:val="22"/>
                      <w:szCs w:val="22"/>
                      <w:bdr w:val="none" w:color="auto" w:sz="0" w:space="0"/>
                    </w:rPr>
                    <w:t>张</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标的名称：诊察凳</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诊察凳</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不锈钢四脚转凳、不锈钢凳面、360度旋转可升降， 含皮革罩。</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把</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标的名称：器械柜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器械柜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规格：≥宽850*厚390*高1800mm，颜色为普通亚光灰色，采用≥ 0.5mm以上高硬度冷轧钢板厚钢板冲压成型，整体高精度焊接技术，表面经脱脂、酸洗、磷化、静电喷涂，流水线高温条件处理，结实耐用，防腐蚀。整体分为上下两部分，上部镶装玻璃门，上下部分均带可调整隔板。</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标的名称：药品柜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药品柜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1、尺寸：≥850*500*1800mm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2、柜体采用优质冷轧钢板材制作，经激光切割、折压、焊接成型，经酸洗磷化、静电喷塑处理加工而成。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3、座面采用优质板材，牢固可靠，美观大方，耐久防锈；分别采用移门式或开门式设计，以适应不同客户要求，配备抽屉与书写板选项；中间带有2个抽屉，抽屉滑道采用三节静音式滑轮，抽拉灵活，无噪音。</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4、采用整体一体化设计，上部玻璃门，配备固定三层隔板。</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标的名称：资料柜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资料柜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规格：≥宽850*厚390*高1800mm, 颜色为普通亚光灰色，采用≥ 0.5mm以上，高硬度冷轧钢板厚钢板冲压成型，整体高精度焊接技术，表面经脱脂、酸洗、磷化、静电喷涂，流水线高温条件处理，结实耐用，防腐蚀。整体分为上下两部分，上部镶装玻璃门，上下部分均带可调整隔板。</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标的名称：小型红外线消毒柜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4539"/>
              <w:gridCol w:w="593"/>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8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小型红外线消毒柜</w:t>
                  </w:r>
                </w:p>
              </w:tc>
              <w:tc>
                <w:tcPr>
                  <w:tcW w:w="348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firstLine="0"/>
                    <w:jc w:val="left"/>
                    <w:rPr>
                      <w:rFonts w:hint="eastAsia" w:ascii="宋体" w:hAnsi="宋体" w:eastAsia="宋体" w:cs="宋体"/>
                    </w:rPr>
                  </w:pPr>
                  <w:r>
                    <w:rPr>
                      <w:rFonts w:hint="eastAsia" w:ascii="宋体" w:hAnsi="宋体" w:eastAsia="宋体" w:cs="宋体"/>
                      <w:color w:val="0D0D0D"/>
                      <w:sz w:val="24"/>
                      <w:szCs w:val="24"/>
                      <w:bdr w:val="none" w:color="auto" w:sz="0" w:space="0"/>
                    </w:rPr>
                    <w:t>规格≥400*300*880mm、功率≥500W、双层：上层烘干，下层消毒。层架电镀。内胆材质：不锈钢。消毒温度≥100℃。</w:t>
                  </w:r>
                </w:p>
              </w:tc>
              <w:tc>
                <w:tcPr>
                  <w:tcW w:w="45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1</w:t>
                  </w:r>
                </w:p>
              </w:tc>
              <w:tc>
                <w:tcPr>
                  <w:tcW w:w="374"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240" w:right="0" w:hanging="240"/>
                    <w:jc w:val="center"/>
                    <w:rPr>
                      <w:rFonts w:hint="eastAsia" w:ascii="宋体" w:hAnsi="宋体" w:eastAsia="宋体" w:cs="宋体"/>
                    </w:rPr>
                  </w:pPr>
                  <w:r>
                    <w:rPr>
                      <w:rFonts w:hint="eastAsia" w:ascii="宋体" w:hAnsi="宋体" w:eastAsia="宋体" w:cs="宋体"/>
                      <w:color w:val="0D0D0D"/>
                      <w:sz w:val="24"/>
                      <w:szCs w:val="24"/>
                      <w:bdr w:val="none" w:color="auto" w:sz="0" w:space="0"/>
                    </w:rPr>
                    <w:t>个</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井研县城南幼儿园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验收合格后 ，达到付款条件起 30 日内，支付合同总金额的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为确保城南幼儿园春季顺利招生，中标商需在中标公告结束后7日内签定合同，20日内完成安装、调试等工作，达到验收要求。 （1）验收依据：本项目采购文件、成交供应商投标文件、国家相关法律法规及行业现行的相关验收规范、标准执行。 （2）验收办法：采购人将按照《财政部关于进一步加强政府采购需求和履约验收管理的报导意见》（财库【2016】205 号）和《关于沿用〈乐山市政府采购项目需求论证和履约验收管理实施细则〉的通知》（乐市财政采〔2021〕8号）的规定进行履约验收，采购人与成交供应商双方如对质量要求和技术指标的约定标准有相互抵触或异议的事项,由采购人按中标文件与成交供应商投标文件中按质量要求和技术指标有利于采购人的原则确定该项的约定标准进行验收。验收时如发现所交付的货物有短装、次品、 损坏或其它不符合标准及本合同规定之情,采购人应做出详尽的现场记录,或由采购人与成交供应商双方签署备忘录,此现场记录或备忘录可用作补充、缺失和更换损坏部件的有效证据,由此产生的时间延误与有关费用由成交供应商承担,验收期限相应顺延； （3）项目验收时须具备下列条件：成交供应商提供的产品必须是原厂生产的，符合国家、行业和生产者的质量检测标准，未使用过的全新货物，并附有正规的质量保证书或合格证，同时须向采购方交付相关技术参数佐证资料； （4）成交供应商履约时违反本项第3条规定情形的，采购人有权拒收，不予支付合同价款，同时采购验收小组可向同级财政采购监管部门报告并认定为成交供应商虚假响应，对成交供应商按国家法律法规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一、质量要求： （1）供应商须提供全新的货物（含零部件、配件等），表面无划伤、无碰撞痕迹；且权属清楚，不得侵害他人的知识产权。 （2）货物必须符合或优于国家（行业）标准，以及本项目采购文件的质量要求和技术指标要求。 （3）货物制造质量出现问题，供应商应负责三包(包修、包换、包退)，费用由供应商负担。 （4）若投标产品涉及3C认证的，供应商交货时应当向采购人提供3C认证证书。 二、售后服务要求： （1）质保期为验收合格之日起1年，质保期满后成交供应商提供终身上门服务。提供7*24小时热线服务和现场支持服务，质保期内出现质量问题，成交供应商在接到通知后2小时内响应到场，6小时内完成维修或更换，并承担修理调换的费用；如同一货物经成交供应商2次维修（包括成交供应商未依约履行维修义务的情形）仍不能达到本合同约定的质量标准，视作成交供应商不具备履约能力采购人可以据此解除合同，并追究成交供应商的违约责任。 （2）供货商应负责设备交付的运输、安装调试、验收，以保证货物质量不致偏离技术规范和正常运行的要求，此项运输、安装调试、验收费用应包含在报价中。 （3）供应商需提供技术在线支持服务(qq咨询，电话咨询或其他形式)，直接面对使用者解决在使用过程中出现的突发技术问题。 （4）成交供应商须指派专人负责与采购人联系售后服务事宜，成交供应商变更此联系人员需提前5个工作日以书面形式通知采购人，否则视为未变更。若因设备升级更新等原因不能保障供应造成采购人损失的，成交供应商承担全部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一、违约责任 （1）采购人与成交供应商双方必须遵守本合同并执行合同中的各项规定，保证本合同的正常履行，任何一方违约给对方造成的直接损失均负有赔偿责任，对方均有权视情况要求对方继续履行合同或提出解除合同。 （2）如因成交供应商在履行过程中的疏忽、失职、过错等故意或者过失原因给采购人造成损失或侵害，包括但不限于采购人本身的财产损失、由此而导致的采购人对任何第三方的法律责任等，成交供应商对此均应承担全部的赔偿责任。 二、争议解决办法 （1）采购人与成交供应商双方就本协议所产生的任何争议都应该进行友好协商，协商解决不成的，任何一方均可向项目所在地有管辖权的人民法院提起诉讼。 （2）诉讼费应由败诉方承担。 （3）在诉讼期间，除正在进行诉讼的部分外，合同其他部分继续执行。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eastAsia="宋体"/>
          <w:lang w:eastAsia="zh-CN"/>
        </w:rPr>
      </w:pPr>
      <w:r>
        <w:rPr>
          <w:rFonts w:hint="eastAsia" w:ascii="宋体" w:hAnsi="宋体" w:eastAsia="宋体" w:cs="宋体"/>
          <w:i w:val="0"/>
          <w:iCs w:val="0"/>
          <w:caps w:val="0"/>
          <w:color w:val="0A82E5"/>
          <w:spacing w:val="0"/>
          <w:sz w:val="21"/>
          <w:szCs w:val="21"/>
          <w:bdr w:val="none" w:color="auto" w:sz="0" w:space="0"/>
          <w:shd w:val="clear" w:fill="FFFFFF"/>
        </w:rPr>
        <w:t>一、报价要求：本表报价是竞标人全部完成本项目所有的内容的综合最终报价，包括竞标人履约过程中的安装费、调试费、培训费、装车、卸车、运输费（含相关杂费）、人工、配件、材料、差旅、维护、税金、验收、资金利息、合理利润、后期服务（如有）及与供应商履约本项目所需要的其他所有费用。采购人在项目结算时不再向成交供应商支付其他任何费用。如出现在响应报价估算错误等引起的损失由竞标人自行承担。 二、在本谈判文件中没有提及的与本项目履约切实相关的事宜，在采购人与成交供应商订立合同时明细约定或后续补充约定（约定的内容须符合国家相关法律法规的规定）。 三、技术要求与标准中：1、技术参数描述如与特定品牌或型号相匹配，仅作为技术指标参考，不代表指特定产品，供应商可提供等同于或优于参数要求的产品。 2、本项目采购清单中的采购标的名称，因采购人不能穷尽详列或通俗认知等原因，可能供应商提供的投标产品所对应的证书、证明材料等对产品命名等存在一定差别，在满</w:t>
      </w:r>
      <w:bookmarkStart w:id="0" w:name="_GoBack"/>
      <w:bookmarkEnd w:id="0"/>
      <w:r>
        <w:rPr>
          <w:rFonts w:hint="eastAsia" w:ascii="宋体" w:hAnsi="宋体" w:eastAsia="宋体" w:cs="宋体"/>
          <w:i w:val="0"/>
          <w:iCs w:val="0"/>
          <w:caps w:val="0"/>
          <w:color w:val="0A82E5"/>
          <w:spacing w:val="0"/>
          <w:sz w:val="21"/>
          <w:szCs w:val="21"/>
          <w:bdr w:val="none" w:color="auto" w:sz="0" w:space="0"/>
          <w:shd w:val="clear" w:fill="FFFFFF"/>
        </w:rPr>
        <w:t>足本项目采购需求的前提下，本项目给予认可。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6084F90"/>
    <w:rsid w:val="06CE2105"/>
    <w:rsid w:val="07103544"/>
    <w:rsid w:val="08C0550B"/>
    <w:rsid w:val="09F510F6"/>
    <w:rsid w:val="0D305579"/>
    <w:rsid w:val="0F403A6D"/>
    <w:rsid w:val="0F701858"/>
    <w:rsid w:val="0FC7596C"/>
    <w:rsid w:val="152754B3"/>
    <w:rsid w:val="15C076B6"/>
    <w:rsid w:val="165322D8"/>
    <w:rsid w:val="19D762F5"/>
    <w:rsid w:val="1A037B71"/>
    <w:rsid w:val="1BAF48D6"/>
    <w:rsid w:val="1C81558D"/>
    <w:rsid w:val="1FB64F33"/>
    <w:rsid w:val="20D30844"/>
    <w:rsid w:val="21AE71AF"/>
    <w:rsid w:val="222C235B"/>
    <w:rsid w:val="23556456"/>
    <w:rsid w:val="24EC5B2F"/>
    <w:rsid w:val="26EB465F"/>
    <w:rsid w:val="2820779A"/>
    <w:rsid w:val="284E7A3E"/>
    <w:rsid w:val="29F006FD"/>
    <w:rsid w:val="2A477546"/>
    <w:rsid w:val="2CAB6572"/>
    <w:rsid w:val="2D4B09D2"/>
    <w:rsid w:val="2D7B4196"/>
    <w:rsid w:val="30767932"/>
    <w:rsid w:val="31BF643C"/>
    <w:rsid w:val="32705E8C"/>
    <w:rsid w:val="367F6FA4"/>
    <w:rsid w:val="3B2D0303"/>
    <w:rsid w:val="3DF20F3D"/>
    <w:rsid w:val="41A74FDC"/>
    <w:rsid w:val="4497145E"/>
    <w:rsid w:val="45623561"/>
    <w:rsid w:val="480A06B8"/>
    <w:rsid w:val="481B23A6"/>
    <w:rsid w:val="49D74A7F"/>
    <w:rsid w:val="4A401C92"/>
    <w:rsid w:val="4B3D0885"/>
    <w:rsid w:val="4BB51159"/>
    <w:rsid w:val="4D51336A"/>
    <w:rsid w:val="4DF552E0"/>
    <w:rsid w:val="4EEA2AD2"/>
    <w:rsid w:val="520B48B0"/>
    <w:rsid w:val="5EBA2274"/>
    <w:rsid w:val="63C96D02"/>
    <w:rsid w:val="65072A2E"/>
    <w:rsid w:val="699978A9"/>
    <w:rsid w:val="6A214A9D"/>
    <w:rsid w:val="6AFB3D03"/>
    <w:rsid w:val="6F653FFB"/>
    <w:rsid w:val="70951045"/>
    <w:rsid w:val="763841EA"/>
    <w:rsid w:val="76AC673B"/>
    <w:rsid w:val="79931C98"/>
    <w:rsid w:val="7A6E38A0"/>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2023-12-25T03:25:28Z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55C77DD4FC5F49EDB487A538356D918C_12</vt:lpwstr>
  </property>
</Properties>
</file>