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采购项目技术、服务、商务及其他要求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shd w:val="clear" w:fill="FFFFFF"/>
        </w:rPr>
        <w:t>（带“★”的参数需求为实质性要求，供应商必须响应并满足的参数需求，采购人、采购代理机构应当根据项目实际需求合理设定，并明确具体要求。）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3.1项目概况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五龙场村推进农产品加工，购买榨油机1套、15吨精米生产线1套、联合收割机1台，配套厂房、水电等基础设施建设，提升粮油加工能力。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3.2.1标的清单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采购包预算金额（元）: 500,000.00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采购包最高限价（元）: 500,000.00</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0"/>
        <w:gridCol w:w="1062"/>
        <w:gridCol w:w="827"/>
        <w:gridCol w:w="1470"/>
        <w:gridCol w:w="731"/>
        <w:gridCol w:w="735"/>
        <w:gridCol w:w="687"/>
        <w:gridCol w:w="735"/>
        <w:gridCol w:w="735"/>
        <w:gridCol w:w="8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2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标的名称</w:t>
            </w:r>
          </w:p>
        </w:tc>
        <w:tc>
          <w:tcPr>
            <w:tcW w:w="189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数量</w:t>
            </w:r>
          </w:p>
        </w:tc>
        <w:tc>
          <w:tcPr>
            <w:tcW w:w="303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标的金额 （元）</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计量单位</w:t>
            </w: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所属行业</w:t>
            </w:r>
          </w:p>
        </w:tc>
        <w:tc>
          <w:tcPr>
            <w:tcW w:w="13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是否涉及核心产品</w:t>
            </w: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是否涉及采购进口产品</w:t>
            </w: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是否涉及采购节能产品</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振动精选筛</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5,000.00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螺旋提升机/带料斗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4,500.00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电炒锅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19,000.00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接料斗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1,300.00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微电脑吸料机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7,500.00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榨油机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38,800.00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枯饼输送机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4,600.00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水化机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5,700.00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离心滤油机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7,900.00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接油输油设备</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2,300.00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油水分离机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8,600.00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风冷冷油机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2,300.00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组合碾米机带粉碎机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85,000.00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大米抛光机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35,000.00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电脑色选机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96,000.00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白米分级筛</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26,000.00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单联提升机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3.00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18,000.00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电控箱</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6,500.00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19</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履带式联合收割机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126,000.00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3.3技术参数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标的名称：振动精选筛</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679"/>
              <w:gridCol w:w="2445"/>
              <w:gridCol w:w="13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600" w:right="0" w:firstLine="0"/>
                    <w:jc w:val="left"/>
                    <w:rPr>
                      <w:rFonts w:hint="eastAsia" w:ascii="宋体" w:hAnsi="宋体" w:eastAsia="宋体" w:cs="宋体"/>
                    </w:rPr>
                  </w:pPr>
                  <w:r>
                    <w:rPr>
                      <w:rFonts w:hint="eastAsia" w:ascii="宋体" w:hAnsi="宋体" w:eastAsia="宋体" w:cs="宋体"/>
                      <w:sz w:val="24"/>
                      <w:szCs w:val="24"/>
                    </w:rPr>
                    <w:t>规格（mm）：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600" w:right="0" w:firstLine="0"/>
                    <w:jc w:val="left"/>
                    <w:rPr>
                      <w:rFonts w:hint="eastAsia" w:ascii="宋体" w:hAnsi="宋体" w:eastAsia="宋体" w:cs="宋体"/>
                    </w:rPr>
                  </w:pPr>
                  <w:r>
                    <w:rPr>
                      <w:rFonts w:hint="eastAsia" w:ascii="宋体" w:hAnsi="宋体" w:eastAsia="宋体" w:cs="宋体"/>
                      <w:sz w:val="24"/>
                      <w:szCs w:val="24"/>
                    </w:rPr>
                    <w:t>1、1100*600*1000（误差±10）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600" w:right="0" w:firstLine="0"/>
                    <w:jc w:val="both"/>
                    <w:rPr>
                      <w:rFonts w:hint="eastAsia" w:ascii="宋体" w:hAnsi="宋体" w:eastAsia="宋体" w:cs="宋体"/>
                    </w:rPr>
                  </w:pPr>
                  <w:r>
                    <w:rPr>
                      <w:rFonts w:hint="eastAsia" w:ascii="宋体" w:hAnsi="宋体" w:eastAsia="宋体" w:cs="宋体"/>
                      <w:sz w:val="24"/>
                      <w:szCs w:val="24"/>
                    </w:rPr>
                    <w:t>2、筛孔1.35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1.用于菜籽的除尘除渣，材质：Q235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2.防止硬物杂质进入损伤机器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3.除尘除渣后的原料榨出的油质颜色清亮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4.产量（每小时/斤）≥600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功率：380v/1.5kw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标的名称：螺旋提升机/带料斗</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788"/>
              <w:gridCol w:w="2228"/>
              <w:gridCol w:w="14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规格（mm）：850*680*1950（误差±10）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1.提生菜籽到炒锅，材质：Q235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2.产量（每小时/斤）≥800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功率：380v/1.5kw</w:t>
                  </w:r>
                </w:p>
              </w:tc>
            </w:tr>
          </w:tbl>
          <w:p>
            <w:pPr>
              <w:wordWrap w:val="0"/>
              <w:spacing w:before="0" w:beforeAutospacing="0" w:after="0" w:afterAutospacing="0" w:line="360" w:lineRule="atLeast"/>
              <w:ind w:left="0" w:right="0"/>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标的名称：电炒锅</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812"/>
              <w:gridCol w:w="3635"/>
              <w:gridCol w:w="10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规格（mm）：2080*1260*1580（误差±10）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1.用于烘炒菜籽，材质：Q235/201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2.机器采用滚筒卧式结构，滚筒加热均匀，采用电加热方式,并有保温功能、自动旋转、自动翻炒、自动出锅等功能。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3.产量（每小时/斤）≥500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功率：380v/27kw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标的名称：接料斗</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911"/>
              <w:gridCol w:w="2653"/>
              <w:gridCol w:w="9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规格（mm）：700*600*950（误差±10）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1.用于存放炒熟的菜籽，材质：Q235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2.产量（每小时/斤）≥800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功率：/</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标的名称：微电脑吸料机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31"/>
              <w:gridCol w:w="3263"/>
              <w:gridCol w:w="1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规格（mm）：500*460*800（误差±10）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1.吸熟菜籽到榨油机，材质：Q235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2.定时定量供应，无需人工倒料</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能根据榨油机的速度快慢准确连续不断输送菜籽（也适用花生、大豆）。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3.产量（每小时/斤）≥800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功率：380v/1.5kw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标的名称：榨油机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01"/>
              <w:gridCol w:w="4311"/>
              <w:gridCol w:w="8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规格（mm）：2160*730*1580（误差±10）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4"/>
                      <w:szCs w:val="24"/>
                    </w:rPr>
                    <w:t>1.用于菜籽的压榨（能榨多种原料，菜籽、花生、芝麻等），材质：Q235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4"/>
                      <w:szCs w:val="24"/>
                    </w:rPr>
                    <w:t>2.产量≥15000-18000斤/日；出油率高；用途广（一机多用，可生榨、中温榨，熟榨，并且可榨菜籽、花生、芝麻等30多种原料）；采用Q235合金钢材质（经久耐磨，单次配件可榨50-100万斤)；停电不卡机（停电后无需拆卸榨油机，来电后利用特殊装置开机榨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4"/>
                      <w:szCs w:val="24"/>
                    </w:rPr>
                    <w:t>3.不漏渣，不磨枯，不预热（不用电加热）。</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4"/>
                      <w:szCs w:val="24"/>
                    </w:rPr>
                    <w:t>4.自动控温(温度控制10-180℃，精度±10℃)，维修方便，操作简单。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4"/>
                      <w:szCs w:val="24"/>
                    </w:rPr>
                    <w:t>5.机器运用高转速原理，油料在榨膛内停留时间短</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4"/>
                      <w:szCs w:val="24"/>
                    </w:rPr>
                    <w:t>6.产量（每小时/斤）≥650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功率：380v/15kw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标的名称：枯饼输送机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37"/>
              <w:gridCol w:w="3409"/>
              <w:gridCol w:w="11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规格（mm）：2000*500*950（误差±10）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用于枯饼输送到枯饼堆放车间，以防在榨油机面前接装油枯被烫伤等安全隐患，材质：Q235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功率：380v/1.5kw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标的名称：水化机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524"/>
              <w:gridCol w:w="2469"/>
              <w:gridCol w:w="14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规格（mm）：500*600（误差±10）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1.用于加盐水搅拌冷却，材质：201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2.产量（每小时/斤）≥300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功率：380v/1.5kw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标的名称：离心滤油机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754"/>
              <w:gridCol w:w="2251"/>
              <w:gridCol w:w="14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规格（mm）：880*600*950（误差±10）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1.用于脱磷、脱渣，材质：Q235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2.产量（每小时/斤）≥350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功率：380v/1.5kw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标的名称：接油输油设备</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754"/>
              <w:gridCol w:w="2251"/>
              <w:gridCol w:w="14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规格（mm）：620*450*380（误差±10）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1.用于毛油的输送，材质：Q235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2.产量（每小时/斤）≥350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功率：380v/1.5kw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标的名称：油水分离机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44"/>
              <w:gridCol w:w="2725"/>
              <w:gridCol w:w="1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规格（mm）：1180*900*1400（误差±10）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1.用于油和水的分离，材质：Q235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2.油水分离后，油质更好，存油罐底部油渣不发臭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功率：380v/1.5kw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标的名称：风冷冷油机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362"/>
              <w:gridCol w:w="2749"/>
              <w:gridCol w:w="1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规格（mm）：500*550*920（误差±10）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材质：Q235/201，快速降温，方便装桶，节约时间</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功率：380v/0.75kw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标的名称：组合碾米机带粉碎机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11"/>
              <w:gridCol w:w="3770"/>
              <w:gridCol w:w="1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规格（mm）：3500*2500*3000（误差±10）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1.流水线操作简单安全；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2.配置去石除杂清理装置,去石率达99%以上；含6寸耐磨砻谷机和4层快速分离式谷糙分离筛；</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3.主机采用吸风负压式碾米工艺，出米率高，米色晶亮，碎米少，稻壳同步粉碎，米糠细腻柔和，配置玻璃沉降器终身耐磨免维修；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4.主体设备及各部分材质要求：Q235钢板+T200铸铁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4.重量：≥1350kg（含粉碎机)，配电动机碎米筛</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5.产量（每小时/斤）≥1600-2400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功率：380v/26kw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标的名称：大米抛光机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75"/>
              <w:gridCol w:w="3271"/>
              <w:gridCol w:w="11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规格（mm）：1150*980*1550（误差±10）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1.碎米率低，大米表面光亮如油，有效提高大米保质期，达到免淘米的标准；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2.抛光辊采用304号不锈钢合金材料精制，耐磨损；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3.重量：≥580kg（含电动机)。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4.产量（每小时/斤）≥1200-2000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功率：380v/15kw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标的名称：电脑色选机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01"/>
              <w:gridCol w:w="3549"/>
              <w:gridCol w:w="10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规格（mm）：1200*1515*1700（误差±10）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1.采用冷光源技术，利用IOS多功能运算方法，和搭载3维立体成像系统，保持色选精度效果始终如一；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2.能辨别剔除大米、黑米、糯米的色差同时可以识别多种颗粒物料的功能；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3.下料板材质：304不锈钢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4.机架和覆盖件材质：Q235钢板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5.重量：≥280kg。</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功率：380v/1kw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标的名称：白米分级筛</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311"/>
              <w:gridCol w:w="2985"/>
              <w:gridCol w:w="11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规格（mm）：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1、600*1000*1000（误差±10）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2、筛子规格：φ3.5，φ3.0，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φ2.8/2.6/2.4/2.2（根据稻谷的形状来选配）；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3、筛面尺寸：630x900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1.有效分离二碎和小碎米，提高成品米进入色选机的识别精度和降低含杂量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2.材质：Q235；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3.重量：≥400kg（含机架和分料箱)</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功率：380v/0.75kw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标的名称：单联提升机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00"/>
              <w:gridCol w:w="3039"/>
              <w:gridCol w:w="14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规格（mm）：450*150*3200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1.配置于组合碾米机、抛光机和白米分级筛处。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2.单台标高≥2.8m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2.重量：≥60kg</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功率：380v/2.5kw</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标的名称：电控箱</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80"/>
              <w:gridCol w:w="4463"/>
              <w:gridCol w:w="8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1.中央控制系统，本设备将全套电力系统单元集中控制，操作简便，对各分支系统实时监控及运行保障。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2.需密封防尘，并设置通风口。</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3.电缆线：电缆线覆盖全部设备本身开关以下的所有电动机。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标的名称：履带式联合收割机</w:t>
      </w:r>
    </w:p>
    <w:tbl>
      <w:tblPr>
        <w:tblStyle w:val="7"/>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7"/>
              <w:tblW w:w="0" w:type="auto"/>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56"/>
              <w:gridCol w:w="3168"/>
              <w:gridCol w:w="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规格（mm）：4950*2150*2590（误差±10）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1.适用作物：水稻、小麦、油菜、玉米籽粒、大豆、小米等。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2.喂入量：≥4.0kg/s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3.结构型式：履带自走全喂入式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4.配套发动机气缸缸数：4</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5.整机质量：≥2100kg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6.驾驶位置：塑钢顶棚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7.变速箱型式：液压无级变速器（HST）+机械变速箱</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8.最小离地间隙：≤320mm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9.收割部分：割副≥1675mm,割台升降方式：液压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rPr>
                    <w:t>10.脱粒部分：脱粒方式纵向轴流滚筒式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11.作业效率：≥1.8-10亩/小时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功率：/</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3.4商务要求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3.4.1交货时间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自合同签订之日起30日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3.4.2交货地点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宝五镇五龙场村。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3.4.3支付方式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分期付款</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3.4.4支付约定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 付款条件说明： 政府采购合同签订生效后 ，达到付款条件起 10 日内，支付合同总金额的 40.00%。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 付款条件说明： 货物交货及安装调试后 ，达到付款条件起 10 日内，支付合同总金额的 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 付款条件说明： 验收合格后 ，达到付款条件起 10 日内，支付合同总金额的 10.00%。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3.4.5验收标准和方法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1.供应商在设备安装并正常使用 1 个月后通知采购人，采购人在接到通知后 5 个工作日内组织履约验收，验收合格，双方签署《验收报告》； 2.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 3.验收时如发现所交付的货物有短装、次品、损坏或其它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但最长不得超过 7 个日历天，不得影响采购人正常工作的开展； 4.供应商应将所提供货物的装箱清单、配件、随机工具、用户使用手册、原厂保修卡等资料交付给采购人；供应商不能完整交付货物及本款规定的单证和工具的，必须负责补齐，否则视为未按合同约定交货； 5.如货物经供应商 3 次维修仍不能达到合同约定的质量标准，采购人有权退货，并视作供应商不能交付货物而须支付违约赔偿金给采购人，采购人还可依法追究供应商的违约责任； 6.项目验收结果合格的，供应商凭验收合格证明书办理相关手续；验收结果不合格且拒不整改的，将不予支付采购资金，还可能上报本项目同级财政部门按照政府采购法律法规等有关规定给予行政处罚或者以失信行为记入诚信档案； 7.其他未尽事宜应严格按照《财政部关于进一步加强政府采购需求和履约验收管理的指导意见》(财库〔2016〕205 号)的要求进行验收；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3.4.6包装方式及运输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3.4.7质量保修范围和保修期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质保期：一年(质保期为验收合格之日起开始计算)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3.4.8违约责任与解决争议的方法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1.因货物的质量问题发生争议，由质量技术监督部门或其指定的质量鉴定机构进行质量鉴定。货物符合标准的，鉴定费由甲方承担；货物不符合质量标准的，鉴定费由乙方承担。 2.合同履行期间,若双方发生争议，可协商或由有关部门调解解决，协商或调解不成的，由当事人依法维护其合法权益。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3.5其他要求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eastAsia="宋体"/>
          <w:lang w:eastAsia="zh-CN"/>
        </w:rPr>
      </w:pPr>
      <w:r>
        <w:rPr>
          <w:rFonts w:hint="eastAsia" w:ascii="宋体" w:hAnsi="宋体" w:eastAsia="宋体" w:cs="宋体"/>
          <w:i w:val="0"/>
          <w:iCs w:val="0"/>
          <w:caps w:val="0"/>
          <w:color w:val="0A82E5"/>
          <w:spacing w:val="0"/>
          <w:sz w:val="21"/>
          <w:szCs w:val="21"/>
          <w:shd w:val="clear" w:fill="FFFFFF"/>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mViYjViMjBmZDk4Y2ZhMTc5ODQ4YTdlMmYzNjAifQ=="/>
  </w:docVars>
  <w:rsids>
    <w:rsidRoot w:val="00000000"/>
    <w:rsid w:val="02EB5601"/>
    <w:rsid w:val="033853CB"/>
    <w:rsid w:val="03C86BDA"/>
    <w:rsid w:val="06084F90"/>
    <w:rsid w:val="06CE2105"/>
    <w:rsid w:val="07103544"/>
    <w:rsid w:val="071E27BA"/>
    <w:rsid w:val="08C0550B"/>
    <w:rsid w:val="094636D5"/>
    <w:rsid w:val="09BD0FF3"/>
    <w:rsid w:val="09F510F6"/>
    <w:rsid w:val="0B2D0C53"/>
    <w:rsid w:val="0D305579"/>
    <w:rsid w:val="0E0F2778"/>
    <w:rsid w:val="0F31373B"/>
    <w:rsid w:val="0F403A6D"/>
    <w:rsid w:val="0F701858"/>
    <w:rsid w:val="0FC7596C"/>
    <w:rsid w:val="11B83D8F"/>
    <w:rsid w:val="13CD0469"/>
    <w:rsid w:val="152754B3"/>
    <w:rsid w:val="152B041F"/>
    <w:rsid w:val="15C076B6"/>
    <w:rsid w:val="165322D8"/>
    <w:rsid w:val="174F2F0F"/>
    <w:rsid w:val="19D762F5"/>
    <w:rsid w:val="1A037B71"/>
    <w:rsid w:val="1A2960A7"/>
    <w:rsid w:val="1A9C330D"/>
    <w:rsid w:val="1BAF48D6"/>
    <w:rsid w:val="1C81558D"/>
    <w:rsid w:val="1FB64F33"/>
    <w:rsid w:val="20D30844"/>
    <w:rsid w:val="21AE71AF"/>
    <w:rsid w:val="222C235B"/>
    <w:rsid w:val="22440090"/>
    <w:rsid w:val="23010C1A"/>
    <w:rsid w:val="23556456"/>
    <w:rsid w:val="24EC5B2F"/>
    <w:rsid w:val="26EB465F"/>
    <w:rsid w:val="2820779A"/>
    <w:rsid w:val="284E7A3E"/>
    <w:rsid w:val="29474AEB"/>
    <w:rsid w:val="29F006FD"/>
    <w:rsid w:val="2A221870"/>
    <w:rsid w:val="2A477546"/>
    <w:rsid w:val="2CAB6572"/>
    <w:rsid w:val="2D4B09D2"/>
    <w:rsid w:val="2D7B4196"/>
    <w:rsid w:val="30767932"/>
    <w:rsid w:val="316F5349"/>
    <w:rsid w:val="31BF643C"/>
    <w:rsid w:val="32705E8C"/>
    <w:rsid w:val="32AC3F50"/>
    <w:rsid w:val="35C67F79"/>
    <w:rsid w:val="367F6FA4"/>
    <w:rsid w:val="3B2D0303"/>
    <w:rsid w:val="3DF20F3D"/>
    <w:rsid w:val="3DFE54D1"/>
    <w:rsid w:val="3EB5502E"/>
    <w:rsid w:val="40BA054B"/>
    <w:rsid w:val="41A74FDC"/>
    <w:rsid w:val="43D45F4C"/>
    <w:rsid w:val="445879E4"/>
    <w:rsid w:val="4497145E"/>
    <w:rsid w:val="45153C92"/>
    <w:rsid w:val="452D6758"/>
    <w:rsid w:val="45623561"/>
    <w:rsid w:val="4605329D"/>
    <w:rsid w:val="480A06B8"/>
    <w:rsid w:val="481B23A6"/>
    <w:rsid w:val="499470FE"/>
    <w:rsid w:val="49D74A7F"/>
    <w:rsid w:val="4A401C92"/>
    <w:rsid w:val="4B3D0885"/>
    <w:rsid w:val="4BB51159"/>
    <w:rsid w:val="4D51336A"/>
    <w:rsid w:val="4DC30187"/>
    <w:rsid w:val="4DF552E0"/>
    <w:rsid w:val="4E0205F3"/>
    <w:rsid w:val="4EA56E6D"/>
    <w:rsid w:val="4EEA2AD2"/>
    <w:rsid w:val="520B48B0"/>
    <w:rsid w:val="568535AA"/>
    <w:rsid w:val="56FA587C"/>
    <w:rsid w:val="58C15E6C"/>
    <w:rsid w:val="595D7451"/>
    <w:rsid w:val="5E6977ED"/>
    <w:rsid w:val="5EBA2274"/>
    <w:rsid w:val="60C5514D"/>
    <w:rsid w:val="63C96D02"/>
    <w:rsid w:val="65072A2E"/>
    <w:rsid w:val="66193FD3"/>
    <w:rsid w:val="6954441E"/>
    <w:rsid w:val="699978A9"/>
    <w:rsid w:val="6A214A9D"/>
    <w:rsid w:val="6A8144F5"/>
    <w:rsid w:val="6ABD62B8"/>
    <w:rsid w:val="6AFB3D03"/>
    <w:rsid w:val="6E797A32"/>
    <w:rsid w:val="6F284632"/>
    <w:rsid w:val="6F653FFB"/>
    <w:rsid w:val="70951045"/>
    <w:rsid w:val="71652287"/>
    <w:rsid w:val="73E247A4"/>
    <w:rsid w:val="763841EA"/>
    <w:rsid w:val="76AC673B"/>
    <w:rsid w:val="780E4365"/>
    <w:rsid w:val="78B928CA"/>
    <w:rsid w:val="79931C98"/>
    <w:rsid w:val="7A6E38A0"/>
    <w:rsid w:val="7DF4547D"/>
    <w:rsid w:val="7E48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paragraph" w:customStyle="1" w:styleId="10">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2023-11-03T06:26:00Z</dcterms:created>
  <dc:creator>Administrator</dc:creator>
  <cp:lastModifiedBy>Administrator</cp:lastModifiedBy>
  <dcterms:modified xsi:type="dcterms:W3CDTF">2024-03-29T09:06:50Z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55C77DD4FC5F49EDB487A538356D918C_12</vt:lpwstr>
  </property>
</Properties>
</file>