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baseline"/>
        <w:outlineLvl w:val="0"/>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采购需</w:t>
      </w:r>
      <w:bookmarkStart w:id="1" w:name="_GoBack"/>
      <w:bookmarkEnd w:id="1"/>
      <w:r>
        <w:rPr>
          <w:rFonts w:hint="eastAsia" w:ascii="仿宋" w:hAnsi="仿宋" w:eastAsia="仿宋" w:cs="仿宋"/>
          <w:b/>
          <w:bCs/>
          <w:color w:val="auto"/>
          <w:sz w:val="30"/>
          <w:szCs w:val="30"/>
        </w:rPr>
        <w:t>求</w:t>
      </w:r>
    </w:p>
    <w:p>
      <w:pPr>
        <w:spacing w:line="360" w:lineRule="auto"/>
        <w:outlineLvl w:val="1"/>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一、项目</w:t>
      </w:r>
      <w:r>
        <w:rPr>
          <w:rFonts w:hint="eastAsia" w:ascii="仿宋" w:hAnsi="仿宋" w:eastAsia="仿宋" w:cs="仿宋"/>
          <w:b/>
          <w:color w:val="auto"/>
          <w:sz w:val="24"/>
          <w:szCs w:val="24"/>
          <w:highlight w:val="none"/>
          <w:lang w:eastAsia="zh-CN"/>
        </w:rPr>
        <w:t>概述</w:t>
      </w:r>
    </w:p>
    <w:p>
      <w:pPr>
        <w:keepNext w:val="0"/>
        <w:keepLines w:val="0"/>
        <w:pageBreakBefore w:val="0"/>
        <w:widowControl/>
        <w:kinsoku/>
        <w:wordWrap/>
        <w:overflowPunct/>
        <w:topLinePunct w:val="0"/>
        <w:bidi w:val="0"/>
        <w:adjustRightInd w:val="0"/>
        <w:snapToGrid w:val="0"/>
        <w:spacing w:line="360" w:lineRule="auto"/>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1、项目名称：沐川县2024年食品安全抽检检测采购项目。</w:t>
      </w:r>
    </w:p>
    <w:p>
      <w:pPr>
        <w:keepNext w:val="0"/>
        <w:keepLines w:val="0"/>
        <w:pageBreakBefore w:val="0"/>
        <w:widowControl/>
        <w:kinsoku/>
        <w:wordWrap/>
        <w:overflowPunct/>
        <w:topLinePunct w:val="0"/>
        <w:bidi w:val="0"/>
        <w:adjustRightInd w:val="0"/>
        <w:snapToGrid w:val="0"/>
        <w:spacing w:line="360" w:lineRule="auto"/>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2、资金来源：财政资金。</w:t>
      </w:r>
    </w:p>
    <w:p>
      <w:pPr>
        <w:keepNext w:val="0"/>
        <w:keepLines w:val="0"/>
        <w:pageBreakBefore w:val="0"/>
        <w:widowControl/>
        <w:kinsoku/>
        <w:wordWrap/>
        <w:overflowPunct/>
        <w:topLinePunct w:val="0"/>
        <w:bidi w:val="0"/>
        <w:adjustRightInd w:val="0"/>
        <w:snapToGrid w:val="0"/>
        <w:spacing w:line="360" w:lineRule="auto"/>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3、采购预算及最高限价：34.50万元。</w:t>
      </w:r>
    </w:p>
    <w:p>
      <w:pPr>
        <w:keepNext w:val="0"/>
        <w:keepLines w:val="0"/>
        <w:pageBreakBefore w:val="0"/>
        <w:widowControl/>
        <w:kinsoku/>
        <w:wordWrap/>
        <w:overflowPunct/>
        <w:topLinePunct w:val="0"/>
        <w:bidi w:val="0"/>
        <w:adjustRightInd w:val="0"/>
        <w:snapToGrid w:val="0"/>
        <w:spacing w:line="360" w:lineRule="auto"/>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4、采购方式：竞争性磋商。</w:t>
      </w:r>
    </w:p>
    <w:p>
      <w:pPr>
        <w:keepNext w:val="0"/>
        <w:keepLines w:val="0"/>
        <w:pageBreakBefore w:val="0"/>
        <w:widowControl/>
        <w:kinsoku/>
        <w:wordWrap/>
        <w:overflowPunct/>
        <w:topLinePunct w:val="0"/>
        <w:bidi w:val="0"/>
        <w:adjustRightInd w:val="0"/>
        <w:snapToGrid w:val="0"/>
        <w:spacing w:line="360" w:lineRule="auto"/>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5、采购包数：共1包。</w:t>
      </w:r>
    </w:p>
    <w:p>
      <w:pPr>
        <w:spacing w:line="360" w:lineRule="auto"/>
        <w:outlineLvl w:val="1"/>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eastAsia="zh-CN" w:bidi="ar-SA"/>
        </w:rPr>
        <w:t>二、项目采购标的及其对应的中小企业划分标准所属行业</w:t>
      </w:r>
    </w:p>
    <w:tbl>
      <w:tblPr>
        <w:tblStyle w:val="4"/>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3501"/>
        <w:gridCol w:w="947"/>
        <w:gridCol w:w="981"/>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45" w:type="dxa"/>
            <w:noWrap w:val="0"/>
            <w:vAlign w:val="center"/>
          </w:tcPr>
          <w:p>
            <w:pPr>
              <w:tabs>
                <w:tab w:val="left" w:pos="7665"/>
              </w:tabs>
              <w:spacing w:line="360" w:lineRule="auto"/>
              <w:jc w:val="center"/>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序号</w:t>
            </w:r>
          </w:p>
        </w:tc>
        <w:tc>
          <w:tcPr>
            <w:tcW w:w="3501" w:type="dxa"/>
            <w:noWrap w:val="0"/>
            <w:vAlign w:val="center"/>
          </w:tcPr>
          <w:p>
            <w:pPr>
              <w:tabs>
                <w:tab w:val="left" w:pos="7665"/>
              </w:tabs>
              <w:spacing w:line="360" w:lineRule="auto"/>
              <w:jc w:val="center"/>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采购标的名称</w:t>
            </w:r>
          </w:p>
        </w:tc>
        <w:tc>
          <w:tcPr>
            <w:tcW w:w="947" w:type="dxa"/>
            <w:noWrap w:val="0"/>
            <w:vAlign w:val="center"/>
          </w:tcPr>
          <w:p>
            <w:pPr>
              <w:tabs>
                <w:tab w:val="left" w:pos="7665"/>
              </w:tabs>
              <w:spacing w:line="360" w:lineRule="auto"/>
              <w:jc w:val="center"/>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数量</w:t>
            </w:r>
          </w:p>
        </w:tc>
        <w:tc>
          <w:tcPr>
            <w:tcW w:w="981" w:type="dxa"/>
            <w:noWrap w:val="0"/>
            <w:vAlign w:val="center"/>
          </w:tcPr>
          <w:p>
            <w:pPr>
              <w:tabs>
                <w:tab w:val="left" w:pos="7665"/>
              </w:tabs>
              <w:spacing w:line="360" w:lineRule="auto"/>
              <w:jc w:val="center"/>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单位</w:t>
            </w:r>
          </w:p>
        </w:tc>
        <w:tc>
          <w:tcPr>
            <w:tcW w:w="2364" w:type="dxa"/>
            <w:noWrap w:val="0"/>
            <w:vAlign w:val="center"/>
          </w:tcPr>
          <w:p>
            <w:pPr>
              <w:tabs>
                <w:tab w:val="left" w:pos="7665"/>
              </w:tabs>
              <w:spacing w:line="360" w:lineRule="auto"/>
              <w:jc w:val="center"/>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745" w:type="dxa"/>
            <w:noWrap w:val="0"/>
            <w:vAlign w:val="center"/>
          </w:tcPr>
          <w:p>
            <w:pPr>
              <w:tabs>
                <w:tab w:val="left" w:pos="7665"/>
              </w:tabs>
              <w:spacing w:line="360" w:lineRule="auto"/>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p>
        </w:tc>
        <w:tc>
          <w:tcPr>
            <w:tcW w:w="3501" w:type="dxa"/>
            <w:noWrap w:val="0"/>
            <w:vAlign w:val="center"/>
          </w:tcPr>
          <w:p>
            <w:pPr>
              <w:tabs>
                <w:tab w:val="left" w:pos="7665"/>
              </w:tabs>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bCs/>
                <w:color w:val="auto"/>
                <w:sz w:val="24"/>
                <w:szCs w:val="24"/>
                <w:highlight w:val="none"/>
                <w:lang w:eastAsia="zh-CN"/>
              </w:rPr>
              <w:t>沐川县2024年食品安全抽检检测采购项目</w:t>
            </w:r>
          </w:p>
        </w:tc>
        <w:tc>
          <w:tcPr>
            <w:tcW w:w="947" w:type="dxa"/>
            <w:noWrap w:val="0"/>
            <w:vAlign w:val="center"/>
          </w:tcPr>
          <w:p>
            <w:pPr>
              <w:tabs>
                <w:tab w:val="left" w:pos="7665"/>
              </w:tabs>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981" w:type="dxa"/>
            <w:noWrap w:val="0"/>
            <w:vAlign w:val="center"/>
          </w:tcPr>
          <w:p>
            <w:pPr>
              <w:tabs>
                <w:tab w:val="left" w:pos="7665"/>
              </w:tabs>
              <w:spacing w:line="360" w:lineRule="auto"/>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项</w:t>
            </w:r>
          </w:p>
        </w:tc>
        <w:tc>
          <w:tcPr>
            <w:tcW w:w="2364" w:type="dxa"/>
            <w:noWrap w:val="0"/>
            <w:vAlign w:val="center"/>
          </w:tcPr>
          <w:p>
            <w:pPr>
              <w:tabs>
                <w:tab w:val="left" w:pos="7665"/>
              </w:tabs>
              <w:spacing w:line="360" w:lineRule="auto"/>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其他未列明行业</w:t>
            </w:r>
          </w:p>
        </w:tc>
      </w:tr>
    </w:tbl>
    <w:p>
      <w:pPr>
        <w:spacing w:line="360" w:lineRule="auto"/>
        <w:outlineLvl w:val="1"/>
        <w:rPr>
          <w:rStyle w:val="7"/>
          <w:rFonts w:hint="eastAsia" w:ascii="仿宋" w:hAnsi="仿宋" w:eastAsia="仿宋" w:cs="仿宋"/>
          <w:b/>
          <w:color w:val="auto"/>
          <w:sz w:val="24"/>
          <w:szCs w:val="24"/>
          <w:highlight w:val="none"/>
          <w:lang w:eastAsia="zh-CN"/>
        </w:rPr>
      </w:pPr>
      <w:r>
        <w:rPr>
          <w:rFonts w:hint="eastAsia" w:ascii="仿宋" w:hAnsi="仿宋" w:eastAsia="仿宋" w:cs="仿宋"/>
          <w:b/>
          <w:color w:val="auto"/>
          <w:kern w:val="2"/>
          <w:sz w:val="24"/>
          <w:szCs w:val="24"/>
          <w:highlight w:val="none"/>
          <w:lang w:val="en-US" w:eastAsia="zh-CN" w:bidi="ar-SA"/>
        </w:rPr>
        <w:t>★三、项目服务内容及要求</w:t>
      </w:r>
    </w:p>
    <w:p>
      <w:pPr>
        <w:spacing w:line="360" w:lineRule="auto"/>
        <w:ind w:firstLine="482" w:firstLineChars="200"/>
        <w:outlineLvl w:val="2"/>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（一）服务内容</w:t>
      </w:r>
    </w:p>
    <w:p>
      <w:pPr>
        <w:widowControl/>
        <w:spacing w:line="360" w:lineRule="auto"/>
        <w:ind w:firstLine="480" w:firstLineChars="200"/>
        <w:rPr>
          <w:rFonts w:hint="eastAsia" w:ascii="仿宋" w:hAnsi="仿宋" w:eastAsia="仿宋" w:cs="仿宋"/>
          <w:bCs/>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bCs/>
          <w:color w:val="auto"/>
          <w:sz w:val="24"/>
          <w:szCs w:val="24"/>
          <w:highlight w:val="none"/>
          <w:lang w:eastAsia="zh-CN"/>
        </w:rPr>
        <w:t>沐川县2024年食品安全抽检检测采购项目</w:t>
      </w:r>
      <w:r>
        <w:rPr>
          <w:rStyle w:val="7"/>
          <w:rFonts w:hint="eastAsia" w:ascii="仿宋" w:hAnsi="仿宋" w:eastAsia="仿宋" w:cs="仿宋"/>
          <w:sz w:val="24"/>
          <w:szCs w:val="24"/>
          <w:highlight w:val="none"/>
        </w:rPr>
        <w:t>抽检430批</w:t>
      </w:r>
      <w:r>
        <w:rPr>
          <w:rFonts w:hint="eastAsia" w:ascii="仿宋" w:hAnsi="仿宋" w:eastAsia="仿宋" w:cs="仿宋"/>
          <w:sz w:val="24"/>
          <w:szCs w:val="24"/>
          <w:highlight w:val="none"/>
        </w:rPr>
        <w:t>次</w:t>
      </w:r>
      <w:r>
        <w:rPr>
          <w:rFonts w:hint="eastAsia" w:ascii="仿宋" w:hAnsi="仿宋" w:eastAsia="仿宋" w:cs="仿宋"/>
          <w:color w:val="000000"/>
          <w:sz w:val="24"/>
          <w:szCs w:val="24"/>
          <w:highlight w:val="none"/>
        </w:rPr>
        <w:t>，其中食</w:t>
      </w:r>
      <w:r>
        <w:rPr>
          <w:rFonts w:hint="eastAsia" w:ascii="仿宋" w:hAnsi="仿宋" w:eastAsia="仿宋" w:cs="仿宋"/>
          <w:sz w:val="24"/>
          <w:szCs w:val="24"/>
          <w:highlight w:val="none"/>
        </w:rPr>
        <w:t>用农产品</w:t>
      </w:r>
      <w:r>
        <w:rPr>
          <w:rStyle w:val="7"/>
          <w:rFonts w:hint="eastAsia" w:ascii="仿宋" w:hAnsi="仿宋" w:eastAsia="仿宋" w:cs="仿宋"/>
          <w:sz w:val="24"/>
          <w:szCs w:val="24"/>
          <w:highlight w:val="none"/>
        </w:rPr>
        <w:t>抽检任务 275批次（附表1），常规食品抽检任务155批次（含“你点我检专项”15 批次）（附表2）。</w:t>
      </w:r>
    </w:p>
    <w:p>
      <w:pPr>
        <w:widowControl/>
        <w:spacing w:line="360" w:lineRule="auto"/>
        <w:ind w:firstLine="480" w:firstLineChars="200"/>
        <w:rPr>
          <w:rStyle w:val="7"/>
          <w:rFonts w:hint="eastAsia" w:ascii="仿宋" w:hAnsi="仿宋" w:eastAsia="仿宋" w:cs="仿宋"/>
          <w:sz w:val="24"/>
          <w:szCs w:val="24"/>
          <w:highlight w:val="none"/>
        </w:rPr>
      </w:pPr>
      <w:r>
        <w:rPr>
          <w:rStyle w:val="7"/>
          <w:rFonts w:hint="eastAsia" w:ascii="仿宋" w:hAnsi="仿宋" w:eastAsia="仿宋" w:cs="仿宋"/>
          <w:sz w:val="24"/>
          <w:szCs w:val="24"/>
          <w:highlight w:val="none"/>
          <w:lang w:val="en-US"/>
        </w:rPr>
        <w:t>2、</w:t>
      </w:r>
      <w:r>
        <w:rPr>
          <w:rStyle w:val="7"/>
          <w:rFonts w:hint="eastAsia" w:ascii="仿宋" w:hAnsi="仿宋" w:eastAsia="仿宋" w:cs="仿宋"/>
          <w:sz w:val="24"/>
          <w:szCs w:val="24"/>
          <w:highlight w:val="none"/>
        </w:rPr>
        <w:t>把坚持问题导向、准确排查发现问题作为衡量抽检绩效的重要目标，聚焦“一老一小”等重点人群，聚焦农村、校园等重点地区，聚焦新业态、新产品、新主体、新供应模式的食品安全风险，重点关注农兽药残留、微生物污染、重金属残留、抗生素、生物毒素、有机污染物、非法添加物质等问题食品进行抽检。组织食用农产品监督抽检，应配合做好食用农产品抽样前的监管和执法检查等工作。</w:t>
      </w:r>
    </w:p>
    <w:p>
      <w:pPr>
        <w:widowControl/>
        <w:spacing w:line="360" w:lineRule="auto"/>
        <w:ind w:firstLine="480" w:firstLineChars="200"/>
        <w:rPr>
          <w:rStyle w:val="7"/>
          <w:rFonts w:hint="eastAsia" w:ascii="仿宋" w:hAnsi="仿宋" w:eastAsia="仿宋" w:cs="仿宋"/>
          <w:sz w:val="24"/>
          <w:szCs w:val="24"/>
          <w:highlight w:val="none"/>
        </w:rPr>
      </w:pPr>
      <w:r>
        <w:rPr>
          <w:rStyle w:val="7"/>
          <w:rFonts w:hint="eastAsia" w:ascii="仿宋" w:hAnsi="仿宋" w:eastAsia="仿宋" w:cs="仿宋"/>
          <w:sz w:val="24"/>
          <w:szCs w:val="24"/>
          <w:highlight w:val="none"/>
          <w:lang w:val="en-US"/>
        </w:rPr>
        <w:t>3、</w:t>
      </w:r>
      <w:r>
        <w:rPr>
          <w:rStyle w:val="7"/>
          <w:rFonts w:hint="eastAsia" w:ascii="仿宋" w:hAnsi="仿宋" w:eastAsia="仿宋" w:cs="仿宋"/>
          <w:sz w:val="24"/>
          <w:szCs w:val="24"/>
          <w:highlight w:val="none"/>
        </w:rPr>
        <w:t>针对城乡结合部、农村地区的农贸市场、商场、超市、便利店、小食杂店等重点区域，突出校园周边，小餐饮、小作坊、小摊贩食品进行抽检。</w:t>
      </w:r>
    </w:p>
    <w:p>
      <w:pPr>
        <w:widowControl/>
        <w:spacing w:line="360" w:lineRule="auto"/>
        <w:ind w:firstLine="480" w:firstLineChars="200"/>
        <w:rPr>
          <w:rStyle w:val="7"/>
          <w:rFonts w:hint="eastAsia" w:ascii="仿宋" w:hAnsi="仿宋" w:eastAsia="仿宋" w:cs="仿宋"/>
          <w:sz w:val="24"/>
          <w:szCs w:val="24"/>
          <w:highlight w:val="none"/>
          <w:lang w:val="en-US" w:eastAsia="zh-CN"/>
        </w:rPr>
      </w:pPr>
      <w:r>
        <w:rPr>
          <w:rStyle w:val="7"/>
          <w:rFonts w:hint="eastAsia" w:ascii="仿宋" w:hAnsi="仿宋" w:eastAsia="仿宋" w:cs="仿宋"/>
          <w:sz w:val="24"/>
          <w:szCs w:val="24"/>
          <w:highlight w:val="none"/>
          <w:lang w:val="en-US"/>
        </w:rPr>
        <w:t>4、</w:t>
      </w:r>
      <w:r>
        <w:rPr>
          <w:rStyle w:val="7"/>
          <w:rFonts w:hint="eastAsia" w:ascii="仿宋" w:hAnsi="仿宋" w:eastAsia="仿宋" w:cs="仿宋"/>
          <w:sz w:val="24"/>
          <w:szCs w:val="24"/>
          <w:highlight w:val="none"/>
        </w:rPr>
        <w:t>全年均衡开展。应根据当地实际确定抽样频次和批次开展抽检，从时间、区域、品种上推进均衡抽检；对食用农产品应每月抽检</w:t>
      </w:r>
      <w:r>
        <w:rPr>
          <w:rStyle w:val="7"/>
          <w:rFonts w:hint="eastAsia" w:ascii="仿宋" w:hAnsi="仿宋" w:eastAsia="仿宋" w:cs="仿宋"/>
          <w:sz w:val="24"/>
          <w:szCs w:val="24"/>
          <w:highlight w:val="none"/>
          <w:lang w:val="en-US" w:eastAsia="zh-CN"/>
        </w:rPr>
        <w:t>。</w:t>
      </w:r>
    </w:p>
    <w:p>
      <w:pPr>
        <w:pStyle w:val="8"/>
        <w:widowControl w:val="0"/>
        <w:numPr>
          <w:ilvl w:val="0"/>
          <w:numId w:val="0"/>
        </w:numPr>
        <w:spacing w:line="360" w:lineRule="auto"/>
        <w:ind w:firstLine="482" w:firstLineChars="200"/>
        <w:jc w:val="both"/>
        <w:outlineLvl w:val="2"/>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lang w:val="en-US" w:eastAsia="zh-CN" w:bidi="ar-SA"/>
        </w:rPr>
        <w:t>（二）服务要求</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承检机构在执行抽样任务时需严格按照《中华人民共和国食品安全法》《中华人民共和国食品安全法实施条例》《食品安全抽样检验管理办法》（总局令第15号）有关规定，以及《2023年四川省食品安全监督抽检实施细则》要求等相关规定执行。抽样过程中发现企业停产的要做好记录报告。任务全部通过“国家食品安全抽样检验信息系统”实时录入抽样检验信息，使用移动终端抽样和出具电子检验报告，抽样编号自动生成。食品抽检备份样品处置工作按照《食品安全抽样检验备份样品处置工作规程》执行。</w:t>
      </w:r>
    </w:p>
    <w:p>
      <w:pPr>
        <w:keepNext w:val="0"/>
        <w:keepLines w:val="0"/>
        <w:widowControl/>
        <w:suppressLineNumbers w:val="0"/>
        <w:spacing w:line="360" w:lineRule="auto"/>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抽检任务数据全部报送至“国抽信息系统”，全面在线进行计划制定、任务部署、基础表编辑、抽样检验数据录入、核查处置领取办理审核及公示信息上传等工作，全面遵守系统各环节数据填报时限要求。数据上报人员应经过统一培训，确保数据报送的准确性、规范性和安全性。对抽检中发现的可能对身体健康和生命安全造成严重危害的不合格样品，承检机构应当在确认检验结果后24 小时之内报告组织实施的市场监管部门，并抄报上一级市场监管部门。</w:t>
      </w:r>
    </w:p>
    <w:p>
      <w:pPr>
        <w:pStyle w:val="8"/>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3、承检机构应承诺拥有运行良好的实验室管理体系，拥有安全有效的实验室信息化管理系统和信息分析汇总人员，能够完成食品安全抽检监测数据上报和结果分析工作。</w:t>
      </w:r>
    </w:p>
    <w:p>
      <w:pPr>
        <w:pStyle w:val="8"/>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4、每个样品均要由承检机构、检验部门专人统一编号、登记、封存。样品采集后，承检机构应按要求及时将样品由专人送达，并具备满足速冻及冷饮类储运条件的设备。</w:t>
      </w:r>
    </w:p>
    <w:p>
      <w:pPr>
        <w:pStyle w:val="8"/>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5、采集的样品在贮存、运输等过程中，承检机构应采取适当保护措施，避免包装破损及样品之间的交叉污染。每个样品均要制备检测样和复检样。</w:t>
      </w:r>
    </w:p>
    <w:p>
      <w:pPr>
        <w:pStyle w:val="8"/>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6、承检机构必须按要求按时完成检测任务，对检测结果进行汇总分析；样品送检后20个工作日内出具检测报告。相关检测数据及信息承检机构不得对外发布或另做他用。</w:t>
      </w:r>
    </w:p>
    <w:p>
      <w:pPr>
        <w:pStyle w:val="8"/>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7、由于抽检工作的特殊性，承检机构应当能够密切配合监管部门的抽检工作，按要求合理安排采样时间，按照规定时限完成检验检测任务。</w:t>
      </w:r>
    </w:p>
    <w:p>
      <w:pPr>
        <w:pStyle w:val="8"/>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8、承检机构将协助编制抽检监测计划，按照采购人要求，提供检测项目、检测标准/参数、判定依据/参数等服务。在“计划”执行完毕，协助撰写食品安全风险监测分析报告书，详细对该地区抽检监测数据进行总结、分析，并将报告书交予当地市场监督管理局，为市场监督管理部门下一步食品安全风险控制方面提供科学、合理的建议方案。为采购人随时提供食品检测咨询服务。</w:t>
      </w:r>
    </w:p>
    <w:p>
      <w:pPr>
        <w:pStyle w:val="8"/>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9、运输储藏需满足样品的有效期，对特殊的样品要有相应的运输储藏措施。</w:t>
      </w:r>
    </w:p>
    <w:p>
      <w:pPr>
        <w:pStyle w:val="8"/>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10、承检单位主动向采购人提供进度报告、发布进度信息，承检机构不得故意隐瞒、修改检测结果。</w:t>
      </w:r>
    </w:p>
    <w:p>
      <w:pPr>
        <w:pStyle w:val="8"/>
        <w:widowControl w:val="0"/>
        <w:numPr>
          <w:ilvl w:val="0"/>
          <w:numId w:val="0"/>
        </w:numPr>
        <w:spacing w:line="360" w:lineRule="auto"/>
        <w:ind w:firstLine="480" w:firstLineChars="200"/>
        <w:jc w:val="both"/>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11、对抽检过程中发现存在严重事故隐患和重大安全风险的，承检单位应及时向监管机构进行通报。</w:t>
      </w:r>
    </w:p>
    <w:p>
      <w:pPr>
        <w:pStyle w:val="8"/>
        <w:widowControl w:val="0"/>
        <w:numPr>
          <w:ilvl w:val="0"/>
          <w:numId w:val="0"/>
        </w:numPr>
        <w:spacing w:line="360" w:lineRule="auto"/>
        <w:ind w:firstLine="480" w:firstLineChars="200"/>
        <w:jc w:val="both"/>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12、承检单位自觉接受社会各界监督，协助采购方对相关举报投诉进行调查处理</w:t>
      </w:r>
      <w:r>
        <w:rPr>
          <w:rFonts w:hint="eastAsia" w:ascii="仿宋" w:hAnsi="仿宋" w:eastAsia="仿宋" w:cs="仿宋"/>
          <w:b w:val="0"/>
          <w:bCs/>
          <w:color w:val="auto"/>
          <w:kern w:val="2"/>
          <w:sz w:val="24"/>
          <w:szCs w:val="24"/>
          <w:highlight w:val="none"/>
          <w:lang w:val="en-US" w:eastAsia="zh-CN" w:bidi="ar-SA"/>
        </w:rPr>
        <w:t>。</w:t>
      </w:r>
    </w:p>
    <w:p>
      <w:pPr>
        <w:pStyle w:val="8"/>
        <w:widowControl w:val="0"/>
        <w:numPr>
          <w:ilvl w:val="0"/>
          <w:numId w:val="0"/>
        </w:numPr>
        <w:spacing w:line="360" w:lineRule="auto"/>
        <w:jc w:val="both"/>
        <w:outlineLvl w:val="1"/>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eastAsia="zh-CN" w:bidi="ar-SA"/>
        </w:rPr>
        <w:t>★四、采购合同条款要求</w:t>
      </w:r>
    </w:p>
    <w:p>
      <w:pPr>
        <w:spacing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（一）服务期限：</w:t>
      </w:r>
      <w:r>
        <w:rPr>
          <w:rFonts w:hint="eastAsia" w:ascii="仿宋" w:hAnsi="仿宋" w:eastAsia="仿宋" w:cs="仿宋"/>
          <w:color w:val="auto"/>
          <w:sz w:val="24"/>
          <w:szCs w:val="24"/>
          <w:highlight w:val="none"/>
        </w:rPr>
        <w:t>抽</w:t>
      </w:r>
      <w:r>
        <w:rPr>
          <w:rFonts w:hint="eastAsia" w:ascii="仿宋" w:hAnsi="仿宋" w:eastAsia="仿宋" w:cs="仿宋"/>
          <w:color w:val="auto"/>
          <w:sz w:val="24"/>
          <w:szCs w:val="24"/>
          <w:highlight w:val="none"/>
          <w:lang w:val="en-US" w:eastAsia="zh-CN" w:bidi="ar-SA"/>
        </w:rPr>
        <w:t>检机构负责于2024年11月30日前完成年度抽检任务，并汇总报送年度工作总结</w:t>
      </w:r>
      <w:r>
        <w:rPr>
          <w:rFonts w:hint="eastAsia" w:ascii="仿宋" w:hAnsi="仿宋" w:eastAsia="仿宋" w:cs="仿宋"/>
          <w:b w:val="0"/>
          <w:bCs w:val="0"/>
          <w:color w:val="auto"/>
          <w:kern w:val="2"/>
          <w:sz w:val="24"/>
          <w:szCs w:val="24"/>
          <w:highlight w:val="none"/>
          <w:lang w:val="en-US" w:eastAsia="zh-CN" w:bidi="ar-SA"/>
        </w:rPr>
        <w:t>。</w:t>
      </w:r>
    </w:p>
    <w:p>
      <w:pPr>
        <w:spacing w:line="360" w:lineRule="auto"/>
        <w:ind w:firstLine="482"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（二）服务地点：</w:t>
      </w:r>
      <w:r>
        <w:rPr>
          <w:rFonts w:hint="eastAsia" w:ascii="仿宋" w:hAnsi="仿宋" w:eastAsia="仿宋" w:cs="仿宋"/>
          <w:b w:val="0"/>
          <w:bCs w:val="0"/>
          <w:color w:val="auto"/>
          <w:kern w:val="2"/>
          <w:sz w:val="24"/>
          <w:szCs w:val="24"/>
          <w:highlight w:val="none"/>
          <w:lang w:val="en-US" w:eastAsia="zh-CN" w:bidi="ar-SA"/>
        </w:rPr>
        <w:t>乐山市沐川县。</w:t>
      </w:r>
    </w:p>
    <w:p>
      <w:pPr>
        <w:spacing w:line="360" w:lineRule="auto"/>
        <w:ind w:firstLine="482" w:firstLineChars="20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（三）报价要求：</w:t>
      </w:r>
      <w:r>
        <w:rPr>
          <w:rFonts w:hint="eastAsia" w:ascii="仿宋" w:hAnsi="仿宋" w:eastAsia="仿宋" w:cs="仿宋"/>
          <w:b w:val="0"/>
          <w:bCs w:val="0"/>
          <w:color w:val="auto"/>
          <w:kern w:val="2"/>
          <w:sz w:val="24"/>
          <w:szCs w:val="24"/>
          <w:highlight w:val="none"/>
          <w:lang w:val="en-US" w:eastAsia="zh-CN" w:bidi="ar-SA"/>
        </w:rPr>
        <w:t>报价是供应商响应本项目要求的全部工作内容的价格体现，包含完成本项目所涉及人员劳务、差旅、设备投入、</w:t>
      </w:r>
      <w:r>
        <w:rPr>
          <w:rFonts w:hint="eastAsia" w:ascii="仿宋" w:hAnsi="仿宋" w:eastAsia="仿宋" w:cs="仿宋"/>
          <w:color w:val="auto"/>
          <w:sz w:val="24"/>
          <w:szCs w:val="24"/>
          <w:highlight w:val="none"/>
        </w:rPr>
        <w:t>购样费、检验费</w:t>
      </w:r>
      <w:r>
        <w:rPr>
          <w:rFonts w:hint="eastAsia" w:ascii="仿宋" w:hAnsi="仿宋" w:eastAsia="仿宋" w:cs="仿宋"/>
          <w:b w:val="0"/>
          <w:bCs w:val="0"/>
          <w:color w:val="auto"/>
          <w:kern w:val="2"/>
          <w:sz w:val="24"/>
          <w:szCs w:val="24"/>
          <w:highlight w:val="none"/>
          <w:lang w:val="en-US" w:eastAsia="zh-CN" w:bidi="ar-SA"/>
        </w:rPr>
        <w:t>、保险、风险、税金、利润以及本项目规定的一切费用，采购人将不再支付其他额外费用。</w:t>
      </w:r>
    </w:p>
    <w:p>
      <w:pPr>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kern w:val="2"/>
          <w:sz w:val="24"/>
          <w:szCs w:val="24"/>
          <w:highlight w:val="none"/>
          <w:lang w:val="en-US" w:eastAsia="zh-CN" w:bidi="ar-SA"/>
        </w:rPr>
        <w:t>（四）付款方式及要求：</w:t>
      </w:r>
      <w:r>
        <w:rPr>
          <w:rFonts w:hint="eastAsia" w:ascii="仿宋" w:hAnsi="仿宋" w:eastAsia="仿宋" w:cs="仿宋"/>
          <w:kern w:val="2"/>
          <w:sz w:val="24"/>
          <w:szCs w:val="24"/>
          <w:highlight w:val="none"/>
          <w:u w:val="none"/>
        </w:rPr>
        <w:t>项目完成并经采购人验收合格，成交供应商出具合法有效完整的发票凭证</w:t>
      </w:r>
      <w:r>
        <w:rPr>
          <w:rFonts w:hint="eastAsia" w:ascii="仿宋" w:hAnsi="仿宋" w:eastAsia="仿宋" w:cs="仿宋"/>
          <w:kern w:val="2"/>
          <w:sz w:val="24"/>
          <w:szCs w:val="24"/>
          <w:highlight w:val="none"/>
          <w:u w:val="none"/>
          <w:lang w:eastAsia="zh-CN"/>
        </w:rPr>
        <w:t>后</w:t>
      </w:r>
      <w:r>
        <w:rPr>
          <w:rFonts w:hint="eastAsia" w:ascii="仿宋" w:hAnsi="仿宋" w:eastAsia="仿宋" w:cs="仿宋"/>
          <w:color w:val="auto"/>
          <w:kern w:val="2"/>
          <w:sz w:val="24"/>
          <w:szCs w:val="24"/>
          <w:highlight w:val="none"/>
          <w:lang w:val="en-US" w:eastAsia="zh-CN" w:bidi="ar-SA"/>
        </w:rPr>
        <w:t xml:space="preserve">，达到付款条件起10日内，支付合同总金额的100% </w:t>
      </w:r>
      <w:r>
        <w:rPr>
          <w:rFonts w:hint="eastAsia" w:ascii="仿宋" w:hAnsi="仿宋" w:eastAsia="仿宋" w:cs="仿宋"/>
          <w:color w:val="auto"/>
          <w:kern w:val="2"/>
          <w:sz w:val="24"/>
          <w:szCs w:val="24"/>
          <w:highlight w:val="none"/>
          <w:u w:val="none"/>
        </w:rPr>
        <w:t>。</w:t>
      </w:r>
    </w:p>
    <w:p>
      <w:pPr>
        <w:bidi w:val="0"/>
        <w:spacing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（五）知识产权：</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采购人享有本项目实施过程中产生的知识成果及知识产权的永久使用权。</w:t>
      </w:r>
    </w:p>
    <w:p>
      <w:pPr>
        <w:bidi w:val="0"/>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如采用供应商所不拥有的知识产权，则在投标报价中必须包括合法获取该知识产权的相关费用。</w:t>
      </w:r>
      <w:r>
        <w:rPr>
          <w:rFonts w:hint="eastAsia" w:ascii="仿宋" w:hAnsi="仿宋" w:eastAsia="仿宋" w:cs="仿宋"/>
          <w:color w:val="auto"/>
          <w:kern w:val="2"/>
          <w:sz w:val="24"/>
          <w:szCs w:val="24"/>
          <w:highlight w:val="none"/>
          <w:lang w:val="en-US" w:eastAsia="zh-CN" w:bidi="ar-SA"/>
        </w:rPr>
        <w:t xml:space="preserve"> </w:t>
      </w:r>
    </w:p>
    <w:p>
      <w:pPr>
        <w:spacing w:line="360" w:lineRule="auto"/>
        <w:ind w:firstLine="482" w:firstLineChars="200"/>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（六）验收方法与标准：</w:t>
      </w:r>
    </w:p>
    <w:p>
      <w:pPr>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1、验收标准：符合达到现行国家、行业标准，符合相关法律法规要求；符合本项目的采购文件的要求；符合供应商响应文件的要求。</w:t>
      </w:r>
    </w:p>
    <w:p>
      <w:pPr>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2、验收方法：按国家有关规定以及采购文件的质量要求和技术指标、供应商的响应文件及承诺与本合同约定标准进行验收。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3、其他未尽事宜将按照《财政部关于进一步加强政府采购需求和履约验收管理的指导意见》(财库〔2016〕205号)和主管部门的相关要求验收。</w:t>
      </w:r>
    </w:p>
    <w:p>
      <w:pPr>
        <w:pStyle w:val="3"/>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pStyle w:val="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以上标注有“★”的为本项目的实质性要求，不允许有负偏离，否则作无效</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处理。</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本章的要求不能作为资格性条件要求评</w:t>
      </w:r>
      <w:r>
        <w:rPr>
          <w:rFonts w:hint="eastAsia" w:ascii="仿宋" w:hAnsi="仿宋" w:eastAsia="仿宋" w:cs="仿宋"/>
          <w:color w:val="auto"/>
          <w:sz w:val="24"/>
          <w:szCs w:val="24"/>
          <w:highlight w:val="none"/>
          <w:lang w:eastAsia="zh-CN"/>
        </w:rPr>
        <w:t>审</w:t>
      </w:r>
      <w:r>
        <w:rPr>
          <w:rFonts w:hint="eastAsia" w:ascii="仿宋" w:hAnsi="仿宋" w:eastAsia="仿宋" w:cs="仿宋"/>
          <w:color w:val="auto"/>
          <w:sz w:val="24"/>
          <w:szCs w:val="24"/>
          <w:highlight w:val="none"/>
        </w:rPr>
        <w:t>，如存在资格性条件要求，应当认定</w:t>
      </w:r>
      <w:r>
        <w:rPr>
          <w:rFonts w:hint="eastAsia" w:ascii="仿宋" w:hAnsi="仿宋" w:eastAsia="仿宋" w:cs="仿宋"/>
          <w:color w:val="auto"/>
          <w:sz w:val="24"/>
          <w:szCs w:val="24"/>
          <w:highlight w:val="none"/>
          <w:lang w:eastAsia="zh-CN"/>
        </w:rPr>
        <w:t>采购</w:t>
      </w:r>
      <w:r>
        <w:rPr>
          <w:rFonts w:hint="eastAsia" w:ascii="仿宋" w:hAnsi="仿宋" w:eastAsia="仿宋" w:cs="仿宋"/>
          <w:color w:val="auto"/>
          <w:sz w:val="24"/>
          <w:szCs w:val="24"/>
          <w:highlight w:val="none"/>
        </w:rPr>
        <w:t>文件编制存在重大缺陷，</w:t>
      </w:r>
      <w:r>
        <w:rPr>
          <w:rFonts w:hint="eastAsia" w:ascii="仿宋" w:hAnsi="仿宋" w:eastAsia="仿宋" w:cs="仿宋"/>
          <w:color w:val="auto"/>
          <w:sz w:val="24"/>
          <w:szCs w:val="24"/>
          <w:highlight w:val="none"/>
          <w:lang w:eastAsia="zh-CN"/>
        </w:rPr>
        <w:t>磋商小组</w:t>
      </w:r>
      <w:r>
        <w:rPr>
          <w:rFonts w:hint="eastAsia" w:ascii="仿宋" w:hAnsi="仿宋" w:eastAsia="仿宋" w:cs="仿宋"/>
          <w:color w:val="auto"/>
          <w:sz w:val="24"/>
          <w:szCs w:val="24"/>
          <w:highlight w:val="none"/>
        </w:rPr>
        <w:t>应当停止</w:t>
      </w:r>
      <w:r>
        <w:rPr>
          <w:rFonts w:hint="eastAsia" w:ascii="仿宋" w:hAnsi="仿宋" w:eastAsia="仿宋" w:cs="仿宋"/>
          <w:color w:val="auto"/>
          <w:sz w:val="24"/>
          <w:szCs w:val="24"/>
          <w:highlight w:val="none"/>
          <w:lang w:eastAsia="zh-CN"/>
        </w:rPr>
        <w:t>评审。</w:t>
      </w:r>
    </w:p>
    <w:p>
      <w:pPr>
        <w:outlineLvl w:val="1"/>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附表1：食用农产品抽检计划表</w:t>
      </w:r>
    </w:p>
    <w:tbl>
      <w:tblPr>
        <w:tblStyle w:val="4"/>
        <w:tblW w:w="96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7"/>
        <w:gridCol w:w="910"/>
        <w:gridCol w:w="935"/>
        <w:gridCol w:w="1176"/>
        <w:gridCol w:w="2179"/>
        <w:gridCol w:w="3348"/>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jc w:val="center"/>
        </w:trPr>
        <w:tc>
          <w:tcPr>
            <w:tcW w:w="398"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b/>
                <w:bCs/>
                <w:sz w:val="21"/>
                <w:szCs w:val="21"/>
                <w:highlight w:val="none"/>
              </w:rPr>
              <w:t>序号</w:t>
            </w:r>
          </w:p>
        </w:tc>
        <w:tc>
          <w:tcPr>
            <w:tcW w:w="910" w:type="dxa"/>
            <w:tcBorders>
              <w:tl2br w:val="nil"/>
              <w:tr2bl w:val="nil"/>
            </w:tcBorders>
            <w:noWrap/>
            <w:vAlign w:val="center"/>
          </w:tcPr>
          <w:p>
            <w:pPr>
              <w:widowControl/>
              <w:jc w:val="center"/>
              <w:textAlignment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食品</w:t>
            </w:r>
          </w:p>
          <w:p>
            <w:pPr>
              <w:widowControl/>
              <w:jc w:val="center"/>
              <w:textAlignment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亚类</w:t>
            </w:r>
            <w:r>
              <w:rPr>
                <w:rFonts w:hint="eastAsia" w:ascii="仿宋" w:hAnsi="仿宋" w:eastAsia="仿宋" w:cs="仿宋"/>
                <w:b/>
                <w:bCs/>
                <w:sz w:val="21"/>
                <w:szCs w:val="21"/>
                <w:highlight w:val="none"/>
              </w:rPr>
              <w:br w:type="textWrapping"/>
            </w:r>
            <w:r>
              <w:rPr>
                <w:rFonts w:hint="eastAsia" w:ascii="仿宋" w:hAnsi="仿宋" w:eastAsia="仿宋" w:cs="仿宋"/>
                <w:b/>
                <w:bCs/>
                <w:sz w:val="21"/>
                <w:szCs w:val="21"/>
                <w:highlight w:val="none"/>
              </w:rPr>
              <w:t>（二级）</w:t>
            </w:r>
          </w:p>
        </w:tc>
        <w:tc>
          <w:tcPr>
            <w:tcW w:w="935" w:type="dxa"/>
            <w:tcBorders>
              <w:tl2br w:val="nil"/>
              <w:tr2bl w:val="nil"/>
            </w:tcBorders>
            <w:noWrap/>
            <w:vAlign w:val="center"/>
          </w:tcPr>
          <w:p>
            <w:pPr>
              <w:widowControl/>
              <w:jc w:val="center"/>
              <w:textAlignment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食品</w:t>
            </w:r>
          </w:p>
          <w:p>
            <w:pPr>
              <w:widowControl/>
              <w:jc w:val="center"/>
              <w:textAlignment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品种</w:t>
            </w:r>
            <w:r>
              <w:rPr>
                <w:rFonts w:hint="eastAsia" w:ascii="仿宋" w:hAnsi="仿宋" w:eastAsia="仿宋" w:cs="仿宋"/>
                <w:b/>
                <w:bCs/>
                <w:sz w:val="21"/>
                <w:szCs w:val="21"/>
                <w:highlight w:val="none"/>
              </w:rPr>
              <w:br w:type="textWrapping"/>
            </w:r>
            <w:r>
              <w:rPr>
                <w:rFonts w:hint="eastAsia" w:ascii="仿宋" w:hAnsi="仿宋" w:eastAsia="仿宋" w:cs="仿宋"/>
                <w:b/>
                <w:bCs/>
                <w:sz w:val="21"/>
                <w:szCs w:val="21"/>
                <w:highlight w:val="none"/>
              </w:rPr>
              <w:t>（三级）</w:t>
            </w:r>
          </w:p>
        </w:tc>
        <w:tc>
          <w:tcPr>
            <w:tcW w:w="1176" w:type="dxa"/>
            <w:tcBorders>
              <w:tl2br w:val="nil"/>
              <w:tr2bl w:val="nil"/>
            </w:tcBorders>
            <w:noWrap/>
            <w:vAlign w:val="center"/>
          </w:tcPr>
          <w:p>
            <w:pPr>
              <w:widowControl/>
              <w:jc w:val="center"/>
              <w:textAlignment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食品</w:t>
            </w:r>
          </w:p>
          <w:p>
            <w:pPr>
              <w:widowControl/>
              <w:jc w:val="center"/>
              <w:textAlignment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细类</w:t>
            </w:r>
            <w:r>
              <w:rPr>
                <w:rFonts w:hint="eastAsia" w:ascii="仿宋" w:hAnsi="仿宋" w:eastAsia="仿宋" w:cs="仿宋"/>
                <w:b/>
                <w:bCs/>
                <w:sz w:val="21"/>
                <w:szCs w:val="21"/>
                <w:highlight w:val="none"/>
              </w:rPr>
              <w:br w:type="textWrapping"/>
            </w:r>
            <w:r>
              <w:rPr>
                <w:rFonts w:hint="eastAsia" w:ascii="仿宋" w:hAnsi="仿宋" w:eastAsia="仿宋" w:cs="仿宋"/>
                <w:b/>
                <w:bCs/>
                <w:sz w:val="21"/>
                <w:szCs w:val="21"/>
                <w:highlight w:val="none"/>
              </w:rPr>
              <w:t>（四级）</w:t>
            </w:r>
          </w:p>
        </w:tc>
        <w:tc>
          <w:tcPr>
            <w:tcW w:w="2179" w:type="dxa"/>
            <w:tcBorders>
              <w:tl2br w:val="nil"/>
              <w:tr2bl w:val="nil"/>
            </w:tcBorders>
            <w:noWrap/>
            <w:vAlign w:val="center"/>
          </w:tcPr>
          <w:p>
            <w:pPr>
              <w:widowControl/>
              <w:jc w:val="center"/>
              <w:textAlignment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必检项目</w:t>
            </w:r>
          </w:p>
        </w:tc>
        <w:tc>
          <w:tcPr>
            <w:tcW w:w="3348" w:type="dxa"/>
            <w:tcBorders>
              <w:tl2br w:val="nil"/>
              <w:tr2bl w:val="nil"/>
            </w:tcBorders>
            <w:noWrap/>
            <w:vAlign w:val="center"/>
          </w:tcPr>
          <w:p>
            <w:pPr>
              <w:widowControl/>
              <w:jc w:val="center"/>
              <w:textAlignment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选检项目</w:t>
            </w:r>
          </w:p>
        </w:tc>
        <w:tc>
          <w:tcPr>
            <w:tcW w:w="711" w:type="dxa"/>
            <w:tcBorders>
              <w:tl2br w:val="nil"/>
              <w:tr2bl w:val="nil"/>
            </w:tcBorders>
            <w:noWrap/>
            <w:vAlign w:val="center"/>
          </w:tcPr>
          <w:p>
            <w:pPr>
              <w:widowControl/>
              <w:jc w:val="center"/>
              <w:textAlignment w:val="center"/>
              <w:rPr>
                <w:rFonts w:hint="eastAsia" w:ascii="仿宋" w:hAnsi="仿宋" w:eastAsia="仿宋" w:cs="仿宋"/>
                <w:b/>
                <w:bCs/>
                <w:sz w:val="21"/>
                <w:szCs w:val="21"/>
                <w:highlight w:val="none"/>
              </w:rPr>
            </w:pPr>
            <w:r>
              <w:rPr>
                <w:rStyle w:val="9"/>
                <w:rFonts w:hint="eastAsia" w:ascii="仿宋" w:hAnsi="仿宋" w:eastAsia="仿宋" w:cs="仿宋"/>
                <w:b/>
                <w:bCs/>
                <w:color w:val="auto"/>
                <w:sz w:val="21"/>
                <w:szCs w:val="21"/>
                <w:highlight w:val="none"/>
              </w:rPr>
              <w:t>抽检批次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jc w:val="center"/>
        </w:trPr>
        <w:tc>
          <w:tcPr>
            <w:tcW w:w="398"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910"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畜禽肉及副产品</w:t>
            </w:r>
          </w:p>
        </w:tc>
        <w:tc>
          <w:tcPr>
            <w:tcW w:w="935"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畜肉</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猪肉</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五氯酚酸钠（以五氯酚计）、磺胺类（总量）、甲氧苄啶、恩诺沙星</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挥发性盐基氮、氯霉素、多西环素、克伦特罗、莱克多巴胺、沙丁胺醇、呋喃唑酮代谢物、呋喃西林代谢物</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牛肉</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恩诺沙星、磺胺类（总量）</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五氯酚酸钠（以五氯酚计）、多西环素、氯霉素、克伦特罗、莱克多巴胺、沙丁胺醇、呋喃唑酮代谢物、呋喃西林代谢物</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羊肉</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恩诺沙星、磺胺类（总量）</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五氯酚酸钠（以五氯酚计）、克伦特罗、莱克多巴胺、沙丁胺醇、呋喃唑酮代谢物、呋喃西林代谢物</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禽肉</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鸡肉</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恩诺沙星、甲氧苄啶、尼卡巴嗪</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沙拉沙星、多西环素、土霉素、金霉素、四环素、土霉素/金霉素/四环素（组合含量）</w:t>
            </w:r>
          </w:p>
        </w:tc>
        <w:tc>
          <w:tcPr>
            <w:tcW w:w="711"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鸭肉</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氯霉素、氟苯尼考、恩诺沙星、多西环素、土霉素/金霉素/四环素（组合含量）</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畜副产品</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猪肝</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五氯酚酸钠（以五氯酚计）</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恩诺沙星、磺胺类（总量）、多西环素、土霉素/金霉素/四环素（组合含量）、呋喃唑酮代谢物、呋喃西林代谢物</w:t>
            </w:r>
          </w:p>
        </w:tc>
        <w:tc>
          <w:tcPr>
            <w:tcW w:w="711"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398"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910"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蔬菜</w:t>
            </w:r>
          </w:p>
        </w:tc>
        <w:tc>
          <w:tcPr>
            <w:tcW w:w="935"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豆芽</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豆芽</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4-氯苯氧乙酸钠（以 4-氯苯氧乙酸计）、6-苄基腺嘌呤（6-BA）</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亚硫酸盐（以 SO2 计）、总汞（以 Hg 计）、铅（以 Pb 计）</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鳞茎类蔬菜</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韭菜</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镉（以 Cd 计）、毒死蜱、腐霉利</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 Pb 计）、克百威、二甲戊灵、甲拌磷、甲基异柳磷、水胺硫磷</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叶菜类蔬菜</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菠菜</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镉（以 Cd 计）、毒死蜱</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 Pb 计）、氟虫腈、氯氟氰菊酯和高效氯氟氰菊酯、氯氰菊酯和高效氯氰菊酯</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大白菜</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毒死蜱、甲拌磷、水胺硫磷、吡虫啉、啶虫脒、阿维菌素、唑虫酰胺</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普通白菜</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毒死蜱</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啶虫脒、甲拌磷、甲基异柳磷、水胺硫磷、吡虫啉、阿维菌素</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芹菜</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毒死蜱、噻虫胺</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甲拌磷、氯氟氰菊酯和高效氯氟氰菊酯、氧乐果、苯醚甲环唑、二甲戊灵、甲基异柳磷、</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油麦菜</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阿维菌素、氟虫腈、啶虫脒、克百威、灭多威、噻虫嗪、毒死蜱</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茄果类蔬菜</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茄子</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镉（以 Cd 计）</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氧乐果、克百威、噻虫胺、噻虫嗪</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辣椒</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镉（以Cd 计、噻虫胺</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啶虫脒、氧乐果、噻虫嗪、吡唑醚菌酯、吡虫啉、</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番茄</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敌敌畏、毒死蜱、腐霉利、甲拌磷、氯氟氰菊酯和高效氯氟氰菊酯</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甜椒</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阿维菌素、啶虫脒、吡虫啉、噻虫胺、噻虫嗪、水胺硫磷</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瓜类蔬菜</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黄瓜</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阿维菌素、腐霉利、哒螨灵、敌敌畏、毒死蜱、甲拌磷</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豆类蔬菜</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食荚豌豆</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多菌灵</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毒死蜱、灭蝇胺、氧乐果、噻虫胺</w:t>
            </w:r>
          </w:p>
        </w:tc>
        <w:tc>
          <w:tcPr>
            <w:tcW w:w="711" w:type="dxa"/>
            <w:tcBorders>
              <w:tl2br w:val="nil"/>
              <w:tr2bl w:val="nil"/>
            </w:tcBorders>
            <w:noWrap/>
            <w:vAlign w:val="center"/>
          </w:tcPr>
          <w:p>
            <w:pPr>
              <w:widowControl/>
              <w:jc w:val="center"/>
              <w:textAlignment w:val="bottom"/>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豇豆</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克百威、噻虫胺</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灭蝇胺、水胺硫磷、氧乐果、啶虫脒、倍硫磷、甲拌磷、甲基异柳磷</w:t>
            </w:r>
          </w:p>
        </w:tc>
        <w:tc>
          <w:tcPr>
            <w:tcW w:w="711" w:type="dxa"/>
            <w:tcBorders>
              <w:tl2br w:val="nil"/>
              <w:tr2bl w:val="nil"/>
            </w:tcBorders>
            <w:noWrap/>
            <w:vAlign w:val="center"/>
          </w:tcPr>
          <w:p>
            <w:pPr>
              <w:widowControl/>
              <w:jc w:val="center"/>
              <w:textAlignment w:val="bottom"/>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根茎类和薯芋类蔬菜</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山药</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克百威、涕灭威、氯氟氰菊酯和高效氯氟氰菊酯、铅（以 Pb 计）</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萝卜</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甲拌磷、甲胺磷、甲基对硫磷、乐果、氯氟氰菊酯和高效氯氟氰菊酯</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姜</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 Pb 计）、噻虫胺</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噻虫嗪、吡虫啉、克百威、镉（以Cd 计）</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398"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3</w:t>
            </w:r>
          </w:p>
        </w:tc>
        <w:tc>
          <w:tcPr>
            <w:tcW w:w="910"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水产品</w:t>
            </w:r>
          </w:p>
        </w:tc>
        <w:tc>
          <w:tcPr>
            <w:tcW w:w="935"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淡水产品</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淡水鱼</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孔雀石绿、恩诺沙星、地西泮</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磺胺类（总量）、多氯联苯、氯霉素</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海水产品</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海水鱼</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恩诺沙星</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孔雀石绿、氯霉素、磺胺类（总量）、挥发性盐基氮、</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贝类</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贝类</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多氯联苯、氯霉素、恩诺沙星、氧氟沙星</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其他水产品</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其他水产品（重点品种：牛蛙）</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呋喃唑酮代谢物、呋喃西林代谢物、恩诺沙星、</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孔雀石绿、氯霉素、磺胺类（总量）</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398"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910"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水果类</w:t>
            </w:r>
          </w:p>
        </w:tc>
        <w:tc>
          <w:tcPr>
            <w:tcW w:w="935"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仁果类水果</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苹果</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敌敌畏、毒死蜱、甲拌磷、啶虫脒</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梨</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吡虫啉、敌敌畏、毒死蜱、氯氟氰菊酯和高效氯氟氰菊酯</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柑橘类水果</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柑、橘</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苯醚甲环唑、丙溴磷</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联苯菊酯、水胺硫磷、毒死蜱、氯唑磷、氯氟氰菊酯和高效氯氟氰菊酯</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橙</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丙溴磷、苯醚甲环唑、联苯菊酯、三唑磷、杀扑磷、水胺硫磷</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浆果和其他小型水果</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草莓</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烯酰吗啉</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氧乐果、阿维菌素、多菌灵、吡虫啉</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猕猴桃</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氯吡脲、多菌灵、氧乐果、敌敌畏</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热带和亚热带水果</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荔枝</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氯氟氰菊酯和高效氯氟氰菊酯、多菌灵</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氯氰菊酯和高效氯氰菊酯、毒死蜱、苯醚甲环唑、吡唑醚菌酯</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98"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芒果</w:t>
            </w:r>
          </w:p>
        </w:tc>
        <w:tc>
          <w:tcPr>
            <w:tcW w:w="2179" w:type="dxa"/>
            <w:tcBorders>
              <w:tl2br w:val="nil"/>
              <w:tr2bl w:val="nil"/>
            </w:tcBorders>
            <w:noWrap/>
            <w:vAlign w:val="bottom"/>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吡唑醚菌酯、噻虫胺</w:t>
            </w:r>
          </w:p>
        </w:tc>
        <w:tc>
          <w:tcPr>
            <w:tcW w:w="3348" w:type="dxa"/>
            <w:tcBorders>
              <w:tl2br w:val="nil"/>
              <w:tr2bl w:val="nil"/>
            </w:tcBorders>
            <w:noWrap/>
            <w:vAlign w:val="bottom"/>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吡虫啉、苯醚甲环唑、毒死蜱、氧乐果</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98"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香蕉</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吡虫啉、噻虫嗪、噻虫胺、腈苯唑</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苯醚甲环唑、甲拌磷、联苯菊酯、烯唑醇、吡唑醚菌酯</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398"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5</w:t>
            </w:r>
          </w:p>
        </w:tc>
        <w:tc>
          <w:tcPr>
            <w:tcW w:w="910"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鲜蛋</w:t>
            </w:r>
          </w:p>
        </w:tc>
        <w:tc>
          <w:tcPr>
            <w:tcW w:w="935" w:type="dxa"/>
            <w:vMerge w:val="restart"/>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鲜蛋</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鸡蛋</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甲硝唑</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地美硝唑、氯霉素、磺胺类（总量）、多西环素</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398" w:type="dxa"/>
            <w:vMerge w:val="continue"/>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p>
        </w:tc>
        <w:tc>
          <w:tcPr>
            <w:tcW w:w="910"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935" w:type="dxa"/>
            <w:vMerge w:val="continue"/>
            <w:tcBorders>
              <w:tl2br w:val="nil"/>
              <w:tr2bl w:val="nil"/>
            </w:tcBorders>
            <w:noWrap/>
            <w:vAlign w:val="center"/>
          </w:tcPr>
          <w:p>
            <w:pPr>
              <w:jc w:val="center"/>
              <w:rPr>
                <w:rFonts w:hint="eastAsia" w:ascii="仿宋" w:hAnsi="仿宋" w:eastAsia="仿宋" w:cs="仿宋"/>
                <w:sz w:val="21"/>
                <w:szCs w:val="21"/>
                <w:highlight w:val="none"/>
              </w:rPr>
            </w:pP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其他禽蛋</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氯霉素、磺胺类（总量）、多西环素</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jc w:val="center"/>
        </w:trPr>
        <w:tc>
          <w:tcPr>
            <w:tcW w:w="398"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6</w:t>
            </w:r>
          </w:p>
        </w:tc>
        <w:tc>
          <w:tcPr>
            <w:tcW w:w="910"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生干坚果与籽类食品</w:t>
            </w:r>
          </w:p>
        </w:tc>
        <w:tc>
          <w:tcPr>
            <w:tcW w:w="935"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生干坚果与籽类食品</w:t>
            </w:r>
          </w:p>
        </w:tc>
        <w:tc>
          <w:tcPr>
            <w:tcW w:w="1176" w:type="dxa"/>
            <w:tcBorders>
              <w:tl2br w:val="nil"/>
              <w:tr2bl w:val="nil"/>
            </w:tcBorders>
            <w:noWrap/>
            <w:vAlign w:val="center"/>
          </w:tcPr>
          <w:p>
            <w:pPr>
              <w:widowControl/>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 xml:space="preserve">生干籽类（重点品 </w:t>
            </w:r>
            <w:r>
              <w:rPr>
                <w:rFonts w:hint="eastAsia" w:ascii="仿宋" w:hAnsi="仿宋" w:eastAsia="仿宋" w:cs="仿宋"/>
                <w:spacing w:val="-3"/>
                <w:sz w:val="21"/>
                <w:szCs w:val="21"/>
                <w:highlight w:val="none"/>
              </w:rPr>
              <w:t>种：芝麻、</w:t>
            </w:r>
            <w:r>
              <w:rPr>
                <w:rFonts w:hint="eastAsia" w:ascii="仿宋" w:hAnsi="仿宋" w:eastAsia="仿宋" w:cs="仿宋"/>
                <w:sz w:val="21"/>
                <w:szCs w:val="21"/>
                <w:highlight w:val="none"/>
              </w:rPr>
              <w:t>花生）</w:t>
            </w:r>
          </w:p>
        </w:tc>
        <w:tc>
          <w:tcPr>
            <w:tcW w:w="2179"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酸价（以脂肪计）、黄曲霉毒素 B1（重点品质：花生）</w:t>
            </w:r>
          </w:p>
        </w:tc>
        <w:tc>
          <w:tcPr>
            <w:tcW w:w="3348" w:type="dxa"/>
            <w:tcBorders>
              <w:tl2br w:val="nil"/>
              <w:tr2bl w:val="nil"/>
            </w:tcBorders>
            <w:noWrap/>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过氧化值（以脂肪计）、镉（以 Cd 计）、嘧菌酯</w:t>
            </w:r>
          </w:p>
        </w:tc>
        <w:tc>
          <w:tcPr>
            <w:tcW w:w="711" w:type="dxa"/>
            <w:tcBorders>
              <w:tl2br w:val="nil"/>
              <w:tr2bl w:val="nil"/>
            </w:tcBorders>
            <w:noWrap/>
            <w:vAlign w:val="center"/>
          </w:tcPr>
          <w:p>
            <w:pPr>
              <w:widowControl/>
              <w:jc w:val="center"/>
              <w:textAlignment w:val="bottom"/>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9657" w:type="dxa"/>
            <w:gridSpan w:val="7"/>
            <w:tcBorders>
              <w:tl2br w:val="nil"/>
              <w:tr2bl w:val="nil"/>
            </w:tcBorders>
            <w:noWrap/>
            <w:vAlign w:val="center"/>
          </w:tcPr>
          <w:p>
            <w:pPr>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合计275批次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9657" w:type="dxa"/>
            <w:gridSpan w:val="7"/>
            <w:tcBorders>
              <w:tl2br w:val="nil"/>
              <w:tr2bl w:val="nil"/>
            </w:tcBorders>
            <w:noWrap/>
            <w:vAlign w:val="center"/>
          </w:tcPr>
          <w:p>
            <w:pPr>
              <w:jc w:val="center"/>
              <w:rPr>
                <w:rFonts w:hint="eastAsia" w:ascii="仿宋" w:hAnsi="仿宋" w:eastAsia="仿宋" w:cs="仿宋"/>
                <w:sz w:val="21"/>
                <w:szCs w:val="21"/>
                <w:highlight w:val="none"/>
              </w:rPr>
            </w:pPr>
            <w:r>
              <w:rPr>
                <w:rFonts w:hint="eastAsia" w:ascii="仿宋" w:hAnsi="仿宋" w:eastAsia="仿宋" w:cs="仿宋"/>
                <w:color w:val="auto"/>
                <w:sz w:val="21"/>
                <w:szCs w:val="21"/>
                <w:highlight w:val="none"/>
              </w:rPr>
              <w:t>注：采购方可根据《国家食品安全监督抽检实施细则》（2023版）和当年总局、省局、市局文件调整抽检品种和项目。</w:t>
            </w:r>
          </w:p>
        </w:tc>
      </w:tr>
    </w:tbl>
    <w:p>
      <w:pPr>
        <w:spacing w:line="360" w:lineRule="auto"/>
        <w:outlineLvl w:val="1"/>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附表2：常规食品抽检计划表</w:t>
      </w:r>
    </w:p>
    <w:tbl>
      <w:tblPr>
        <w:tblStyle w:val="4"/>
        <w:tblW w:w="565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4"/>
        <w:gridCol w:w="1343"/>
        <w:gridCol w:w="1105"/>
        <w:gridCol w:w="1010"/>
        <w:gridCol w:w="1116"/>
        <w:gridCol w:w="3884"/>
        <w:gridCol w:w="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jc w:val="center"/>
        </w:trPr>
        <w:tc>
          <w:tcPr>
            <w:tcW w:w="24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序号</w:t>
            </w:r>
          </w:p>
        </w:tc>
        <w:tc>
          <w:tcPr>
            <w:tcW w:w="696"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食品大类（一级）</w:t>
            </w: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食品亚类（二级）</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食品品种（三级）</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食品细类（四级）</w:t>
            </w:r>
          </w:p>
        </w:tc>
        <w:tc>
          <w:tcPr>
            <w:tcW w:w="2015"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抽检项目</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jc w:val="center"/>
        </w:trPr>
        <w:tc>
          <w:tcPr>
            <w:tcW w:w="24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bookmarkStart w:id="0" w:name="OLE_LINK1" w:colFirst="6" w:colLast="6"/>
            <w:r>
              <w:rPr>
                <w:rFonts w:hint="eastAsia" w:ascii="仿宋" w:hAnsi="仿宋" w:eastAsia="仿宋" w:cs="仿宋"/>
                <w:sz w:val="21"/>
                <w:szCs w:val="21"/>
                <w:highlight w:val="none"/>
              </w:rPr>
              <w:t>1</w:t>
            </w:r>
          </w:p>
        </w:tc>
        <w:tc>
          <w:tcPr>
            <w:tcW w:w="696"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粮食加工品</w:t>
            </w: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大米</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大米</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大米</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铅（以Pb计）、镉（以Cd计）、无机砷（以As计）、苯并[a]芘、黄曲霉毒素B</w:t>
            </w:r>
            <w:r>
              <w:rPr>
                <w:rFonts w:hint="eastAsia" w:ascii="仿宋" w:hAnsi="仿宋" w:eastAsia="仿宋" w:cs="仿宋"/>
                <w:color w:val="000000"/>
                <w:sz w:val="21"/>
                <w:szCs w:val="21"/>
                <w:highlight w:val="none"/>
                <w:vertAlign w:val="subscript"/>
              </w:rPr>
              <w:t>1</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小麦粉</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小麦粉</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小麦粉</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镉（以Cd计）、苯并[a]芘、玉米赤霉烯酮、脱氧雪腐镰刀菌烯醇、赭曲霉毒素A、黄曲霉毒素B</w:t>
            </w:r>
            <w:r>
              <w:rPr>
                <w:rFonts w:hint="eastAsia" w:ascii="仿宋" w:hAnsi="仿宋" w:eastAsia="仿宋" w:cs="仿宋"/>
                <w:color w:val="000000"/>
                <w:sz w:val="21"/>
                <w:szCs w:val="21"/>
                <w:highlight w:val="none"/>
                <w:vertAlign w:val="subscript"/>
              </w:rPr>
              <w:t>1</w:t>
            </w:r>
            <w:r>
              <w:rPr>
                <w:rFonts w:hint="eastAsia" w:ascii="仿宋" w:hAnsi="仿宋" w:eastAsia="仿宋" w:cs="仿宋"/>
                <w:color w:val="000000"/>
                <w:sz w:val="21"/>
                <w:szCs w:val="21"/>
                <w:highlight w:val="none"/>
              </w:rPr>
              <w:t>、过氧化苯甲酰</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挂面</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挂面</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挂面</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铅（以Pb计）、脱氢乙酸及其钠盐（以脱氢乙酸计）、黄曲霉毒素B</w:t>
            </w:r>
            <w:r>
              <w:rPr>
                <w:rFonts w:hint="eastAsia" w:ascii="仿宋" w:hAnsi="仿宋" w:eastAsia="仿宋" w:cs="仿宋"/>
                <w:color w:val="000000"/>
                <w:sz w:val="21"/>
                <w:szCs w:val="21"/>
                <w:highlight w:val="none"/>
                <w:vertAlign w:val="subscript"/>
              </w:rPr>
              <w:t>1</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7"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谷物粉类制成品</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生湿面制品</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铅（以Pb计）、苯甲酸及其钠盐（以苯甲酸计）、山梨酸及其钾盐（以山梨酸计）、脱氢乙酸及其钠盐（以脱氢乙酸计）</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jc w:val="center"/>
        </w:trPr>
        <w:tc>
          <w:tcPr>
            <w:tcW w:w="24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696"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食用油、油脂及其制品</w:t>
            </w:r>
          </w:p>
        </w:tc>
        <w:tc>
          <w:tcPr>
            <w:tcW w:w="573"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食用植物油</w:t>
            </w:r>
          </w:p>
        </w:tc>
        <w:tc>
          <w:tcPr>
            <w:tcW w:w="524"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食用植物油</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菜籽油</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酸价、过氧化值、铅（以Pb计）、苯并[a]芘、溶剂残留量、特丁基对苯二酚（TBHQ）、乙基麦芽酚</w:t>
            </w:r>
          </w:p>
        </w:tc>
        <w:tc>
          <w:tcPr>
            <w:tcW w:w="37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24"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食用植物调和油</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酸价、过氧化值、铅（以Pb计）、苯并[a]芘、溶剂残留量、特丁基对苯二酚（TBHQ）、乙基麦芽酚</w:t>
            </w: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tcBorders>
              <w:tl2br w:val="nil"/>
              <w:tr2bl w:val="nil"/>
            </w:tcBorders>
            <w:noWrap/>
            <w:vAlign w:val="center"/>
          </w:tcPr>
          <w:p>
            <w:pPr>
              <w:spacing w:line="30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食用动物油脂</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食用动物油脂</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食用动物油脂</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酸价、过氧化值、丙二醛、铅（以Pb计）、总砷（以As计）、苯并[a]芘</w:t>
            </w: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1" w:hRule="atLeast"/>
          <w:jc w:val="center"/>
        </w:trPr>
        <w:tc>
          <w:tcPr>
            <w:tcW w:w="24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3</w:t>
            </w:r>
          </w:p>
        </w:tc>
        <w:tc>
          <w:tcPr>
            <w:tcW w:w="696"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调味品</w:t>
            </w: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酱油</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酱油</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酱油</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氨基酸态氮、苯甲酸及其钠盐（以苯甲酸计）、山梨酸及其钾盐（以山梨酸计）、脱氢乙酸及其钠盐（以脱氢乙酸计）、对羟基苯甲酸酯类及其钠盐（以对羟基苯甲酸计）、防腐剂混合使用时各自用量占其最大使用量的比例之和、糖精钠（以糖精计）、三氯蔗糖</w:t>
            </w:r>
          </w:p>
        </w:tc>
        <w:tc>
          <w:tcPr>
            <w:tcW w:w="37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1"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食醋</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食醋</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食醋</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苯甲酸及其钠盐（以苯甲酸计）、山梨酸及其钾盐（以山梨酸计）、脱氢乙酸及其钠盐（以脱氢乙酸计）、对羟基苯甲酸酯类及其钠盐（以对羟基苯甲酸计）、防腐剂混合使用时各自用量占其最大使用量的比例之和、糖精钠（以糖精计）、三氯蔗糖</w:t>
            </w:r>
          </w:p>
        </w:tc>
        <w:tc>
          <w:tcPr>
            <w:tcW w:w="370"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7"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香辛料类</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香辛料类</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辣椒、花椒、辣椒粉、花椒粉</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铅（以Pb计）、罗丹明B、苏丹红I-IV、二氧化硫残留量</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调味料</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固体复合调味料</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鸡粉、鸡精调味料</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铅（以Pb计）、糖精钠（以糖精计）、甜蜜素（以环己基氨基磺酸计）、菌落总数、大肠菌群</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6"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24"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半固体复合调味料</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辣椒酱</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苯甲酸及其钠盐（以苯甲酸计）、山梨酸及其钾盐（以山梨酸计）、脱氢乙酸及其钠盐（以脱氢乙酸计）、防腐剂混合使用时各自用量占其最大使用量的比例之和、甜蜜素（以环己基氨基磺酸计）</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24"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火锅底料、麻辣烫底料</w:t>
            </w:r>
          </w:p>
        </w:tc>
        <w:tc>
          <w:tcPr>
            <w:tcW w:w="2015" w:type="pct"/>
            <w:vMerge w:val="restar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苯甲酸及其钠盐（以苯甲酸计）、山梨酸及其钾盐（以山梨酸计）、脱氢乙酸及其钠盐（以脱氢乙酸计）、防腐剂混合使用时各自用量占其最大使用量的比例之和、罂粟碱/吗啡、可待因、那可丁</w:t>
            </w:r>
          </w:p>
        </w:tc>
        <w:tc>
          <w:tcPr>
            <w:tcW w:w="37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24"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其他半固态复合调味料</w:t>
            </w:r>
          </w:p>
        </w:tc>
        <w:tc>
          <w:tcPr>
            <w:tcW w:w="2015" w:type="pct"/>
            <w:vMerge w:val="continue"/>
            <w:tcBorders>
              <w:tl2br w:val="nil"/>
              <w:tr2bl w:val="nil"/>
            </w:tcBorders>
            <w:noWrap/>
            <w:vAlign w:val="center"/>
          </w:tcPr>
          <w:p>
            <w:pPr>
              <w:spacing w:line="300" w:lineRule="exact"/>
              <w:rPr>
                <w:rFonts w:hint="eastAsia" w:ascii="仿宋" w:hAnsi="仿宋" w:eastAsia="仿宋" w:cs="仿宋"/>
                <w:sz w:val="21"/>
                <w:szCs w:val="21"/>
                <w:highlight w:val="none"/>
              </w:rPr>
            </w:pP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食盐</w:t>
            </w:r>
          </w:p>
        </w:tc>
        <w:tc>
          <w:tcPr>
            <w:tcW w:w="524"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w:t>
            </w:r>
            <w:r>
              <w:rPr>
                <w:rStyle w:val="9"/>
                <w:rFonts w:hint="eastAsia" w:ascii="仿宋" w:hAnsi="仿宋" w:eastAsia="仿宋" w:cs="仿宋"/>
                <w:color w:val="auto"/>
                <w:sz w:val="21"/>
                <w:szCs w:val="21"/>
                <w:highlight w:val="none"/>
              </w:rPr>
              <w:t>用盐</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普通食用盐</w:t>
            </w:r>
          </w:p>
        </w:tc>
        <w:tc>
          <w:tcPr>
            <w:tcW w:w="2015" w:type="pct"/>
            <w:vMerge w:val="restar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碘（以I计）、铅（以Pb计）、总砷（以As计）、镉（以Cd计）、总汞（以Hg计）、亚铁氰化钾/亚铁氰化钠（以亚铁氰根计）</w:t>
            </w:r>
          </w:p>
        </w:tc>
        <w:tc>
          <w:tcPr>
            <w:tcW w:w="37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24"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低钠食用盐</w:t>
            </w:r>
          </w:p>
        </w:tc>
        <w:tc>
          <w:tcPr>
            <w:tcW w:w="2015" w:type="pct"/>
            <w:vMerge w:val="continue"/>
            <w:tcBorders>
              <w:tl2br w:val="nil"/>
              <w:tr2bl w:val="nil"/>
            </w:tcBorders>
            <w:noWrap/>
            <w:vAlign w:val="center"/>
          </w:tcPr>
          <w:p>
            <w:pPr>
              <w:spacing w:line="300" w:lineRule="exact"/>
              <w:rPr>
                <w:rFonts w:hint="eastAsia" w:ascii="仿宋" w:hAnsi="仿宋" w:eastAsia="仿宋" w:cs="仿宋"/>
                <w:sz w:val="21"/>
                <w:szCs w:val="21"/>
                <w:highlight w:val="none"/>
              </w:rPr>
            </w:pP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24"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风味食用盐</w:t>
            </w:r>
          </w:p>
        </w:tc>
        <w:tc>
          <w:tcPr>
            <w:tcW w:w="2015" w:type="pct"/>
            <w:vMerge w:val="continue"/>
            <w:tcBorders>
              <w:tl2br w:val="nil"/>
              <w:tr2bl w:val="nil"/>
            </w:tcBorders>
            <w:noWrap/>
            <w:vAlign w:val="center"/>
          </w:tcPr>
          <w:p>
            <w:pPr>
              <w:spacing w:line="300" w:lineRule="exact"/>
              <w:rPr>
                <w:rFonts w:hint="eastAsia" w:ascii="仿宋" w:hAnsi="仿宋" w:eastAsia="仿宋" w:cs="仿宋"/>
                <w:sz w:val="21"/>
                <w:szCs w:val="21"/>
                <w:highlight w:val="none"/>
              </w:rPr>
            </w:pP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24"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特殊工艺食用盐</w:t>
            </w:r>
          </w:p>
        </w:tc>
        <w:tc>
          <w:tcPr>
            <w:tcW w:w="2015" w:type="pct"/>
            <w:vMerge w:val="continue"/>
            <w:tcBorders>
              <w:tl2br w:val="nil"/>
              <w:tr2bl w:val="nil"/>
            </w:tcBorders>
            <w:noWrap/>
            <w:vAlign w:val="center"/>
          </w:tcPr>
          <w:p>
            <w:pPr>
              <w:spacing w:line="300" w:lineRule="exact"/>
              <w:rPr>
                <w:rFonts w:hint="eastAsia" w:ascii="仿宋" w:hAnsi="仿宋" w:eastAsia="仿宋" w:cs="仿宋"/>
                <w:sz w:val="21"/>
                <w:szCs w:val="21"/>
                <w:highlight w:val="none"/>
              </w:rPr>
            </w:pP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2" w:hRule="atLeast"/>
          <w:jc w:val="center"/>
        </w:trPr>
        <w:tc>
          <w:tcPr>
            <w:tcW w:w="24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4</w:t>
            </w:r>
          </w:p>
        </w:tc>
        <w:tc>
          <w:tcPr>
            <w:tcW w:w="696"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肉制品</w:t>
            </w: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预制肉制品</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腌腊肉制品</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腌腊肉制品</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过氧化值（以脂肪计）、镉（以Cd计）、总砷（以As计）、氯霉素、亚硝酸盐（以亚硝酸钠计）、苯甲酸及其钠盐（以苯甲酸计）、山梨酸及其钾盐（以山梨酸计）、胭脂红</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240"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73"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熟肉制品</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酱卤肉制品</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酱卤肉制品</w:t>
            </w:r>
          </w:p>
        </w:tc>
        <w:tc>
          <w:tcPr>
            <w:tcW w:w="2015"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亚硝酸盐（以亚硝酸钠计）、氯霉素、苯甲酸及其钠盐（以苯甲酸计）、山梨酸及其钾盐（以山梨酸计）、脱氢乙酸及其钠盐（以脱氢乙酸计）、防腐剂混合使用时各自用量占其最大使用量的比例之和、菌落总数、大肠菌群</w:t>
            </w:r>
          </w:p>
        </w:tc>
        <w:tc>
          <w:tcPr>
            <w:tcW w:w="37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3" w:hRule="atLeast"/>
          <w:jc w:val="center"/>
        </w:trPr>
        <w:tc>
          <w:tcPr>
            <w:tcW w:w="240"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熟肉干制品</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熟肉干制品</w:t>
            </w:r>
          </w:p>
        </w:tc>
        <w:tc>
          <w:tcPr>
            <w:tcW w:w="2015"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jc w:val="center"/>
        </w:trPr>
        <w:tc>
          <w:tcPr>
            <w:tcW w:w="24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5</w:t>
            </w:r>
          </w:p>
        </w:tc>
        <w:tc>
          <w:tcPr>
            <w:tcW w:w="696"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饮料</w:t>
            </w:r>
          </w:p>
        </w:tc>
        <w:tc>
          <w:tcPr>
            <w:tcW w:w="573"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饮料</w:t>
            </w:r>
          </w:p>
        </w:tc>
        <w:tc>
          <w:tcPr>
            <w:tcW w:w="524"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包装饮用水</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饮用天然矿泉水</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界限指标、铅（以Pb计）、溴酸盐、硝酸盐（以NO</w:t>
            </w:r>
            <w:r>
              <w:rPr>
                <w:rFonts w:hint="eastAsia" w:ascii="仿宋" w:hAnsi="仿宋" w:eastAsia="仿宋" w:cs="仿宋"/>
                <w:color w:val="000000"/>
                <w:sz w:val="21"/>
                <w:szCs w:val="21"/>
                <w:highlight w:val="none"/>
                <w:vertAlign w:val="subscript"/>
              </w:rPr>
              <w:t>3</w:t>
            </w:r>
            <w:r>
              <w:rPr>
                <w:rFonts w:hint="eastAsia" w:ascii="仿宋" w:hAnsi="仿宋" w:eastAsia="仿宋" w:cs="仿宋"/>
                <w:color w:val="000000"/>
                <w:sz w:val="21"/>
                <w:szCs w:val="21"/>
                <w:highlight w:val="none"/>
              </w:rPr>
              <w:t>-计）、亚硝酸盐（以NO</w:t>
            </w:r>
            <w:r>
              <w:rPr>
                <w:rFonts w:hint="eastAsia" w:ascii="仿宋" w:hAnsi="仿宋" w:eastAsia="仿宋" w:cs="仿宋"/>
                <w:color w:val="000000"/>
                <w:sz w:val="21"/>
                <w:szCs w:val="21"/>
                <w:highlight w:val="none"/>
                <w:vertAlign w:val="subscript"/>
              </w:rPr>
              <w:t>2</w:t>
            </w:r>
            <w:r>
              <w:rPr>
                <w:rFonts w:hint="eastAsia" w:ascii="仿宋" w:hAnsi="仿宋" w:eastAsia="仿宋" w:cs="仿宋"/>
                <w:color w:val="000000"/>
                <w:sz w:val="21"/>
                <w:szCs w:val="21"/>
                <w:highlight w:val="none"/>
              </w:rPr>
              <w:t>-计）、大肠菌群、铜绿假单胞菌</w:t>
            </w:r>
          </w:p>
        </w:tc>
        <w:tc>
          <w:tcPr>
            <w:tcW w:w="37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8"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24"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饮用纯净水</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电导率、耗氧量（以O</w:t>
            </w:r>
            <w:r>
              <w:rPr>
                <w:rFonts w:hint="eastAsia" w:ascii="仿宋" w:hAnsi="仿宋" w:eastAsia="仿宋" w:cs="仿宋"/>
                <w:color w:val="000000"/>
                <w:sz w:val="21"/>
                <w:szCs w:val="21"/>
                <w:highlight w:val="none"/>
                <w:vertAlign w:val="subscript"/>
              </w:rPr>
              <w:t>2</w:t>
            </w:r>
            <w:r>
              <w:rPr>
                <w:rFonts w:hint="eastAsia" w:ascii="仿宋" w:hAnsi="仿宋" w:eastAsia="仿宋" w:cs="仿宋"/>
                <w:color w:val="000000"/>
                <w:sz w:val="21"/>
                <w:szCs w:val="21"/>
                <w:highlight w:val="none"/>
              </w:rPr>
              <w:t>计）、亚硝酸盐（以NO</w:t>
            </w:r>
            <w:r>
              <w:rPr>
                <w:rFonts w:hint="eastAsia" w:ascii="仿宋" w:hAnsi="仿宋" w:eastAsia="仿宋" w:cs="仿宋"/>
                <w:color w:val="000000"/>
                <w:sz w:val="21"/>
                <w:szCs w:val="21"/>
                <w:highlight w:val="none"/>
                <w:vertAlign w:val="subscript"/>
              </w:rPr>
              <w:t>2</w:t>
            </w:r>
            <w:r>
              <w:rPr>
                <w:rFonts w:hint="eastAsia" w:ascii="仿宋" w:hAnsi="仿宋" w:eastAsia="仿宋" w:cs="仿宋"/>
                <w:color w:val="000000"/>
                <w:sz w:val="21"/>
                <w:szCs w:val="21"/>
                <w:highlight w:val="none"/>
              </w:rPr>
              <w:t>-计）、余氯（游离氯）、三氯甲烷、溴酸盐、大肠菌群、铜绿假单胞菌</w:t>
            </w: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2"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果、蔬汁饮料</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果、蔬汁饮料</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展青霉素、苯甲酸及其钠盐（以苯甲酸计）、山梨酸及其钾盐（以山梨酸计）、脱氢乙酸及其钠盐（以脱氢乙酸计）、防腐剂混合使用时各自用量占其最大使用量的比例之和、糖精钠（以糖精计）、安赛蜜、甜蜜素（以环己基氨基磺酸计）、合成着色剂（苋菜红、胭脂红、柠檬黄、日落黄、亮蓝）、菌落总数、大肠菌群、霉菌、酵母</w:t>
            </w: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蛋白饮料</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蛋白饮料</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蛋白质、三聚氰胺、脱氢乙酸及其钠盐（以脱氢乙酸计）、菌落总数、大肠菌群</w:t>
            </w: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0"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其他饮料</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其他饮料</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苯甲酸及其钠盐（以苯甲酸计）、山梨酸及其钾盐（以山梨酸计）、脱氢乙酸及其钠盐（以脱氢乙酸计）、防腐剂混合使用时各自用量占其最大使用量的比例之和、糖精钠（以糖精计）、甜蜜素（以环己基氨基磺酸计）、合成着色剂（苋菜红、胭脂红、柠檬黄、日落黄、亮蓝）、菌落总数、大肠菌群、霉菌、酵母</w:t>
            </w: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7" w:hRule="atLeast"/>
          <w:jc w:val="center"/>
        </w:trPr>
        <w:tc>
          <w:tcPr>
            <w:tcW w:w="24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6</w:t>
            </w:r>
          </w:p>
        </w:tc>
        <w:tc>
          <w:tcPr>
            <w:tcW w:w="696"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方便食品</w:t>
            </w:r>
          </w:p>
        </w:tc>
        <w:tc>
          <w:tcPr>
            <w:tcW w:w="573"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方便食品</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方便面</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油炸面、非油炸面、方便米粉（米线）、方便粉丝</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水分、酸价（以脂肪计）、过氧化值（以脂肪计）、菌落总数、大肠菌群</w:t>
            </w:r>
          </w:p>
        </w:tc>
        <w:tc>
          <w:tcPr>
            <w:tcW w:w="37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lang w:eastAsia="zh-CN"/>
              </w:rPr>
            </w:pPr>
            <w:r>
              <w:rPr>
                <w:rFonts w:hint="eastAsia" w:ascii="仿宋" w:hAnsi="仿宋" w:eastAsia="仿宋" w:cs="仿宋"/>
                <w:color w:val="FF0000"/>
                <w:sz w:val="21"/>
                <w:szCs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5"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调味面制品</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调味面制品</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酸价（以脂肪计）、过氧化值（以脂肪计）、糖精钠（以糖精计）、苯甲酸及其钠盐（以苯甲酸计）、山梨酸及其钾盐（以山梨酸计）、脱氢乙酸及其钠盐（以脱氢乙酸计）、菌落总数、大肠菌群、霉菌、沙门氏菌、金黄色葡萄球菌</w:t>
            </w: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7"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其他方便食品</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方便粥、方便盒饭、冷面及其他熟制方便食品</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酸价（以脂肪计）、过氧化值（以脂肪计）、糖精钠（以糖精计）、苯甲酸及其钠盐（以苯甲酸计）、山梨酸及其钾盐（以山梨酸计）、菌落总数、大肠菌群、霉菌、沙门氏菌、金黄色葡萄球菌</w:t>
            </w: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2" w:hRule="atLeast"/>
          <w:jc w:val="center"/>
        </w:trPr>
        <w:tc>
          <w:tcPr>
            <w:tcW w:w="24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7</w:t>
            </w:r>
          </w:p>
        </w:tc>
        <w:tc>
          <w:tcPr>
            <w:tcW w:w="696"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饼干</w:t>
            </w: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饼干</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饼干</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饼干</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酸价（以脂肪计）、过氧化值（以脂肪计）、铝的残留（干样品，以Al计）、糖精钠（以糖精计）、甜蜜素（以环己基氨基磺酸计）、菌落总数、大肠菌群、沙门氏菌、金黄色葡萄球菌</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24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8</w:t>
            </w:r>
          </w:p>
        </w:tc>
        <w:tc>
          <w:tcPr>
            <w:tcW w:w="696"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冷冻饮品</w:t>
            </w: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冷冻饮品</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冷冻饮品</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冰淇淋、雪糕、雪泥、冰棍、食用冰、甜味冰、其他类</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蛋白质、甜蜜素（以环己基氨基磺酸计）、糖精钠（以糖精计）、菌落总数、大肠菌群、沙门氏菌</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6" w:hRule="atLeast"/>
          <w:jc w:val="center"/>
        </w:trPr>
        <w:tc>
          <w:tcPr>
            <w:tcW w:w="24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9</w:t>
            </w:r>
          </w:p>
        </w:tc>
        <w:tc>
          <w:tcPr>
            <w:tcW w:w="696"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薯类和膨化食品</w:t>
            </w: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薯类和膨化食品</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膨化食品</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含油型膨化食品和非含油型膨化食品</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水分、酸价（以脂肪计）、过氧化值（以脂肪计）、黄曲霉毒素B</w:t>
            </w:r>
            <w:r>
              <w:rPr>
                <w:rFonts w:hint="eastAsia" w:ascii="仿宋" w:hAnsi="仿宋" w:eastAsia="仿宋" w:cs="仿宋"/>
                <w:color w:val="000000"/>
                <w:sz w:val="21"/>
                <w:szCs w:val="21"/>
                <w:highlight w:val="none"/>
                <w:vertAlign w:val="subscript"/>
              </w:rPr>
              <w:t>1</w:t>
            </w:r>
            <w:r>
              <w:rPr>
                <w:rFonts w:hint="eastAsia" w:ascii="仿宋" w:hAnsi="仿宋" w:eastAsia="仿宋" w:cs="仿宋"/>
                <w:color w:val="000000"/>
                <w:sz w:val="21"/>
                <w:szCs w:val="21"/>
                <w:highlight w:val="none"/>
              </w:rPr>
              <w:t>、糖精钠（以糖精计）、苯甲酸及其钠盐（以苯甲酸计）、山梨酸及其钾盐（以山梨酸计）、菌落总数、菌落总数、大肠菌群、沙门氏菌、金黄色葡萄球菌</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8" w:hRule="atLeast"/>
          <w:jc w:val="center"/>
        </w:trPr>
        <w:tc>
          <w:tcPr>
            <w:tcW w:w="24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10</w:t>
            </w:r>
          </w:p>
        </w:tc>
        <w:tc>
          <w:tcPr>
            <w:tcW w:w="696"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糖果制品</w:t>
            </w: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糖果制品(含巧克力及制品</w:t>
            </w:r>
            <w:r>
              <w:rPr>
                <w:rStyle w:val="9"/>
                <w:rFonts w:hint="eastAsia" w:ascii="仿宋" w:hAnsi="仿宋" w:eastAsia="仿宋" w:cs="仿宋"/>
                <w:color w:val="auto"/>
                <w:sz w:val="21"/>
                <w:szCs w:val="21"/>
                <w:highlight w:val="none"/>
              </w:rPr>
              <w:t>)</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糖果</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糖果</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铅（以Pb计）、糖精钠(以糖精计)、合成着色剂（柠檬黄、苋菜红、胭脂红、日落黄）、相同色泽着色剂混合使用时各自用量占其最大使用量的比例之和、二氧化硫残留量、菌落总数、大肠菌群</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color w:val="FF0000"/>
                <w:sz w:val="21"/>
                <w:szCs w:val="21"/>
                <w:highlight w:val="none"/>
              </w:rPr>
            </w:pPr>
            <w:r>
              <w:rPr>
                <w:rFonts w:hint="eastAsia" w:ascii="仿宋" w:hAnsi="仿宋" w:eastAsia="仿宋" w:cs="仿宋"/>
                <w:color w:val="FF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8" w:hRule="atLeast"/>
          <w:jc w:val="center"/>
        </w:trPr>
        <w:tc>
          <w:tcPr>
            <w:tcW w:w="24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11</w:t>
            </w:r>
          </w:p>
        </w:tc>
        <w:tc>
          <w:tcPr>
            <w:tcW w:w="696"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茶叶及相关制品</w:t>
            </w: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茶叶</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茶叶</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绿茶、红茶、乌龙茶、黄茶、白茶、黑茶、花茶、袋泡茶、紧压茶</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Pb计）、草甘膦、吡虫啉、乙酰甲胺磷、联苯菊酯、氯氰菊酯和高效氯氰菊酯、灭多威、三氯杀螨醇、氰戊菊酯和S-氰戊菊酯、甲胺磷、甲拌磷、克百威、水胺硫磷、氧乐果、茚虫威、毒死蜱、唑虫酰胺、氟</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2" w:hRule="atLeast"/>
          <w:jc w:val="center"/>
        </w:trPr>
        <w:tc>
          <w:tcPr>
            <w:tcW w:w="24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12</w:t>
            </w:r>
          </w:p>
        </w:tc>
        <w:tc>
          <w:tcPr>
            <w:tcW w:w="696"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酒类</w:t>
            </w:r>
          </w:p>
        </w:tc>
        <w:tc>
          <w:tcPr>
            <w:tcW w:w="573"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蒸馏酒</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白酒</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白酒、白酒（液态）、白酒（原酒）</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酒精度、铅（以Pb计）、甲醇、氰化物（以HCN计）、糖精钠（以糖精计）、甜蜜素（以环己基氨基磺酸计）、三氯蔗糖</w:t>
            </w:r>
          </w:p>
        </w:tc>
        <w:tc>
          <w:tcPr>
            <w:tcW w:w="37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8" w:hRule="atLeast"/>
          <w:jc w:val="center"/>
        </w:trPr>
        <w:tc>
          <w:tcPr>
            <w:tcW w:w="240"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配制酒</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以蒸馏酒及食用酒精为酒基的配制酒</w:t>
            </w:r>
          </w:p>
        </w:tc>
        <w:tc>
          <w:tcPr>
            <w:tcW w:w="2015"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酒精度、甲醇、氰化物（以HCN计）、甜蜜素（以环己基氨基磺酸计）</w:t>
            </w: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6" w:hRule="atLeast"/>
          <w:jc w:val="center"/>
        </w:trPr>
        <w:tc>
          <w:tcPr>
            <w:tcW w:w="24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13</w:t>
            </w:r>
          </w:p>
        </w:tc>
        <w:tc>
          <w:tcPr>
            <w:tcW w:w="696"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蔬菜制品</w:t>
            </w:r>
          </w:p>
        </w:tc>
        <w:tc>
          <w:tcPr>
            <w:tcW w:w="573"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蔬菜制品</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酱腌菜</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酱腌菜</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Pb计）、苯甲酸及其钠盐（以苯甲酸计）、山梨酸及其钾盐（以山梨酸计）、脱氢乙酸及其钠盐（以脱氢乙酸计）、糖精钠（以糖精计）、三氯蔗糖、甜蜜素（以环己基氨基磺酸计）、纽甜、阿斯巴甜、大肠菌群、防腐剂混合使用时各自用量占其最大使用量的比例之和</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jc w:val="center"/>
        </w:trPr>
        <w:tc>
          <w:tcPr>
            <w:tcW w:w="240"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蔬菜干制品</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蔬菜干制品</w:t>
            </w:r>
          </w:p>
        </w:tc>
        <w:tc>
          <w:tcPr>
            <w:tcW w:w="2015"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铅（以Pb计）、苯甲酸及其钠盐（以苯甲酸计）、山梨酸及其钾盐（以山梨酸计）、二氧化硫</w:t>
            </w:r>
          </w:p>
        </w:tc>
        <w:tc>
          <w:tcPr>
            <w:tcW w:w="37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color w:val="FF0000"/>
                <w:sz w:val="21"/>
                <w:szCs w:val="21"/>
                <w:highlight w:val="none"/>
              </w:rPr>
            </w:pPr>
            <w:r>
              <w:rPr>
                <w:rFonts w:hint="eastAsia" w:ascii="仿宋" w:hAnsi="仿宋" w:eastAsia="仿宋" w:cs="仿宋"/>
                <w:color w:val="FF0000"/>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2" w:hRule="atLeast"/>
          <w:jc w:val="center"/>
        </w:trPr>
        <w:tc>
          <w:tcPr>
            <w:tcW w:w="240"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食用菌制品</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腌渍食用菌</w:t>
            </w:r>
          </w:p>
        </w:tc>
        <w:tc>
          <w:tcPr>
            <w:tcW w:w="2015"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苯甲酸及其钠盐（以苯甲酸计）、山梨酸及其钾盐（以山梨酸计）、脱氢乙酸及其钠盐（以脱氢乙酸计）、防腐剂混合使用时各自用量占其最大使用量的比例之和</w:t>
            </w: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8" w:hRule="atLeast"/>
          <w:jc w:val="center"/>
        </w:trPr>
        <w:tc>
          <w:tcPr>
            <w:tcW w:w="24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14</w:t>
            </w:r>
          </w:p>
        </w:tc>
        <w:tc>
          <w:tcPr>
            <w:tcW w:w="696"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炒货食品及坚果制品</w:t>
            </w:r>
          </w:p>
        </w:tc>
        <w:tc>
          <w:tcPr>
            <w:tcW w:w="573"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炒货食品及坚果制品</w:t>
            </w:r>
          </w:p>
        </w:tc>
        <w:tc>
          <w:tcPr>
            <w:tcW w:w="524"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炒货食品及坚果制品（烘炒类、油炸类、其他类）</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开心果、杏仁、扁桃仁、松仁、瓜子</w:t>
            </w:r>
          </w:p>
        </w:tc>
        <w:tc>
          <w:tcPr>
            <w:tcW w:w="2015" w:type="pct"/>
            <w:vMerge w:val="restar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酸价（以脂肪计）、过氧化值（以脂肪计）、糖精钠（以糖精计）、甜蜜素（以环己基氨基磺酸计）、二氧化硫、大肠菌群、霉菌</w:t>
            </w:r>
          </w:p>
        </w:tc>
        <w:tc>
          <w:tcPr>
            <w:tcW w:w="37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color w:val="FF0000"/>
                <w:sz w:val="21"/>
                <w:szCs w:val="21"/>
                <w:highlight w:val="none"/>
              </w:rPr>
            </w:pPr>
            <w:r>
              <w:rPr>
                <w:rFonts w:hint="eastAsia" w:ascii="仿宋" w:hAnsi="仿宋" w:eastAsia="仿宋" w:cs="仿宋"/>
                <w:color w:val="FF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jc w:val="center"/>
        </w:trPr>
        <w:tc>
          <w:tcPr>
            <w:tcW w:w="240"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24"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其他炒货食品及坚果制品</w:t>
            </w:r>
          </w:p>
        </w:tc>
        <w:tc>
          <w:tcPr>
            <w:tcW w:w="2015" w:type="pct"/>
            <w:vMerge w:val="continue"/>
            <w:tcBorders>
              <w:tl2br w:val="nil"/>
              <w:tr2bl w:val="nil"/>
            </w:tcBorders>
            <w:noWrap/>
            <w:vAlign w:val="center"/>
          </w:tcPr>
          <w:p>
            <w:pPr>
              <w:spacing w:line="300" w:lineRule="exact"/>
              <w:rPr>
                <w:rFonts w:hint="eastAsia" w:ascii="仿宋" w:hAnsi="仿宋" w:eastAsia="仿宋" w:cs="仿宋"/>
                <w:sz w:val="21"/>
                <w:szCs w:val="21"/>
                <w:highlight w:val="none"/>
              </w:rPr>
            </w:pP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jc w:val="center"/>
        </w:trPr>
        <w:tc>
          <w:tcPr>
            <w:tcW w:w="24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15</w:t>
            </w:r>
          </w:p>
        </w:tc>
        <w:tc>
          <w:tcPr>
            <w:tcW w:w="696"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食糖</w:t>
            </w: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食糖</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食糖</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白糖、红糖、其他糖</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蔗糖、总糖、干燥失重、二氧化硫残留量、螨</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8" w:hRule="atLeast"/>
          <w:jc w:val="center"/>
        </w:trPr>
        <w:tc>
          <w:tcPr>
            <w:tcW w:w="24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16</w:t>
            </w:r>
          </w:p>
        </w:tc>
        <w:tc>
          <w:tcPr>
            <w:tcW w:w="696"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淀粉及淀粉制品</w:t>
            </w: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淀粉及淀粉制品</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淀粉制品</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粉丝粉条</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铅（以Pb计）、铝的残留量（干样品，以Al计）、二氧化硫残留量、苯甲酸及其钠盐（以苯甲酸计）、山梨酸及其钾盐（以山梨酸计）</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color w:val="FF0000"/>
                <w:sz w:val="21"/>
                <w:szCs w:val="21"/>
                <w:highlight w:val="none"/>
              </w:rPr>
            </w:pPr>
            <w:r>
              <w:rPr>
                <w:rFonts w:hint="eastAsia" w:ascii="仿宋" w:hAnsi="仿宋" w:eastAsia="仿宋" w:cs="仿宋"/>
                <w:color w:val="FF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24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17</w:t>
            </w:r>
          </w:p>
        </w:tc>
        <w:tc>
          <w:tcPr>
            <w:tcW w:w="696"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糕点</w:t>
            </w:r>
          </w:p>
        </w:tc>
        <w:tc>
          <w:tcPr>
            <w:tcW w:w="573"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糕点</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糕点</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糕点</w:t>
            </w:r>
          </w:p>
        </w:tc>
        <w:tc>
          <w:tcPr>
            <w:tcW w:w="2015" w:type="pct"/>
            <w:vMerge w:val="restar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酸价（以脂肪计）、过氧化值（以脂肪计）、糖精钠（以糖精计）、苯甲酸及其钠盐（以苯甲酸计）、山梨酸及其钾盐（以山梨酸计）、铝的残留量（干样品，以Al计）、丙酸及其钠盐、钙盐（以丙酸计）、脱氢乙酸及其钠盐（以脱氢乙酸计）、纳他霉素、防腐剂混合使用时各自用量占其最大使用量的比例之和</w:t>
            </w:r>
          </w:p>
        </w:tc>
        <w:tc>
          <w:tcPr>
            <w:tcW w:w="37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6" w:hRule="atLeast"/>
          <w:jc w:val="center"/>
        </w:trPr>
        <w:tc>
          <w:tcPr>
            <w:tcW w:w="240"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月饼</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月饼</w:t>
            </w:r>
          </w:p>
        </w:tc>
        <w:tc>
          <w:tcPr>
            <w:tcW w:w="2015" w:type="pct"/>
            <w:vMerge w:val="continue"/>
            <w:tcBorders>
              <w:tl2br w:val="nil"/>
              <w:tr2bl w:val="nil"/>
            </w:tcBorders>
            <w:noWrap/>
            <w:vAlign w:val="center"/>
          </w:tcPr>
          <w:p>
            <w:pPr>
              <w:spacing w:line="300" w:lineRule="exact"/>
              <w:rPr>
                <w:rFonts w:hint="eastAsia" w:ascii="仿宋" w:hAnsi="仿宋" w:eastAsia="仿宋" w:cs="仿宋"/>
                <w:sz w:val="21"/>
                <w:szCs w:val="21"/>
                <w:highlight w:val="none"/>
              </w:rPr>
            </w:pP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5" w:hRule="atLeast"/>
          <w:jc w:val="center"/>
        </w:trPr>
        <w:tc>
          <w:tcPr>
            <w:tcW w:w="24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18</w:t>
            </w:r>
          </w:p>
        </w:tc>
        <w:tc>
          <w:tcPr>
            <w:tcW w:w="696"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豆制品</w:t>
            </w:r>
          </w:p>
        </w:tc>
        <w:tc>
          <w:tcPr>
            <w:tcW w:w="573"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豆制品</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发酵性豆制品</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腐乳、豆豉、纳豆等</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Pb计）、苯甲酸及其钠盐（以苯甲酸计）、山梨酸及其钾盐（以山梨酸计）、脱氢乙酸及其钠盐（以脱氢乙酸计）、糖精钠（以糖精计）、甜蜜素（以环己基氨基磺酸计）、铝的残留量（干样品，以Al计）、大肠菌群</w:t>
            </w:r>
          </w:p>
        </w:tc>
        <w:tc>
          <w:tcPr>
            <w:tcW w:w="37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6" w:hRule="atLeast"/>
          <w:jc w:val="center"/>
        </w:trPr>
        <w:tc>
          <w:tcPr>
            <w:tcW w:w="240"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非发酵性豆制品</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豆干、豆腐、豆皮等</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w:t>
            </w:r>
          </w:p>
        </w:tc>
        <w:tc>
          <w:tcPr>
            <w:tcW w:w="37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8" w:hRule="atLeast"/>
          <w:jc w:val="center"/>
        </w:trPr>
        <w:tc>
          <w:tcPr>
            <w:tcW w:w="24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19</w:t>
            </w:r>
          </w:p>
        </w:tc>
        <w:tc>
          <w:tcPr>
            <w:tcW w:w="696"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蜂产品</w:t>
            </w: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蜂产品</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蜂蜜</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蜂蜜</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果糖和葡萄糖、蔗糖、菌落总数、霉菌计数、嗜渗酵母计数、甲硝唑、地美硝唑、氯霉素、洛硝达唑、呋喃妥因代谢物、呋喃西林代谢物、呋喃唑酮代谢物、山梨酸及其钾盐（以山梨酸计）</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jc w:val="center"/>
        </w:trPr>
        <w:tc>
          <w:tcPr>
            <w:tcW w:w="240"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20</w:t>
            </w:r>
          </w:p>
        </w:tc>
        <w:tc>
          <w:tcPr>
            <w:tcW w:w="696"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餐饮食品</w:t>
            </w:r>
          </w:p>
        </w:tc>
        <w:tc>
          <w:tcPr>
            <w:tcW w:w="573"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米面及其制品(自制</w:t>
            </w:r>
            <w:r>
              <w:rPr>
                <w:rStyle w:val="9"/>
                <w:rFonts w:hint="eastAsia" w:ascii="仿宋" w:hAnsi="仿宋" w:eastAsia="仿宋" w:cs="仿宋"/>
                <w:color w:val="auto"/>
                <w:sz w:val="21"/>
                <w:szCs w:val="21"/>
                <w:highlight w:val="none"/>
              </w:rPr>
              <w:t>)</w:t>
            </w:r>
          </w:p>
        </w:tc>
        <w:tc>
          <w:tcPr>
            <w:tcW w:w="524" w:type="pct"/>
            <w:vMerge w:val="restar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小麦粉制品(自制</w:t>
            </w:r>
            <w:r>
              <w:rPr>
                <w:rStyle w:val="9"/>
                <w:rFonts w:hint="eastAsia" w:ascii="仿宋" w:hAnsi="仿宋" w:eastAsia="仿宋" w:cs="仿宋"/>
                <w:color w:val="auto"/>
                <w:sz w:val="21"/>
                <w:szCs w:val="21"/>
                <w:highlight w:val="none"/>
              </w:rPr>
              <w:t>)</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馒头、花卷、包子(自制)</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苯甲酸及其钠盐（以苯甲酸计）、山梨酸及其钾盐（以山梨酸计）、糖精钠（以糖精计）</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24"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油条油饼(自制)</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铝的残留量（干样品，以Al计）</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5"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调味料（自制）</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调味料（自制）</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火锅麻辣烫底料（自制）</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罂粟碱、吗啡、可待因、那可丁</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9"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餐饮具</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复用餐饮具</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复用餐饮具（餐馆自行消毒、集中清洗消毒服务单位消毒）</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阴离子合成洗涤剂（以十二烷基苯磺酸钠计）、大肠菌群</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7" w:hRule="atLeast"/>
          <w:jc w:val="center"/>
        </w:trPr>
        <w:tc>
          <w:tcPr>
            <w:tcW w:w="240"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696" w:type="pct"/>
            <w:vMerge w:val="continue"/>
            <w:tcBorders>
              <w:tl2br w:val="nil"/>
              <w:tr2bl w:val="nil"/>
            </w:tcBorders>
            <w:noWrap/>
            <w:vAlign w:val="center"/>
          </w:tcPr>
          <w:p>
            <w:pPr>
              <w:spacing w:line="300" w:lineRule="exact"/>
              <w:jc w:val="center"/>
              <w:rPr>
                <w:rFonts w:hint="eastAsia" w:ascii="仿宋" w:hAnsi="仿宋" w:eastAsia="仿宋" w:cs="仿宋"/>
                <w:sz w:val="21"/>
                <w:szCs w:val="21"/>
                <w:highlight w:val="none"/>
              </w:rPr>
            </w:pPr>
          </w:p>
        </w:tc>
        <w:tc>
          <w:tcPr>
            <w:tcW w:w="573"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其他餐饮食品</w:t>
            </w:r>
          </w:p>
        </w:tc>
        <w:tc>
          <w:tcPr>
            <w:tcW w:w="524"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酒类（餐饮）</w:t>
            </w:r>
          </w:p>
        </w:tc>
        <w:tc>
          <w:tcPr>
            <w:tcW w:w="579"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散装配制酒（餐饮单位自制）</w:t>
            </w:r>
          </w:p>
        </w:tc>
        <w:tc>
          <w:tcPr>
            <w:tcW w:w="2015" w:type="pct"/>
            <w:tcBorders>
              <w:tl2br w:val="nil"/>
              <w:tr2bl w:val="nil"/>
            </w:tcBorders>
            <w:noWrap/>
            <w:vAlign w:val="center"/>
          </w:tcPr>
          <w:p>
            <w:pPr>
              <w:widowControl/>
              <w:spacing w:line="300" w:lineRule="exact"/>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糖精钠（以糖精计）、甜蜜素（以环己基氨基磺酸计）、三氯蔗糖</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5</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4629" w:type="pct"/>
            <w:gridSpan w:val="6"/>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合计</w:t>
            </w:r>
          </w:p>
        </w:tc>
        <w:tc>
          <w:tcPr>
            <w:tcW w:w="370" w:type="pct"/>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5000" w:type="pct"/>
            <w:gridSpan w:val="7"/>
            <w:tcBorders>
              <w:tl2br w:val="nil"/>
              <w:tr2bl w:val="nil"/>
            </w:tcBorders>
            <w:noWrap/>
            <w:vAlign w:val="center"/>
          </w:tcPr>
          <w:p>
            <w:pPr>
              <w:widowControl/>
              <w:spacing w:line="300" w:lineRule="exact"/>
              <w:jc w:val="center"/>
              <w:textAlignment w:val="center"/>
              <w:rPr>
                <w:rFonts w:hint="eastAsia" w:ascii="仿宋" w:hAnsi="仿宋" w:eastAsia="仿宋" w:cs="仿宋"/>
                <w:sz w:val="21"/>
                <w:szCs w:val="21"/>
                <w:highlight w:val="none"/>
              </w:rPr>
            </w:pPr>
            <w:r>
              <w:rPr>
                <w:rFonts w:hint="eastAsia" w:ascii="仿宋" w:hAnsi="仿宋" w:eastAsia="仿宋" w:cs="仿宋"/>
                <w:color w:val="auto"/>
                <w:sz w:val="21"/>
                <w:szCs w:val="21"/>
                <w:highlight w:val="none"/>
              </w:rPr>
              <w:t>注：采购方可根据《国家食品安全监督抽检实施细则》（2023版）和当年总局、省局、市局文件调整抽检品种和项目。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3YWZlNjZjOTZmMTM2MjJlZDJkOGRkNTc0OWVjODUifQ=="/>
    <w:docVar w:name="KSO_WPS_MARK_KEY" w:val="a43d83ac-3d6b-4b4d-b323-a69019edc949"/>
  </w:docVars>
  <w:rsids>
    <w:rsidRoot w:val="44443EA6"/>
    <w:rsid w:val="44443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rPr>
      <w:rFonts w:ascii="等线" w:hAnsi="等线" w:eastAsia="等线" w:cs="Times New Roman"/>
      <w:szCs w:val="22"/>
    </w:rPr>
  </w:style>
  <w:style w:type="paragraph" w:styleId="3">
    <w:name w:val="Body Text"/>
    <w:basedOn w:val="1"/>
    <w:next w:val="1"/>
    <w:qFormat/>
    <w:uiPriority w:val="99"/>
    <w:rPr>
      <w:szCs w:val="20"/>
    </w:rPr>
  </w:style>
  <w:style w:type="paragraph" w:customStyle="1" w:styleId="6">
    <w:name w:val="UserStyle_2"/>
    <w:basedOn w:val="1"/>
    <w:qFormat/>
    <w:uiPriority w:val="0"/>
    <w:pPr>
      <w:spacing w:line="360" w:lineRule="auto"/>
      <w:ind w:firstLine="200" w:firstLineChars="200"/>
      <w:jc w:val="both"/>
      <w:textAlignment w:val="auto"/>
    </w:pPr>
    <w:rPr>
      <w:sz w:val="20"/>
      <w:szCs w:val="24"/>
    </w:rPr>
  </w:style>
  <w:style w:type="character" w:customStyle="1" w:styleId="7">
    <w:name w:val="NormalCharacter"/>
    <w:qFormat/>
    <w:uiPriority w:val="0"/>
    <w:rPr>
      <w:kern w:val="2"/>
      <w:sz w:val="21"/>
      <w:szCs w:val="24"/>
      <w:lang w:val="en-US" w:eastAsia="zh-CN" w:bidi="ar-SA"/>
    </w:rPr>
  </w:style>
  <w:style w:type="paragraph" w:customStyle="1" w:styleId="8">
    <w:name w:val="正文2"/>
    <w:qFormat/>
    <w:uiPriority w:val="0"/>
    <w:rPr>
      <w:rFonts w:ascii="Times New Roman" w:hAnsi="Times New Roman" w:eastAsia="Times New Roman" w:cs="Times New Roman"/>
      <w:sz w:val="24"/>
      <w:szCs w:val="24"/>
      <w:lang w:val="en-US" w:eastAsia="zh-CN" w:bidi="ar-SA"/>
    </w:rPr>
  </w:style>
  <w:style w:type="character" w:customStyle="1" w:styleId="9">
    <w:name w:val="font2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2024-04-22T03:24:00Z</dcterms:created>
  <dc:creator></dc:creator>
  <cp:lastModifiedBy></cp:lastModifiedBy>
  <dcterms:modified xsi:type="dcterms:W3CDTF">2024-04-22T03:25:11Z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B48A7A030087402D8A83B7C0AF6ED718_11</vt:lpwstr>
  </property>
</Properties>
</file>