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第三章 谈判项目技术、服务、商务及其他要求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3.1、采购项目概况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购买一批结球甘蓝、快菜种子、南瓜、长白萝卜的蔬菜种子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3.2、采购内容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3.2.1标的清单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采购包预算金额（元）: 694,500.00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采购包最高限价（元）: 694,500.00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379"/>
        <w:gridCol w:w="736"/>
        <w:gridCol w:w="1314"/>
        <w:gridCol w:w="657"/>
        <w:gridCol w:w="1136"/>
        <w:gridCol w:w="617"/>
        <w:gridCol w:w="657"/>
        <w:gridCol w:w="657"/>
        <w:gridCol w:w="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结球甘蓝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260,100.00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快菜种子 （不结球白菜）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68,924.00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195,055.00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南瓜种子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32,500.00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萝卜种子 （长白萝卜）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20,500.00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206,845.00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3.3、技术参数及要求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标的名称：结球甘蓝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tbl>
            <w:tblPr>
              <w:tblW w:w="102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9"/>
              <w:gridCol w:w="4868"/>
              <w:gridCol w:w="1425"/>
              <w:gridCol w:w="1585"/>
              <w:gridCol w:w="99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45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详细要求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规格型号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控制单价/元/袋</w:t>
                  </w:r>
                </w:p>
              </w:tc>
              <w:tc>
                <w:tcPr>
                  <w:tcW w:w="9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资金预算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结球甘蓝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120" w:afterAutospacing="0" w:line="480" w:lineRule="atLeast"/>
                    <w:ind w:left="0" w:right="0" w:hanging="36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产品应当符合GB16715.4-2010国家相关标准；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120" w:afterAutospacing="0" w:line="480" w:lineRule="atLeast"/>
                    <w:ind w:left="0" w:right="0" w:hanging="36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叶球扁圆、平均单球净重≥2.4Kg、中抗或抗黑腐病、枯萎病、净菜率≥85%，杂交种子的质量要求：纯度≥96.0%,净度≥99.0%,发芽率≥85%,水分≤7.0%；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12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3、2021至递交文件截止之日，在四川境内登记品种，提供品种登记证书、品种简介（即品种的特征特性）且与农业农村主管部门登记备案信息一致，提供网页截图证明。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10g/袋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8.67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260100元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标的名称：快菜种子 （不结球白菜）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tbl>
            <w:tblPr>
              <w:tblW w:w="102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9"/>
              <w:gridCol w:w="4868"/>
              <w:gridCol w:w="1425"/>
              <w:gridCol w:w="1585"/>
              <w:gridCol w:w="99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45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详细要求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规格型号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控制单价/元/袋</w:t>
                  </w:r>
                </w:p>
              </w:tc>
              <w:tc>
                <w:tcPr>
                  <w:tcW w:w="9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资金预算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快菜种子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（不结球白菜）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12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、种子质量要求；纯度≥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96.0%,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净度≥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98.0%,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发芽率≥ 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85%,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水分≤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7.0%;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20g/袋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2.83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195055元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标的名称：南瓜种子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tbl>
            <w:tblPr>
              <w:tblW w:w="102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9"/>
              <w:gridCol w:w="4868"/>
              <w:gridCol w:w="1425"/>
              <w:gridCol w:w="1585"/>
              <w:gridCol w:w="99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45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详细要求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规格型号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控制单价/元/袋</w:t>
                  </w:r>
                </w:p>
              </w:tc>
              <w:tc>
                <w:tcPr>
                  <w:tcW w:w="9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资金预算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南瓜种子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12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、种子质量要求：纯度≥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96.0%,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净度≥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99.0%,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发芽率≥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60%,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水分≤</w:t>
                  </w: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bdr w:val="none" w:color="auto" w:sz="0" w:space="0"/>
                    </w:rPr>
                    <w:t>9.0%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；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50g/袋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32500元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标的名称：萝卜种子 （长白萝卜）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tbl>
            <w:tblPr>
              <w:tblW w:w="102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9"/>
              <w:gridCol w:w="4868"/>
              <w:gridCol w:w="1425"/>
              <w:gridCol w:w="1585"/>
              <w:gridCol w:w="99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45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详细要求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规格型号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控制单价/元/袋</w:t>
                  </w:r>
                </w:p>
              </w:tc>
              <w:tc>
                <w:tcPr>
                  <w:tcW w:w="9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资金预算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萝卜种子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（长白萝卜）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12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1、种子质量要求（杂交种子）：纯度≥94.0%,净度≥98.0%,发芽率≥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85%,水分≤8.0%；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20g/袋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10.09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206845元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本项目预算资金全部用于上述物资的采购，投标人仅需以单价报价，单价之和作为评审依据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tbl>
            <w:tblPr>
              <w:tblW w:w="102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7"/>
              <w:gridCol w:w="887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服务要求</w:t>
                  </w:r>
                </w:p>
              </w:tc>
              <w:tc>
                <w:tcPr>
                  <w:tcW w:w="83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hanging="36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供应商要保障种子的品质、产量，并根据南充地区气候、土质条件、抗寒、抗病条件提供合适当地种植的种子种苗；保证种子能在项目所在地的环境条件中正常使用。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hanging="36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供应商需要帮助采购人对南瓜种子进行免费育苗。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hanging="36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供应商需提供相关的技术指导与培训等相关服务，包括但不限于种子的主要性状、主要栽培措施、适应性等使用条件进行说明、风险提示；培训时间和地点由采购人安排，种植至收获期间全程安排技术人员协助指导，其费用已包含在报价中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hanging="36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人员要求：供应商应为本项目成立专门的项目组，在联络、供货、技术指导、售后等环节提供优质专业的服务。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3.4、商务要求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3.4.1交货时间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自合同签订之日起10日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3.4.2交货地点和方式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采购人指定地点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3.4.3支付方式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分期付款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3.4.4支付约定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合同签订生效后， ，达到付款条件起 10 日内，支付合同总金额的 30.00%。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验收合格后， ，达到付款条件起 30 日内，支付合同总金额的 67.00%。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项目验收满一个作物的生长周期后无质量问题 ，达到付款条件起 10 日内，支付合同总金额的 3.00%。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3.4.5验收标准和方法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(1)符合国家、行业标准、四川省地方标准规定的验收标准。（2）验收时如发现所交付的货物有短装、次品、损坏或其它不符合标准及合同、文件规定之情形者，采购人应做出详尽的现场记录，或由采购人与成交人双方签署备忘录，此现场记录或备忘录可用作补充、缺失和更换损坏部件的有效证据，由此产生的时间延误与有关费用由成交人承担；(3)其他未尽事宜应严格按照《财政部关于进一步加强政府采购需求和履约验收管理的指导意见》（财库〔2016〕205号）、《政府采购需求管理办法》（财库〔2021〕22号）的要求进行验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3.4.6包装方式及运输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3.4.7质量保修范围和保修期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①本项目质保期限为所投产品的一个生长周期（质保期为验收合格之日起开始计算）；②供应商应有完善的技术支持与服务体系，专人负责与采购人联系售后服务事宜，必要的售后机具配置、具有专门固定的售后服务电话，并能提供本地化服务；③供应商在接到采购人售后需求后 30 分钟内响应，5 小时内到达指定地点进行现场指导；因特殊原因未能准时到达的，应向采购人说明并征得其同意。逾期未响应的，供应商应向采购人支付合同总价1%的违约金，供应商 3 次未能完成响应需求的，视作供应商未能按时交货，采购人有权退货并追究供应商的违约责任；④供应商应针对本项目实际情况制定售后服务方案，方案包括但不限于：服务机构设置及人员安排、培训方案、售后保障措施、服务应急响应方案。并指派专人负责与采购人联系售后服务事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3.4.8违约责任及解决争议的方法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①如因成交供应商工作人员在履行职务过程中的疏忽、失职、过错等故意或者过失原因给采购人造成损失或侵害，包括但不限于采购人本身的财产损失、由此而导致的采购人对任何第三方的法律责任等，成交供应商对此均应承担全部的赔偿责任。②因货物的质量问题发生争议，由质量技术监督部门或其指定的质量鉴定机构进行质量鉴定。货物符合标准的，鉴定费由甲方承担；货物不符合质量标准的，鉴定费由乙方承担。③合同履行期间，若双方发生争议，可协商或由有关部门调解解决，协商或调解不成的，由当事人依法向当地法向法院提起诉讼维护其合法权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3.5其他要求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1、包装和运输：（1）供应商应负责种子种苗全过程的运输及装卸（包含种苗的起苗、分级包装）等；（2）供应商所供货物必须为制造商原厂包装，产品或者包装上的标准必须真实，包装标识及质量符合国家相关规定，凡由于包装不良造成的损失和由此产生的费用均由供应商承担，提供承诺函，格式自拟（实质性要求）；（3）其他未尽事宜须严格按照《商品包装政府采购需求标准(试行)》、《快递包装政府采购需求标准(试行)》(财办库〔2020〕123号)的要求进行产品及相关快递服务的包装，2、合同签订前，成交供应商须向采购人提供所投产品《农作物种子生产经营许可证》(主证、副证）原件供采购人核验，若不能提供或所提供《农作物种子生产经营许可证》(主证、副证）与《谈判文件》不一致，采购人将拒绝签订合同，并按提供虚假资料骗取中标（成交）处理（提供承诺函，格式自拟，实质性要求）。3、由于本项目实施季节性的原因，成交供应商应在成交通知书发出之日起7日内与采购人签订采购合同。（提供承诺函，格式自拟，实质性要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72F2B"/>
    <w:multiLevelType w:val="multilevel"/>
    <w:tmpl w:val="06D72F2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377B794A"/>
    <w:multiLevelType w:val="multilevel"/>
    <w:tmpl w:val="377B794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ODQxNmZjNDhlOWJjZmQwMzgzZmU1YzM0YzE4N2UifQ=="/>
  </w:docVars>
  <w:rsids>
    <w:rsidRoot w:val="00000000"/>
    <w:rsid w:val="04F36E99"/>
    <w:rsid w:val="180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2024-03-21T01:48:00Z</dcterms:created>
  <dc:creator>Administrator</dc:creator>
  <cp:lastModifiedBy>WPS_1684375789</cp:lastModifiedBy>
  <dcterms:modified xsi:type="dcterms:W3CDTF">2024-03-21T02:44:51Z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CD6516FFED6D4B7DB450A452DEFE29C6_12</vt:lpwstr>
  </property>
</Properties>
</file>