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outlineLvl w:val="2"/>
        <w:rPr>
          <w:rFonts w:hint="eastAsia" w:eastAsiaTheme="minorEastAsia"/>
          <w:b/>
          <w:sz w:val="48"/>
          <w:szCs w:val="48"/>
          <w:lang w:eastAsia="zh-CN"/>
        </w:rPr>
      </w:pPr>
      <w:r>
        <w:rPr>
          <w:rFonts w:hint="eastAsia"/>
          <w:b/>
          <w:sz w:val="48"/>
          <w:szCs w:val="48"/>
          <w:lang w:eastAsia="zh-CN"/>
        </w:rPr>
        <w:t>更正内容</w:t>
      </w:r>
    </w:p>
    <w:p>
      <w:pPr>
        <w:pStyle w:val="5"/>
        <w:jc w:val="both"/>
        <w:outlineLvl w:val="2"/>
      </w:pPr>
      <w:r>
        <w:rPr>
          <w:b/>
          <w:sz w:val="28"/>
        </w:rPr>
        <w:t>采购项目名称：特殊困难老年人家庭适老化改造</w:t>
      </w:r>
    </w:p>
    <w:p>
      <w:pPr>
        <w:pStyle w:val="5"/>
        <w:jc w:val="both"/>
        <w:rPr>
          <w:rFonts w:hint="eastAsia"/>
          <w:b/>
          <w:bCs/>
          <w:sz w:val="36"/>
          <w:szCs w:val="36"/>
          <w:lang w:eastAsia="zh-CN"/>
        </w:rPr>
      </w:pPr>
      <w:r>
        <w:rPr>
          <w:b/>
          <w:sz w:val="28"/>
        </w:rPr>
        <w:t>采购项目编号：N5113252024000011</w:t>
      </w:r>
    </w:p>
    <w:p>
      <w:pPr>
        <w:rPr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一、</w:t>
      </w:r>
      <w:r>
        <w:rPr>
          <w:b/>
          <w:sz w:val="32"/>
          <w:szCs w:val="32"/>
        </w:rPr>
        <w:t>第三章 招标项目技术、服务、商务及其他要求</w:t>
      </w:r>
    </w:p>
    <w:p>
      <w:pPr>
        <w:pStyle w:val="5"/>
        <w:outlineLvl w:val="2"/>
      </w:pPr>
      <w:r>
        <w:rPr>
          <w:b/>
          <w:sz w:val="28"/>
        </w:rPr>
        <w:t>3.1采购项目概况</w:t>
      </w:r>
    </w:p>
    <w:p>
      <w:pPr>
        <w:pStyle w:val="5"/>
      </w:pPr>
      <w:r>
        <w:t>2.改造对象 西充县60周岁（含）以上散居特困老年人家庭、低保及低收入边缘老年人家庭，以及计划生育特殊老年人家庭。</w:t>
      </w:r>
      <w:r>
        <w:rPr>
          <w:highlight w:val="yellow"/>
        </w:rPr>
        <w:t>每户改造标准为1000元，共计改造1560户，具体名册由采购人确定。 3.改造补助 每户改造标准为1000元。</w:t>
      </w:r>
    </w:p>
    <w:p>
      <w:pPr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更改为：</w:t>
      </w:r>
    </w:p>
    <w:p>
      <w:pPr>
        <w:pStyle w:val="5"/>
        <w:numPr>
          <w:ilvl w:val="0"/>
          <w:numId w:val="1"/>
        </w:numPr>
        <w:ind w:left="100" w:leftChars="0" w:firstLine="0" w:firstLineChars="0"/>
        <w:rPr>
          <w:rFonts w:hint="eastAsia"/>
          <w:color w:val="auto"/>
          <w:lang w:val="en-US" w:eastAsia="zh-CN"/>
        </w:rPr>
      </w:pPr>
      <w:r>
        <w:t>改造对象 西充县60周岁（含）以上散居特困老年人家庭、低保及低收入边缘老年人家庭，以及计划生育特殊老年人家庭。</w:t>
      </w:r>
      <w:r>
        <w:rPr>
          <w:color w:val="auto"/>
        </w:rPr>
        <w:t>改造标准为</w:t>
      </w:r>
      <w:r>
        <w:rPr>
          <w:rFonts w:hint="eastAsia"/>
          <w:color w:val="auto"/>
          <w:lang w:val="en-US" w:eastAsia="zh-CN"/>
        </w:rPr>
        <w:t>平均每户</w:t>
      </w:r>
      <w:r>
        <w:rPr>
          <w:color w:val="auto"/>
        </w:rPr>
        <w:t xml:space="preserve">1000元，共计改造1560户，具体名册由采购人确定。 </w:t>
      </w:r>
      <w:r>
        <w:rPr>
          <w:rFonts w:hint="eastAsia"/>
          <w:color w:val="auto"/>
          <w:lang w:val="en-US" w:eastAsia="zh-CN"/>
        </w:rPr>
        <w:t>3.改造对象不支付本次改造产生的任何费用，改造标准为平均每户1000元。</w:t>
      </w:r>
    </w:p>
    <w:p>
      <w:pPr>
        <w:pStyle w:val="5"/>
        <w:outlineLvl w:val="2"/>
      </w:pPr>
      <w:r>
        <w:rPr>
          <w:b/>
          <w:sz w:val="28"/>
        </w:rPr>
        <w:t>3.3技术要求</w:t>
      </w:r>
    </w:p>
    <w:p>
      <w:pPr>
        <w:pStyle w:val="5"/>
        <w:numPr>
          <w:ilvl w:val="0"/>
          <w:numId w:val="0"/>
        </w:numPr>
        <w:ind w:left="100" w:leftChars="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①</w:t>
      </w:r>
      <w:r>
        <w:rPr>
          <w:rFonts w:ascii="宋体" w:hAnsi="宋体" w:eastAsia="宋体" w:cs="宋体"/>
          <w:b w:val="0"/>
          <w:bCs w:val="0"/>
          <w:sz w:val="28"/>
          <w:szCs w:val="28"/>
        </w:rPr>
        <w:t>不锈钢护栏改造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pStyle w:val="5"/>
        <w:ind w:firstLine="420"/>
        <w:jc w:val="both"/>
      </w:pPr>
      <w:r>
        <w:rPr>
          <w:rFonts w:ascii="宋体" w:hAnsi="宋体" w:eastAsia="宋体" w:cs="宋体"/>
          <w:sz w:val="21"/>
          <w:shd w:val="clear" w:fill="FFFFFF"/>
        </w:rPr>
        <w:t>★（1）面管采用 50 型不锈钢管，壁厚≥1mm；柱管采用 38 型不锈钢管，壁厚≥1mm、走管采用 32 型不锈钢管，壁厚≥0.8mm、花管采用 19 型不锈钢管，壁厚≥0.6mm、</w:t>
      </w:r>
      <w:r>
        <w:rPr>
          <w:rFonts w:ascii="宋体" w:hAnsi="宋体" w:eastAsia="宋体" w:cs="宋体"/>
          <w:sz w:val="21"/>
          <w:highlight w:val="yellow"/>
          <w:shd w:val="clear" w:fill="FFFFFF"/>
        </w:rPr>
        <w:t>亚狐焊</w:t>
      </w:r>
      <w:r>
        <w:rPr>
          <w:rFonts w:ascii="宋体" w:hAnsi="宋体" w:eastAsia="宋体" w:cs="宋体"/>
          <w:sz w:val="21"/>
          <w:shd w:val="clear" w:fill="FFFFFF"/>
        </w:rPr>
        <w:t>焊接技术，焊接处做抛光处理，无毛刺不伤手；</w:t>
      </w:r>
    </w:p>
    <w:p>
      <w:pPr>
        <w:pStyle w:val="5"/>
        <w:numPr>
          <w:ilvl w:val="0"/>
          <w:numId w:val="0"/>
        </w:numPr>
        <w:ind w:left="100" w:leftChars="0"/>
        <w:rPr>
          <w:rFonts w:hint="default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更改为：</w:t>
      </w:r>
    </w:p>
    <w:p>
      <w:pPr>
        <w:pStyle w:val="5"/>
        <w:ind w:firstLine="420"/>
        <w:jc w:val="both"/>
      </w:pPr>
      <w:r>
        <w:rPr>
          <w:rFonts w:ascii="宋体" w:hAnsi="宋体" w:eastAsia="宋体" w:cs="宋体"/>
          <w:sz w:val="21"/>
          <w:shd w:val="clear" w:fill="FFFFFF"/>
        </w:rPr>
        <w:t>★（1）面管采用 50 型不锈钢管，壁厚≥1mm；柱管采用 38 型不锈钢管，壁厚≥1mm、走管采用 32 型不锈钢管，壁厚≥0.8mm、花管采用 19 型不锈钢管，壁厚≥0.6mm、</w:t>
      </w:r>
      <w:r>
        <w:rPr>
          <w:rStyle w:val="4"/>
          <w:rFonts w:ascii="Arial" w:hAnsi="Arial" w:eastAsia="宋体" w:cs="Arial"/>
          <w:i w:val="0"/>
          <w:iCs w:val="0"/>
          <w:caps w:val="0"/>
          <w:color w:val="auto"/>
          <w:spacing w:val="0"/>
          <w:sz w:val="19"/>
          <w:szCs w:val="19"/>
          <w:shd w:val="clear" w:fill="FFFFFF"/>
        </w:rPr>
        <w:t>氩弧</w:t>
      </w:r>
      <w:r>
        <w:rPr>
          <w:rStyle w:val="4"/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19"/>
          <w:szCs w:val="19"/>
          <w:shd w:val="clear" w:fill="FFFFFF"/>
        </w:rPr>
        <w:t>焊</w:t>
      </w:r>
      <w:r>
        <w:rPr>
          <w:rFonts w:ascii="宋体" w:hAnsi="宋体" w:eastAsia="宋体" w:cs="宋体"/>
          <w:sz w:val="21"/>
          <w:shd w:val="clear" w:fill="FFFFFF"/>
        </w:rPr>
        <w:t>焊接技术，焊接处做抛光处理，无毛刺不伤手；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②</w:t>
      </w:r>
      <w:r>
        <w:rPr>
          <w:rFonts w:ascii="宋体" w:hAnsi="宋体" w:eastAsia="宋体" w:cs="宋体"/>
          <w:sz w:val="28"/>
          <w:szCs w:val="28"/>
        </w:rPr>
        <w:t>沐浴椅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rPr>
          <w:rFonts w:ascii="宋体" w:hAnsi="宋体" w:eastAsia="宋体" w:cs="宋体"/>
          <w:sz w:val="21"/>
          <w:highlight w:val="yellow"/>
          <w:shd w:val="clear" w:fill="FFFFFF"/>
        </w:rPr>
      </w:pPr>
      <w:r>
        <w:rPr>
          <w:rFonts w:ascii="宋体" w:hAnsi="宋体" w:eastAsia="宋体" w:cs="宋体"/>
          <w:sz w:val="21"/>
          <w:shd w:val="clear" w:fill="FFFFFF"/>
        </w:rPr>
        <w:t>★</w:t>
      </w:r>
      <w:r>
        <w:rPr>
          <w:rFonts w:ascii="Calibri" w:hAnsi="Calibri" w:eastAsia="Calibri" w:cs="Calibri"/>
          <w:sz w:val="21"/>
          <w:shd w:val="clear" w:fill="FFFFFF"/>
        </w:rPr>
        <w:t>9</w:t>
      </w:r>
      <w:r>
        <w:rPr>
          <w:rFonts w:ascii="宋体" w:hAnsi="宋体" w:eastAsia="宋体" w:cs="宋体"/>
          <w:sz w:val="21"/>
          <w:shd w:val="clear" w:fill="FFFFFF"/>
        </w:rPr>
        <w:t>、</w:t>
      </w:r>
      <w:r>
        <w:rPr>
          <w:rFonts w:ascii="宋体" w:hAnsi="宋体" w:eastAsia="宋体" w:cs="宋体"/>
          <w:sz w:val="21"/>
          <w:highlight w:val="yellow"/>
          <w:shd w:val="clear" w:fill="FFFFFF"/>
        </w:rPr>
        <w:t>必须提供椅腿前向静载荷试验，椅子倾翻试验，椅背冲击试验等</w:t>
      </w:r>
      <w:r>
        <w:rPr>
          <w:rFonts w:ascii="Calibri" w:hAnsi="Calibri" w:eastAsia="Calibri" w:cs="Calibri"/>
          <w:sz w:val="21"/>
          <w:highlight w:val="yellow"/>
          <w:shd w:val="clear" w:fill="FFFFFF"/>
        </w:rPr>
        <w:t>13</w:t>
      </w:r>
      <w:r>
        <w:rPr>
          <w:rFonts w:ascii="宋体" w:hAnsi="宋体" w:eastAsia="宋体" w:cs="宋体"/>
          <w:sz w:val="21"/>
          <w:highlight w:val="yellow"/>
          <w:shd w:val="clear" w:fill="FFFFFF"/>
        </w:rPr>
        <w:t>项安全试验的检测报告复印件。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  <w:lang w:eastAsia="zh-CN"/>
        </w:rPr>
        <w:t>更改为：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shd w:val="clear" w:fill="FFFFFF"/>
          <w:lang w:eastAsia="zh-CN"/>
        </w:rPr>
      </w:pPr>
      <w:r>
        <w:rPr>
          <w:rFonts w:ascii="宋体" w:hAnsi="宋体" w:eastAsia="宋体" w:cs="宋体"/>
          <w:sz w:val="21"/>
        </w:rPr>
        <w:t>沐浴椅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</w:p>
    <w:p>
      <w:pPr>
        <w:rPr>
          <w:rFonts w:hint="eastAsia" w:ascii="宋体" w:hAnsi="宋体" w:eastAsia="宋体" w:cs="宋体"/>
          <w:color w:val="auto"/>
          <w:sz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trike w:val="0"/>
          <w:dstrike w:val="0"/>
          <w:color w:val="auto"/>
          <w:sz w:val="21"/>
          <w:shd w:val="clear" w:fill="FFFFFF"/>
        </w:rPr>
        <w:t>★</w:t>
      </w:r>
      <w:r>
        <w:rPr>
          <w:rFonts w:ascii="Calibri" w:hAnsi="Calibri" w:eastAsia="Calibri" w:cs="Calibri"/>
          <w:strike w:val="0"/>
          <w:dstrike w:val="0"/>
          <w:color w:val="auto"/>
          <w:sz w:val="21"/>
          <w:shd w:val="clear" w:fill="FFFFFF"/>
        </w:rPr>
        <w:t>9</w:t>
      </w:r>
      <w:r>
        <w:rPr>
          <w:rFonts w:ascii="宋体" w:hAnsi="宋体" w:eastAsia="宋体" w:cs="宋体"/>
          <w:strike w:val="0"/>
          <w:dstrike w:val="0"/>
          <w:color w:val="auto"/>
          <w:sz w:val="21"/>
          <w:shd w:val="clear" w:fill="FFFFFF"/>
        </w:rPr>
        <w:t>、</w:t>
      </w:r>
      <w:r>
        <w:rPr>
          <w:rFonts w:ascii="宋体" w:hAnsi="宋体" w:eastAsia="宋体" w:cs="宋体"/>
          <w:color w:val="auto"/>
          <w:sz w:val="21"/>
          <w:shd w:val="clear" w:fill="FFFFFF"/>
        </w:rPr>
        <w:t>必须</w:t>
      </w:r>
      <w:r>
        <w:rPr>
          <w:rFonts w:hint="eastAsia" w:ascii="宋体" w:hAnsi="宋体" w:eastAsia="宋体" w:cs="宋体"/>
          <w:color w:val="auto"/>
          <w:sz w:val="21"/>
          <w:shd w:val="clear" w:fill="FFFFFF"/>
          <w:lang w:val="en-US" w:eastAsia="zh-CN"/>
        </w:rPr>
        <w:t>提供符合GBT 3325-2017 金属家具通用技术条件</w:t>
      </w:r>
      <w:r>
        <w:rPr>
          <w:rFonts w:ascii="宋体" w:hAnsi="宋体" w:eastAsia="宋体" w:cs="宋体"/>
          <w:color w:val="auto"/>
          <w:sz w:val="21"/>
          <w:shd w:val="clear" w:fill="FFFFFF"/>
        </w:rPr>
        <w:t>13项安全试验的检测报告复印件</w:t>
      </w:r>
      <w:r>
        <w:rPr>
          <w:rFonts w:hint="eastAsia" w:ascii="宋体" w:hAnsi="宋体" w:eastAsia="宋体" w:cs="宋体"/>
          <w:color w:val="auto"/>
          <w:sz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hd w:val="clear" w:fill="FFFFFF"/>
          <w:lang w:val="en-US" w:eastAsia="zh-CN"/>
        </w:rPr>
        <w:t>13项包括：椅背座面静载荷联合试验、扶手侧向静载荷试验、扶手垂直向下静载荷试验、椅背座面耐久性联合试验、椅腿前向静载荷试验、椅腿侧向静载荷试验、座面冲击试验、椅背冲击试验、扶手冲击试验、跌落试验、椅子向前倾翻试验、扶手椅侧向倾翻试验、向后倾翻试验。</w:t>
      </w:r>
    </w:p>
    <w:p>
      <w:pPr>
        <w:rPr>
          <w:rFonts w:hint="eastAsia" w:ascii="宋体" w:hAnsi="宋体" w:eastAsia="宋体" w:cs="宋体"/>
          <w:color w:val="auto"/>
          <w:sz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hd w:val="clear" w:fill="FFFFFF"/>
          <w:lang w:val="en-US" w:eastAsia="zh-CN"/>
        </w:rPr>
        <w:t>开标时间顺延，其他内容不变。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22EFE8"/>
    <w:multiLevelType w:val="singleLevel"/>
    <w:tmpl w:val="BE22EFE8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ODdmMGRmMDc1ZmM4NDYwZGZmYTcxMWQxZTMzNGMifQ=="/>
  </w:docVars>
  <w:rsids>
    <w:rsidRoot w:val="4CFA2553"/>
    <w:rsid w:val="020A383A"/>
    <w:rsid w:val="30470A52"/>
    <w:rsid w:val="35FA7C22"/>
    <w:rsid w:val="4CFA2553"/>
    <w:rsid w:val="4D1075DC"/>
    <w:rsid w:val="4EB26E94"/>
    <w:rsid w:val="502461B5"/>
    <w:rsid w:val="61B34FA6"/>
    <w:rsid w:val="68C77275"/>
    <w:rsid w:val="6C5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autoRedefine/>
    <w:qFormat/>
    <w:uiPriority w:val="0"/>
    <w:rPr>
      <w:i/>
    </w:rPr>
  </w:style>
  <w:style w:type="paragraph" w:customStyle="1" w:styleId="5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2024-03-29T00:56:00Z</dcterms:created>
  <dc:creator>幸福、不转弯°</dc:creator>
  <cp:lastModifiedBy>幸福、不转弯°</cp:lastModifiedBy>
  <dcterms:modified xsi:type="dcterms:W3CDTF">2024-03-29T01:44:42Z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C05455C32A4C4D2FB9D97985708A9002_11</vt:lpwstr>
  </property>
</Properties>
</file>