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i w:val="0"/>
          <w:caps w:val="0"/>
          <w:color w:val="333333"/>
          <w:spacing w:val="0"/>
          <w:sz w:val="39"/>
          <w:szCs w:val="39"/>
        </w:rPr>
      </w:pPr>
      <w:r>
        <w:rPr>
          <w:rFonts w:hint="eastAsia" w:ascii="宋体" w:hAnsi="宋体" w:eastAsia="宋体" w:cs="宋体"/>
          <w:b/>
          <w:i w:val="0"/>
          <w:caps w:val="0"/>
          <w:color w:val="333333"/>
          <w:spacing w:val="0"/>
          <w:sz w:val="39"/>
          <w:szCs w:val="39"/>
          <w:bdr w:val="none" w:color="auto" w:sz="0" w:space="0"/>
          <w:shd w:val="clear" w:fill="FFFFFF"/>
        </w:rPr>
        <w:t>招标项目技术、服务、商务及其他要求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caps w:val="0"/>
          <w:color w:val="333333"/>
          <w:spacing w:val="0"/>
        </w:rPr>
      </w:pPr>
      <w:r>
        <w:rPr>
          <w:rFonts w:hint="eastAsia" w:ascii="宋体" w:hAnsi="宋体" w:eastAsia="宋体" w:cs="宋体"/>
          <w:i w:val="0"/>
          <w:caps w:val="0"/>
          <w:color w:val="333333"/>
          <w:spacing w:val="0"/>
          <w:bdr w:val="none" w:color="auto" w:sz="0" w:space="0"/>
          <w:shd w:val="clear" w:fill="FFFFFF"/>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caps w:val="0"/>
          <w:color w:val="333333"/>
          <w:spacing w:val="0"/>
        </w:rPr>
      </w:pPr>
      <w:r>
        <w:rPr>
          <w:rFonts w:hint="eastAsia" w:ascii="宋体" w:hAnsi="宋体" w:eastAsia="宋体" w:cs="宋体"/>
          <w:i w:val="0"/>
          <w:caps w:val="0"/>
          <w:color w:val="333333"/>
          <w:spacing w:val="0"/>
          <w:bdr w:val="none" w:color="auto" w:sz="0" w:space="0"/>
          <w:shd w:val="clear" w:fill="FFFFFF"/>
        </w:rPr>
        <w:t>（注：当采购包的评标方法为最低评标价法时带“★”的参数需求为实质性要求，供应商必须响应并满足的参数需求，采购人、采购代理机构应当根据项目实际需求合理设定，并明确具体要求。）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本项目采购“台式计算机1”50台，“台式计算机2”15台，“台式计算机1”是商用分体式台式计算机，主要用于科室日常办公，特点是散热效果好，维护方便，扩展性强；“台式计算机2”是商用一体式台式计算机，主要用于科室日常办公，特点是外观整洁，数据连接线少，移动方便。 由于医院病患较多，日常办公、数据处理、运行各种办公软件和院内相关应用程序，对计算机设备的流畅性和稳定性要求较高，对计算机设备的cpu的性能及内存也有较高的要求。商用电脑是专门为商务应用设计的电脑，主要针对企、事业单位及政府部门等， 其产品质量、稳定性和安全性、扩展性和实用性、售后服务和技术支持都较优异；因此此次计划采购的都是商用设备，商用设备有以下优点： 1、追求很高的稳定性，其在同等的条件下适应能力强于家用设备。在平均无故障工作时间都超过5000小时以上，商用设备对稳定性的要求比家用设备苛刻。 2、商用设备要应用于各种各样的商业办公环境，在外观设计上都按照严肃大方的设计理念。出于以后要添加功能和外接办公设备的考虑，所以商用设备外部端口齐全，在升级和扩展的能力一般要优于家用设备，方便以后批量的维护和修理。 3、商用电脑因为设计的初衷是稳定和安全，所以都带有全面的服务，如在线咨询、远程诊断、上门服务等，同时也可根据自己的需求，选购更多适用于服务项目等。而家用电脑一般只提供有限的质保，且不提供上门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采购包预算金额（元）: 300,000.00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采购包最高限价（元）: 300,000.00</w:t>
      </w:r>
    </w:p>
    <w:tbl>
      <w:tblPr>
        <w:tblW w:w="85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34"/>
        <w:gridCol w:w="1059"/>
        <w:gridCol w:w="827"/>
        <w:gridCol w:w="1469"/>
        <w:gridCol w:w="734"/>
        <w:gridCol w:w="734"/>
        <w:gridCol w:w="688"/>
        <w:gridCol w:w="734"/>
        <w:gridCol w:w="734"/>
        <w:gridCol w:w="8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105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标的名称</w:t>
            </w:r>
          </w:p>
        </w:tc>
        <w:tc>
          <w:tcPr>
            <w:tcW w:w="82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数量</w:t>
            </w:r>
          </w:p>
        </w:tc>
        <w:tc>
          <w:tcPr>
            <w:tcW w:w="146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标的金额 （元）</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计量单位</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所属行业</w:t>
            </w:r>
          </w:p>
        </w:tc>
        <w:tc>
          <w:tcPr>
            <w:tcW w:w="68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是否涉及核心产品</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是否涉及采购进口产品</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是否涉及采购节能产品</w:t>
            </w:r>
          </w:p>
        </w:tc>
        <w:tc>
          <w:tcPr>
            <w:tcW w:w="82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105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台式计算机1</w:t>
            </w:r>
          </w:p>
        </w:tc>
        <w:tc>
          <w:tcPr>
            <w:tcW w:w="82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50.00</w:t>
            </w:r>
          </w:p>
        </w:tc>
        <w:tc>
          <w:tcPr>
            <w:tcW w:w="146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225,000.00</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68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82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105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台式计算机2</w:t>
            </w:r>
          </w:p>
        </w:tc>
        <w:tc>
          <w:tcPr>
            <w:tcW w:w="82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w:t>
            </w:r>
          </w:p>
        </w:tc>
        <w:tc>
          <w:tcPr>
            <w:tcW w:w="146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75,000.00</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68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7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82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3.3技术要求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标的名称：台式计算机1</w:t>
      </w:r>
    </w:p>
    <w:tbl>
      <w:tblPr>
        <w:tblW w:w="854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674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674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1、产品类型：商用分体式台式计算机；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2、CPU类型：≥6核心，主频≥2.5 GHz；缓存≥18MB；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3、主板芯片组：不低于Intel B760芯片组，主板自带故障报警检测功能；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4、内存：≥16GB DDR4，≥2根内存插槽，支持64GB DDR4 3200MHz内存或更优；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5、硬盘：≥256GB M.2 Nvme固态硬盘 + 1TB HDD SATA机械硬盘；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6、显卡：集成显卡或更优；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7、音频：集成5.1声道声卡；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8、网卡：集成10/100/1000M自适应千兆网卡或更优；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9、I/O扩展槽：≥1个PCIe4.0 x16，≥2个PCIe x1,≥1个PCI；</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10、M.2扩展槽：≥2个M.2，其中至少1个为PCIe4.0固态硬盘接口或更优；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11、USB接口：≥10个USB接口；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12、其他接口：具备广泛的兼容性，主板原生不少于VGA + HDMI 2个视频输出端口，支持选配DP接口；1个原生串口，2个PS/2接口，1个RJ-45接口；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13、键盘鼠标：标准USB商务键盘鼠标或更优；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14、电源：≥180W高效节能电源，能效转化率最低值≥85%；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15、BIOS：简体中文，BIOS支持端口智能管理，包含硬盘加密功能或更优；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16、机箱：免工具开启机箱；</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17、操作系统：预装正版Windows 10及以上操作系统；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18、显示器：≥23.8吋低蓝光液晶显示器，分辨率≥1920x1080、亮度≥250cd/m²、刷新率≥100Hz、对比度≥3000：1、色域≥72%NTSC、可视角度≥178°/178°、VGA+HDMI+DP接口，带原厂HDMI 线缆、VESA标准安装孔；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19、保修服务≥3年;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20、质保期内提供硬盘不返还质保服务，显示器支持先行更换服务。</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标的名称：台式计算机2</w:t>
      </w:r>
    </w:p>
    <w:tbl>
      <w:tblPr>
        <w:tblW w:w="854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674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674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Calibri" w:hAnsi="Calibri" w:eastAsia="宋体" w:cs="Calibri"/>
                <w:color w:val="000000"/>
                <w:sz w:val="24"/>
                <w:szCs w:val="24"/>
                <w:bdr w:val="none" w:color="auto" w:sz="0" w:space="0"/>
              </w:rPr>
              <w:t>1</w:t>
            </w:r>
            <w:r>
              <w:rPr>
                <w:rFonts w:hint="eastAsia" w:ascii="宋体" w:hAnsi="宋体" w:eastAsia="宋体" w:cs="宋体"/>
                <w:color w:val="000000"/>
                <w:sz w:val="24"/>
                <w:szCs w:val="24"/>
                <w:bdr w:val="none" w:color="auto" w:sz="0" w:space="0"/>
              </w:rPr>
              <w:t>、产品类型：商用一体台式计算机；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2</w:t>
            </w:r>
            <w:r>
              <w:rPr>
                <w:rFonts w:hint="eastAsia" w:ascii="宋体" w:hAnsi="宋体" w:eastAsia="宋体" w:cs="宋体"/>
                <w:color w:val="000000"/>
                <w:sz w:val="24"/>
                <w:szCs w:val="24"/>
                <w:bdr w:val="none" w:color="auto" w:sz="0" w:space="0"/>
              </w:rPr>
              <w:t>、处理器：≥</w:t>
            </w:r>
            <w:r>
              <w:rPr>
                <w:rFonts w:hint="default" w:ascii="Calibri" w:hAnsi="Calibri" w:eastAsia="宋体" w:cs="Calibri"/>
                <w:color w:val="000000"/>
                <w:sz w:val="24"/>
                <w:szCs w:val="24"/>
                <w:bdr w:val="none" w:color="auto" w:sz="0" w:space="0"/>
              </w:rPr>
              <w:t>4</w:t>
            </w:r>
            <w:r>
              <w:rPr>
                <w:rFonts w:hint="eastAsia" w:ascii="宋体" w:hAnsi="宋体" w:eastAsia="宋体" w:cs="宋体"/>
                <w:color w:val="000000"/>
                <w:sz w:val="24"/>
                <w:szCs w:val="24"/>
                <w:bdr w:val="none" w:color="auto" w:sz="0" w:space="0"/>
              </w:rPr>
              <w:t>核心，主频≥</w:t>
            </w:r>
            <w:r>
              <w:rPr>
                <w:rFonts w:hint="default" w:ascii="Calibri" w:hAnsi="Calibri" w:eastAsia="宋体" w:cs="Calibri"/>
                <w:color w:val="000000"/>
                <w:sz w:val="24"/>
                <w:szCs w:val="24"/>
                <w:bdr w:val="none" w:color="auto" w:sz="0" w:space="0"/>
              </w:rPr>
              <w:t>2.4 GHz</w:t>
            </w:r>
            <w:r>
              <w:rPr>
                <w:rFonts w:hint="eastAsia" w:ascii="宋体" w:hAnsi="宋体" w:eastAsia="宋体" w:cs="宋体"/>
                <w:color w:val="000000"/>
                <w:sz w:val="24"/>
                <w:szCs w:val="24"/>
                <w:bdr w:val="none" w:color="auto" w:sz="0" w:space="0"/>
              </w:rPr>
              <w:t>，缓存≥</w:t>
            </w:r>
            <w:r>
              <w:rPr>
                <w:rFonts w:hint="default" w:ascii="Calibri" w:hAnsi="Calibri" w:eastAsia="宋体" w:cs="Calibri"/>
                <w:color w:val="000000"/>
                <w:sz w:val="24"/>
                <w:szCs w:val="24"/>
                <w:bdr w:val="none" w:color="auto" w:sz="0" w:space="0"/>
              </w:rPr>
              <w:t>8MB</w:t>
            </w:r>
            <w:r>
              <w:rPr>
                <w:rFonts w:hint="eastAsia" w:ascii="宋体" w:hAnsi="宋体" w:eastAsia="宋体" w:cs="宋体"/>
                <w:color w:val="00000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3</w:t>
            </w:r>
            <w:r>
              <w:rPr>
                <w:rFonts w:hint="eastAsia" w:ascii="宋体" w:hAnsi="宋体" w:eastAsia="宋体" w:cs="宋体"/>
                <w:color w:val="000000"/>
                <w:sz w:val="24"/>
                <w:szCs w:val="24"/>
                <w:bdr w:val="none" w:color="auto" w:sz="0" w:space="0"/>
              </w:rPr>
              <w:t>、内存：≥</w:t>
            </w:r>
            <w:r>
              <w:rPr>
                <w:rFonts w:hint="default" w:ascii="Calibri" w:hAnsi="Calibri" w:eastAsia="宋体" w:cs="Calibri"/>
                <w:color w:val="000000"/>
                <w:sz w:val="24"/>
                <w:szCs w:val="24"/>
                <w:bdr w:val="none" w:color="auto" w:sz="0" w:space="0"/>
              </w:rPr>
              <w:t>16GB DDR4</w:t>
            </w:r>
            <w:r>
              <w:rPr>
                <w:rFonts w:hint="eastAsia" w:ascii="宋体" w:hAnsi="宋体" w:eastAsia="宋体" w:cs="宋体"/>
                <w:color w:val="00000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4</w:t>
            </w:r>
            <w:r>
              <w:rPr>
                <w:rFonts w:hint="eastAsia" w:ascii="宋体" w:hAnsi="宋体" w:eastAsia="宋体" w:cs="宋体"/>
                <w:color w:val="000000"/>
                <w:sz w:val="24"/>
                <w:szCs w:val="24"/>
                <w:bdr w:val="none" w:color="auto" w:sz="0" w:space="0"/>
              </w:rPr>
              <w:t>、硬盘：≥</w:t>
            </w:r>
            <w:r>
              <w:rPr>
                <w:rFonts w:hint="default" w:ascii="Calibri" w:hAnsi="Calibri" w:eastAsia="宋体" w:cs="Calibri"/>
                <w:color w:val="000000"/>
                <w:sz w:val="24"/>
                <w:szCs w:val="24"/>
                <w:bdr w:val="none" w:color="auto" w:sz="0" w:space="0"/>
              </w:rPr>
              <w:t>1T</w:t>
            </w:r>
            <w:r>
              <w:rPr>
                <w:rFonts w:hint="eastAsia" w:ascii="宋体" w:hAnsi="宋体" w:eastAsia="宋体" w:cs="宋体"/>
                <w:color w:val="000000"/>
                <w:sz w:val="24"/>
                <w:szCs w:val="24"/>
                <w:bdr w:val="none" w:color="auto" w:sz="0" w:space="0"/>
              </w:rPr>
              <w:t>机械硬盘</w:t>
            </w:r>
            <w:r>
              <w:rPr>
                <w:rFonts w:hint="default" w:ascii="Calibri" w:hAnsi="Calibri" w:eastAsia="宋体" w:cs="Calibri"/>
                <w:color w:val="000000"/>
                <w:sz w:val="24"/>
                <w:szCs w:val="24"/>
                <w:bdr w:val="none" w:color="auto" w:sz="0" w:space="0"/>
              </w:rPr>
              <w:t>+512G</w:t>
            </w:r>
            <w:r>
              <w:rPr>
                <w:rFonts w:hint="eastAsia" w:ascii="宋体" w:hAnsi="宋体" w:eastAsia="宋体" w:cs="宋体"/>
                <w:color w:val="000000"/>
                <w:sz w:val="24"/>
                <w:szCs w:val="24"/>
                <w:bdr w:val="none" w:color="auto" w:sz="0" w:space="0"/>
              </w:rPr>
              <w:t>固态硬盘；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5</w:t>
            </w:r>
            <w:r>
              <w:rPr>
                <w:rFonts w:hint="eastAsia" w:ascii="宋体" w:hAnsi="宋体" w:eastAsia="宋体" w:cs="宋体"/>
                <w:color w:val="000000"/>
                <w:sz w:val="24"/>
                <w:szCs w:val="24"/>
                <w:bdr w:val="none" w:color="auto" w:sz="0" w:space="0"/>
              </w:rPr>
              <w:t>、显卡：集显或更优；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6、端口：USB端口数≥4个，不低于两个3.2端口数，音频接口：耳机/麦克风两用接口，视频接口：HDMI，网络接口：RJ45，其它接口：电源接口；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7</w:t>
            </w:r>
            <w:r>
              <w:rPr>
                <w:rFonts w:hint="eastAsia" w:ascii="宋体" w:hAnsi="宋体" w:eastAsia="宋体" w:cs="宋体"/>
                <w:color w:val="000000"/>
                <w:sz w:val="24"/>
                <w:szCs w:val="24"/>
                <w:bdr w:val="none" w:color="auto" w:sz="0" w:space="0"/>
              </w:rPr>
              <w:t>、摄像头：内置</w:t>
            </w:r>
            <w:r>
              <w:rPr>
                <w:rFonts w:hint="default" w:ascii="Calibri" w:hAnsi="Calibri" w:eastAsia="宋体" w:cs="Calibri"/>
                <w:color w:val="000000"/>
                <w:sz w:val="24"/>
                <w:szCs w:val="24"/>
                <w:bdr w:val="none" w:color="auto" w:sz="0" w:space="0"/>
              </w:rPr>
              <w:t>720P</w:t>
            </w:r>
            <w:r>
              <w:rPr>
                <w:rFonts w:hint="eastAsia" w:ascii="宋体" w:hAnsi="宋体" w:eastAsia="宋体" w:cs="宋体"/>
                <w:color w:val="000000"/>
                <w:sz w:val="24"/>
                <w:szCs w:val="24"/>
                <w:bdr w:val="none" w:color="auto" w:sz="0" w:space="0"/>
              </w:rPr>
              <w:t>高清摄像头或更优；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8</w:t>
            </w:r>
            <w:r>
              <w:rPr>
                <w:rFonts w:hint="eastAsia" w:ascii="宋体" w:hAnsi="宋体" w:eastAsia="宋体" w:cs="宋体"/>
                <w:color w:val="000000"/>
                <w:sz w:val="24"/>
                <w:szCs w:val="24"/>
                <w:bdr w:val="none" w:color="auto" w:sz="0" w:space="0"/>
              </w:rPr>
              <w:t>、麦克风：内置麦克风或更优；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9</w:t>
            </w:r>
            <w:r>
              <w:rPr>
                <w:rFonts w:hint="eastAsia" w:ascii="宋体" w:hAnsi="宋体" w:eastAsia="宋体" w:cs="宋体"/>
                <w:color w:val="000000"/>
                <w:sz w:val="24"/>
                <w:szCs w:val="24"/>
                <w:bdr w:val="none" w:color="auto" w:sz="0" w:space="0"/>
              </w:rPr>
              <w:t>、音频系统：内置音箱或更优；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10</w:t>
            </w:r>
            <w:r>
              <w:rPr>
                <w:rFonts w:hint="eastAsia" w:ascii="宋体" w:hAnsi="宋体" w:eastAsia="宋体" w:cs="宋体"/>
                <w:color w:val="000000"/>
                <w:sz w:val="24"/>
                <w:szCs w:val="24"/>
                <w:bdr w:val="none" w:color="auto" w:sz="0" w:space="0"/>
              </w:rPr>
              <w:t>、无线网卡：支持</w:t>
            </w:r>
            <w:r>
              <w:rPr>
                <w:rFonts w:hint="default" w:ascii="Calibri" w:hAnsi="Calibri" w:eastAsia="宋体" w:cs="Calibri"/>
                <w:color w:val="000000"/>
                <w:sz w:val="24"/>
                <w:szCs w:val="24"/>
                <w:bdr w:val="none" w:color="auto" w:sz="0" w:space="0"/>
              </w:rPr>
              <w:t>802.11ax</w:t>
            </w:r>
            <w:r>
              <w:rPr>
                <w:rFonts w:hint="eastAsia" w:ascii="宋体" w:hAnsi="宋体" w:eastAsia="宋体" w:cs="宋体"/>
                <w:color w:val="000000"/>
                <w:sz w:val="24"/>
                <w:szCs w:val="24"/>
                <w:bdr w:val="none" w:color="auto" w:sz="0" w:space="0"/>
              </w:rPr>
              <w:t>无线协议，支持双频（</w:t>
            </w:r>
            <w:r>
              <w:rPr>
                <w:rFonts w:hint="default" w:ascii="Calibri" w:hAnsi="Calibri" w:eastAsia="宋体" w:cs="Calibri"/>
                <w:color w:val="000000"/>
                <w:sz w:val="24"/>
                <w:szCs w:val="24"/>
                <w:bdr w:val="none" w:color="auto" w:sz="0" w:space="0"/>
              </w:rPr>
              <w:t>2.4GHz+5GHz</w:t>
            </w:r>
            <w:r>
              <w:rPr>
                <w:rFonts w:hint="eastAsia" w:ascii="宋体" w:hAnsi="宋体" w:eastAsia="宋体" w:cs="宋体"/>
                <w:color w:val="000000"/>
                <w:sz w:val="24"/>
                <w:szCs w:val="24"/>
                <w:bdr w:val="none" w:color="auto" w:sz="0" w:space="0"/>
              </w:rPr>
              <w:t>）或更优；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11</w:t>
            </w:r>
            <w:r>
              <w:rPr>
                <w:rFonts w:hint="eastAsia" w:ascii="宋体" w:hAnsi="宋体" w:eastAsia="宋体" w:cs="宋体"/>
                <w:color w:val="000000"/>
                <w:sz w:val="24"/>
                <w:szCs w:val="24"/>
                <w:bdr w:val="none" w:color="auto" w:sz="0" w:space="0"/>
              </w:rPr>
              <w:t>、有线网卡：</w:t>
            </w:r>
            <w:r>
              <w:rPr>
                <w:rFonts w:hint="default" w:ascii="Calibri" w:hAnsi="Calibri" w:eastAsia="宋体" w:cs="Calibri"/>
                <w:color w:val="000000"/>
                <w:sz w:val="24"/>
                <w:szCs w:val="24"/>
                <w:bdr w:val="none" w:color="auto" w:sz="0" w:space="0"/>
              </w:rPr>
              <w:t>1000Mbps</w:t>
            </w:r>
            <w:r>
              <w:rPr>
                <w:rFonts w:hint="eastAsia" w:ascii="宋体" w:hAnsi="宋体" w:eastAsia="宋体" w:cs="宋体"/>
                <w:color w:val="000000"/>
                <w:sz w:val="24"/>
                <w:szCs w:val="24"/>
                <w:bdr w:val="none" w:color="auto" w:sz="0" w:space="0"/>
              </w:rPr>
              <w:t>以太网卡或更优；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12</w:t>
            </w:r>
            <w:r>
              <w:rPr>
                <w:rFonts w:hint="eastAsia" w:ascii="宋体" w:hAnsi="宋体" w:eastAsia="宋体" w:cs="宋体"/>
                <w:color w:val="000000"/>
                <w:sz w:val="24"/>
                <w:szCs w:val="24"/>
                <w:bdr w:val="none" w:color="auto" w:sz="0" w:space="0"/>
              </w:rPr>
              <w:t>、显示器：≥</w:t>
            </w:r>
            <w:r>
              <w:rPr>
                <w:rFonts w:hint="default" w:ascii="Calibri" w:hAnsi="Calibri" w:eastAsia="宋体" w:cs="Calibri"/>
                <w:color w:val="000000"/>
                <w:sz w:val="24"/>
                <w:szCs w:val="24"/>
                <w:bdr w:val="none" w:color="auto" w:sz="0" w:space="0"/>
              </w:rPr>
              <w:t>23.8</w:t>
            </w:r>
            <w:r>
              <w:rPr>
                <w:rFonts w:hint="eastAsia" w:ascii="宋体" w:hAnsi="宋体" w:eastAsia="宋体" w:cs="宋体"/>
                <w:color w:val="000000"/>
                <w:sz w:val="24"/>
                <w:szCs w:val="24"/>
                <w:bdr w:val="none" w:color="auto" w:sz="0" w:space="0"/>
              </w:rPr>
              <w:t>英</w:t>
            </w:r>
            <w:r>
              <w:rPr>
                <w:rFonts w:hint="default" w:ascii="Calibri" w:hAnsi="Calibri" w:eastAsia="宋体" w:cs="Calibri"/>
                <w:color w:val="000000"/>
                <w:sz w:val="24"/>
                <w:szCs w:val="24"/>
                <w:bdr w:val="none" w:color="auto" w:sz="0" w:space="0"/>
              </w:rPr>
              <w:t>LED</w:t>
            </w:r>
            <w:r>
              <w:rPr>
                <w:rFonts w:hint="eastAsia" w:ascii="宋体" w:hAnsi="宋体" w:eastAsia="宋体" w:cs="宋体"/>
                <w:color w:val="000000"/>
                <w:sz w:val="24"/>
                <w:szCs w:val="24"/>
                <w:bdr w:val="none" w:color="auto" w:sz="0" w:space="0"/>
              </w:rPr>
              <w:t>显示屏，分辨率</w:t>
            </w:r>
            <w:r>
              <w:rPr>
                <w:rFonts w:hint="default" w:ascii="Calibri" w:hAnsi="Calibri" w:eastAsia="宋体" w:cs="Calibri"/>
                <w:color w:val="000000"/>
                <w:sz w:val="24"/>
                <w:szCs w:val="24"/>
                <w:bdr w:val="none" w:color="auto" w:sz="0" w:space="0"/>
              </w:rPr>
              <w:t>1920*1080</w:t>
            </w:r>
            <w:r>
              <w:rPr>
                <w:rFonts w:hint="eastAsia" w:ascii="宋体" w:hAnsi="宋体" w:eastAsia="宋体" w:cs="宋体"/>
                <w:color w:val="000000"/>
                <w:sz w:val="24"/>
                <w:szCs w:val="24"/>
                <w:bdr w:val="none" w:color="auto" w:sz="0" w:space="0"/>
              </w:rPr>
              <w:t>或更优，屏幕比例</w:t>
            </w:r>
            <w:r>
              <w:rPr>
                <w:rFonts w:hint="default" w:ascii="Calibri" w:hAnsi="Calibri" w:eastAsia="宋体" w:cs="Calibri"/>
                <w:color w:val="000000"/>
                <w:sz w:val="24"/>
                <w:szCs w:val="24"/>
                <w:bdr w:val="none" w:color="auto" w:sz="0" w:space="0"/>
              </w:rPr>
              <w:t>16</w:t>
            </w:r>
            <w:r>
              <w:rPr>
                <w:rFonts w:hint="eastAsia" w:ascii="宋体" w:hAnsi="宋体" w:eastAsia="宋体" w:cs="宋体"/>
                <w:color w:val="000000"/>
                <w:sz w:val="24"/>
                <w:szCs w:val="24"/>
                <w:bdr w:val="none" w:color="auto" w:sz="0" w:space="0"/>
              </w:rPr>
              <w:t>：</w:t>
            </w:r>
            <w:r>
              <w:rPr>
                <w:rFonts w:hint="default" w:ascii="Calibri" w:hAnsi="Calibri" w:eastAsia="宋体" w:cs="Calibri"/>
                <w:color w:val="000000"/>
                <w:sz w:val="24"/>
                <w:szCs w:val="24"/>
                <w:bdr w:val="none" w:color="auto" w:sz="0" w:space="0"/>
              </w:rPr>
              <w:t>9</w:t>
            </w:r>
            <w:r>
              <w:rPr>
                <w:rFonts w:hint="eastAsia" w:ascii="宋体" w:hAnsi="宋体" w:eastAsia="宋体" w:cs="宋体"/>
                <w:color w:val="000000"/>
                <w:sz w:val="24"/>
                <w:szCs w:val="24"/>
                <w:bdr w:val="none" w:color="auto" w:sz="0" w:space="0"/>
              </w:rPr>
              <w:t>，窄边框，</w:t>
            </w:r>
            <w:r>
              <w:rPr>
                <w:rFonts w:hint="default" w:ascii="Calibri" w:hAnsi="Calibri" w:eastAsia="宋体" w:cs="Calibri"/>
                <w:color w:val="000000"/>
                <w:sz w:val="24"/>
                <w:szCs w:val="24"/>
                <w:bdr w:val="none" w:color="auto" w:sz="0" w:space="0"/>
              </w:rPr>
              <w:t>96%</w:t>
            </w:r>
            <w:r>
              <w:rPr>
                <w:rFonts w:hint="eastAsia" w:ascii="宋体" w:hAnsi="宋体" w:eastAsia="宋体" w:cs="宋体"/>
                <w:color w:val="000000"/>
                <w:sz w:val="24"/>
                <w:szCs w:val="24"/>
                <w:bdr w:val="none" w:color="auto" w:sz="0" w:space="0"/>
              </w:rPr>
              <w:t>屏占比或更优，</w:t>
            </w:r>
            <w:r>
              <w:rPr>
                <w:rFonts w:hint="default" w:ascii="Calibri" w:hAnsi="Calibri" w:eastAsia="宋体" w:cs="Calibri"/>
                <w:color w:val="000000"/>
                <w:sz w:val="24"/>
                <w:szCs w:val="24"/>
                <w:bdr w:val="none" w:color="auto" w:sz="0" w:space="0"/>
              </w:rPr>
              <w:t>72%NTSC</w:t>
            </w:r>
            <w:r>
              <w:rPr>
                <w:rFonts w:hint="eastAsia" w:ascii="宋体" w:hAnsi="宋体" w:eastAsia="宋体" w:cs="宋体"/>
                <w:color w:val="000000"/>
                <w:sz w:val="24"/>
                <w:szCs w:val="24"/>
                <w:bdr w:val="none" w:color="auto" w:sz="0" w:space="0"/>
              </w:rPr>
              <w:t>或更优。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13</w:t>
            </w:r>
            <w:r>
              <w:rPr>
                <w:rFonts w:hint="eastAsia" w:ascii="宋体" w:hAnsi="宋体" w:eastAsia="宋体" w:cs="宋体"/>
                <w:color w:val="000000"/>
                <w:sz w:val="24"/>
                <w:szCs w:val="24"/>
                <w:bdr w:val="none" w:color="auto" w:sz="0" w:space="0"/>
              </w:rPr>
              <w:t>、键鼠：无线键盘，无线鼠标。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14</w:t>
            </w:r>
            <w:r>
              <w:rPr>
                <w:rFonts w:hint="eastAsia" w:ascii="宋体" w:hAnsi="宋体" w:eastAsia="宋体" w:cs="宋体"/>
                <w:color w:val="000000"/>
                <w:sz w:val="24"/>
                <w:szCs w:val="24"/>
                <w:bdr w:val="none" w:color="auto" w:sz="0" w:space="0"/>
              </w:rPr>
              <w:t>、操作系统：预装正版</w:t>
            </w:r>
            <w:r>
              <w:rPr>
                <w:rFonts w:hint="default" w:ascii="Calibri" w:hAnsi="Calibri" w:eastAsia="宋体" w:cs="Calibri"/>
                <w:color w:val="000000"/>
                <w:sz w:val="24"/>
                <w:szCs w:val="24"/>
                <w:bdr w:val="none" w:color="auto" w:sz="0" w:space="0"/>
              </w:rPr>
              <w:t>Windows 10</w:t>
            </w:r>
            <w:r>
              <w:rPr>
                <w:rFonts w:hint="eastAsia" w:ascii="宋体" w:hAnsi="宋体" w:eastAsia="宋体" w:cs="宋体"/>
                <w:color w:val="000000"/>
                <w:sz w:val="24"/>
                <w:szCs w:val="24"/>
                <w:bdr w:val="none" w:color="auto" w:sz="0" w:space="0"/>
              </w:rPr>
              <w:t>及以上操作系统；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color w:val="000000"/>
                <w:sz w:val="24"/>
                <w:szCs w:val="24"/>
                <w:bdr w:val="none" w:color="auto" w:sz="0" w:space="0"/>
              </w:rPr>
              <w:t>15</w:t>
            </w:r>
            <w:r>
              <w:rPr>
                <w:rFonts w:hint="eastAsia" w:ascii="宋体" w:hAnsi="宋体" w:eastAsia="宋体" w:cs="宋体"/>
                <w:color w:val="000000"/>
                <w:sz w:val="24"/>
                <w:szCs w:val="24"/>
                <w:bdr w:val="none" w:color="auto" w:sz="0" w:space="0"/>
              </w:rPr>
              <w:t>、</w:t>
            </w:r>
            <w:r>
              <w:rPr>
                <w:rFonts w:hint="eastAsia" w:ascii="宋体" w:hAnsi="宋体" w:eastAsia="宋体" w:cs="宋体"/>
                <w:color w:val="000000"/>
                <w:sz w:val="24"/>
                <w:szCs w:val="24"/>
                <w:bdr w:val="none" w:color="auto" w:sz="0" w:space="0"/>
                <w:shd w:val="clear" w:fill="FFFFFF"/>
              </w:rPr>
              <w:t>保修服务≥3年;</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广安市人民医院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 付款条件说明： 政府采购合同签订后，中票人开具票据后 ，达到付款条件起 30 日内，支付合同总金额的 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 付款条件说明： 货物安装、调试、履约验收合格且发票开具后 ，达到付款条件起 30 日内，支付合同总金额的 70.00%。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（一）中标人应在合同签订生效之日起30日内交货到采购人指定地点，随即在7日内全部完成安装调试交付使用 (如由于采购人的原因造成合同延迟签订或验收的，时间顺延)。交货验收时中标人须提供全部的技术资料、全套中文说明书面资料、产品和配套件的清单、产品的检测报告及产品合格证等资料。 （二）履约验收由采购人组织，中标人配合进行。 1、货物在中标人安装调试完毕后，即可进行履约验收，中标人书面申请采购人组织履约验收，验收合格由采购人出具履约验收报告。 2、验收标准：按国家有关规定、中标人的投标文件及承诺与本合同约定标准进行验收。 3、验收时如发现所交付的货物有短装、次品、损坏或其它不符合标准及本合同规定之情形者，采购人应做出详尽的现场记录，或由采购人、中标人双方签署备忘录，此现场记录或备忘录可用作补充、缺失和更换损坏部件的有效证据，由此产生的时间延误与有关费用由中标人承担，验收期限相应顺延。 4、如验收合格，双方签署履约验收报告。 （三）产品安装调试、集成完毕并书面申请履约验收之日起30日内，采购人无故不进行履约验收并已使用产品的，视同已安装调试完成并验收合格。 （四）中标人应将所提供货物的装箱清单、配件、随机工具、用户使用手册、原厂保修卡等资料交付给采购人。 （五）如货物因质量问题经中标人3次维修仍不能达到合同约定的质量标准，采购人有权退货，并视作中标人不能交付货物且须支付违约赔偿金给采购人，采购人还可依法追究中标人的违约责任。 （六）其他未尽事宜将参照《广安市政府采购项目履约验收工作规程》（广市财采【2021】275号）的要求进行。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★1、质量保修范围和保修期：整机保修，保修期≥3年。 ★2、中标人须指派专人负责与采购人联系售后服务事宜，有工程师负责售后服务，列出售后维修服务联系电话。 ★3、售后服务响应时间：接到采购人的服务请求电话后，在30分钟内给予电话响应，服务工程师2小时内到达现场，并在到达后24小时之内排除故障。 ★4、中标人应对采购人工作人员进行培训，包括但不限于设备操作人员、维修人员能够熟练运用。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一、违约责任 （一）甲方违约责任 1、甲方无正当理由拒收货物的，甲方应偿付合同总价百分之五的违约金； 2、甲方逾期支付货款的，除应及时付足货款外，应向乙方偿付欠款总额万分之五/天的违约金；逾期付款超过30天的，乙方有权终止合同； 3、甲方偿付的违约金不足以弥补乙方损失的，还应按乙方损失尚未弥补的部分，支付赔偿金给乙方。 （二）乙方违约责任 1、乙方交付的货物质量不符合合同规定的，甲方可以解除本合同，乙方应退还甲方已支付的所有款项，并向甲方支付合同总价百分之二十的违约金。 2、乙方逾期交付货物而违约的，除应及时交足货物外，应向甲方偿付逾期交货货款总额的千分之五/天的违约金；逾期交货超过30天，甲方有权终止合同，并须全额退还甲方已经付给乙方的货款。 3、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二十向甲方支付违约金。 4、乙方偿付的违约金不足以弥补甲方损失的，还应按甲方损失尚未弥补的部分，支付赔偿金给甲方。 二、争议解决办法 （一）因货物的质量问题发生争议，由质量技术监督部门或其指定的质量鉴定机构进行质量鉴定。货物符合标准的，鉴定费由甲方承担；货物不符合质量标准的，鉴定费由乙方承担。 （二）合同履行期间,若双方发生争议，可协商或由有关部门调解解决，协商或调解不成的，向甲方所在地人民法院起诉。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中标候选人并列的，由评审委员会在采购人监督人员的监督下随机抽取确定。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iZDBlZmUzMzBjYzA4NDY4NjI1YzYzMmRhMmM3YzEifQ=="/>
  </w:docVars>
  <w:rsids>
    <w:rsidRoot w:val="48F70B1F"/>
    <w:rsid w:val="0B8E7D66"/>
    <w:rsid w:val="11EF34D2"/>
    <w:rsid w:val="132149FE"/>
    <w:rsid w:val="135835D8"/>
    <w:rsid w:val="164F0F78"/>
    <w:rsid w:val="1E040934"/>
    <w:rsid w:val="1E7A17E6"/>
    <w:rsid w:val="20101F9A"/>
    <w:rsid w:val="236747B4"/>
    <w:rsid w:val="274A34C3"/>
    <w:rsid w:val="28D617C4"/>
    <w:rsid w:val="29FC0840"/>
    <w:rsid w:val="2A6F57B4"/>
    <w:rsid w:val="2F403809"/>
    <w:rsid w:val="30AD1E37"/>
    <w:rsid w:val="388B76C2"/>
    <w:rsid w:val="3BB62A78"/>
    <w:rsid w:val="3CB8697C"/>
    <w:rsid w:val="461221DB"/>
    <w:rsid w:val="47EB2E26"/>
    <w:rsid w:val="48F70B1F"/>
    <w:rsid w:val="49B34A4D"/>
    <w:rsid w:val="4A941D15"/>
    <w:rsid w:val="4B6B7E57"/>
    <w:rsid w:val="507E4955"/>
    <w:rsid w:val="551040B0"/>
    <w:rsid w:val="55CA5617"/>
    <w:rsid w:val="5C5C1920"/>
    <w:rsid w:val="632E4F88"/>
    <w:rsid w:val="649456F5"/>
    <w:rsid w:val="64F84CA4"/>
    <w:rsid w:val="65F1627F"/>
    <w:rsid w:val="68FB27BA"/>
    <w:rsid w:val="6C7C3146"/>
    <w:rsid w:val="6C824899"/>
    <w:rsid w:val="6CD01BDF"/>
    <w:rsid w:val="6E0F4EC3"/>
    <w:rsid w:val="6F2422EC"/>
    <w:rsid w:val="79B2280E"/>
    <w:rsid w:val="7A3F3488"/>
    <w:rsid w:val="7B9A4014"/>
    <w:rsid w:val="7BE25AA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21408</Words>
  <Characters>24989</Characters>
  <Lines>0</Lines>
  <Paragraphs>0</Paragraphs>
  <ScaleCrop>false</ScaleCrop>
  <LinksUpToDate>false</LinksUpToDate>
  <CharactersWithSpaces>25491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2022-09-05T01:54:00Z</dcterms:created>
  <dc:creator>NTKO</dc:creator>
  <cp:lastModifiedBy>NTKO</cp:lastModifiedBy>
  <dcterms:modified xsi:type="dcterms:W3CDTF">2024-01-02T01:34:26Z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F9A3C214F4164D54B1B6839C86BCAEF3</vt:lpwstr>
  </property>
</Properties>
</file>