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4"/>
      </w:pPr>
      <w:r>
        <w:t xml:space="preserve"> </w:t>
      </w:r>
    </w:p>
    <w:p>
      <w:pPr>
        <w:pStyle w:val="4"/>
        <w:jc w:val="center"/>
        <w:outlineLvl w:val="1"/>
      </w:pPr>
      <w:r>
        <w:rPr>
          <w:b/>
          <w:sz w:val="36"/>
        </w:rPr>
        <w:t>第三章 谈判项目技术、服务、商务及其他要求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为提升城市文明形象，美化人居环境，彰显武胜文化特色， 弘扬社会文明新风尚。旨在打造一批生动的传统文化和新时代文明宣传新阵地。主要实施城区主要街道及重要节点配电箱彩绘项目。</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400,000.00</w:t>
      </w:r>
    </w:p>
    <w:p>
      <w:pPr>
        <w:pStyle w:val="4"/>
      </w:pPr>
      <w:r>
        <w:t>采购包最高限价（元）: 400,000.00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2024年武胜县城区重要节点配电箱彩绘服务采购</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标的名称：2024年武胜县城区重要节点配电箱彩绘服务采购</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20"/>
        <w:gridCol w:w="2021"/>
        <w:gridCol w:w="448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0"/>
              <w:gridCol w:w="250"/>
              <w:gridCol w:w="250"/>
              <w:gridCol w:w="250"/>
              <w:gridCol w:w="690"/>
              <w:gridCol w:w="360"/>
              <w:gridCol w:w="360"/>
              <w:gridCol w:w="360"/>
              <w:gridCol w:w="580"/>
              <w:gridCol w:w="8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0" w:type="dxa"/>
                  <w:gridSpan w:val="10"/>
                  <w:tcBorders>
                    <w:top w:val="nil"/>
                    <w:left w:val="nil"/>
                    <w:bottom w:val="single" w:color="000000" w:sz="4" w:space="0"/>
                    <w:right w:val="nil"/>
                  </w:tcBorders>
                  <w:tcMar>
                    <w:top w:w="15" w:type="dxa"/>
                    <w:left w:w="15" w:type="dxa"/>
                    <w:right w:w="15" w:type="dxa"/>
                  </w:tcMar>
                  <w:vAlign w:val="center"/>
                </w:tcPr>
                <w:p>
                  <w:pPr>
                    <w:pStyle w:val="4"/>
                  </w:pPr>
                  <w:r>
                    <w:rPr>
                      <w:rFonts w:ascii="宋体" w:hAnsi="宋体" w:eastAsia="宋体" w:cs="宋体"/>
                      <w:color w:val="000000"/>
                      <w:sz w:val="24"/>
                    </w:rPr>
                    <w:t>一、城区主要街道及重要节点配电箱情况统计表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序号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权属单位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数量/个</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街道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具体位置</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长/cm</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宽/cm</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高/cm</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表面积/m²</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总表面积/㎡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国家电网</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w:t>
                  </w: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融恒时代广场对面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37.96</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236.36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融恒时代广场对面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国美电器店前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4.70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国美电器店前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4.40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汉初大道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与建设北路交叉口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50.10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瑞鼎嘉城小区外侧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32.41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瑞鼎嘉城小区外侧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32.41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黄林溪变道口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黄林溪变道口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32.41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黄林溪变道口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32.41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中国供电局</w:t>
                  </w: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w:t>
                  </w: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未来酒店店前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2.98</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中国移动</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44</w:t>
                  </w: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美之味店前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5.05</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212.40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华帝店前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161</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芝林大药房店前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5.12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芝林大药房店前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31</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2.37</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徐记果业店前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徐记果业店前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凯旋城外小吃街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凯旋城外小吃街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凯旋城大门对面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凯旋城大门对面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凯旋城大门对面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与嘉陵路交叉口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凤凰城小区外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太和街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与东街交叉路口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太和街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与东街交叉路口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太和街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与下东街交叉路口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弘武大道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中医院门口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弘武大道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中医院门口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贵夫人店前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国色天香花艺水族馆店前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叶家山五一公园大门对面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莱普汽修店对面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御景湾小区前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上和园大门前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57</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5.14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雪花啤酒厂外侧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4.21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文化国际商贸城</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文化国际商贸城</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高速桥下</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四川农信门口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5.10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与振兴路交叉处加油站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嘉陵小学外侧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嘉陵小学外侧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黄林溪公园外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龙女湖景区大门附近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同心广场</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弘武盛宴大门附近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弘武盛宴大门附近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151号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151号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与东街交叉路口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与下东街交叉路口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与嘉陵路交叉口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与嘉陵路交叉口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与嘉陵路交叉口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56</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中国电信</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w:t>
                  </w: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凯旋城外小吃街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5.14</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67.53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凯旋城大门对面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太和街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与东街交叉路口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太和街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与下东街交叉路口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昕玥小菜馆店前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9.67</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昕玥小菜馆店前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雪花啤酒厂外侧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1035号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5.14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四川金易管业有限公司</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5.14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书香府邸大门附近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5.14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与龙泰大道交叉路口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5.14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醉轩鱼庄店对面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5.14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68</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中国联通</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w:t>
                  </w: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凯旋城大门对面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4.88</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57.88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与嘉陵路交叉口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融恒时代广场对面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2.27</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未来酒店店前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2.44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未来酒店店前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4.14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昕玥小菜馆店前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阿玛尼·洗衣店店前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2.44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叶家山五一公园大门对面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111</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2.03</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叶家山五一公园大门对面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3.42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雪花啤酒厂外侧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高速桥下</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中国石油（加油站）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2.27</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嘉陵小学外侧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3.78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黄林溪公园外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同心广场</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2.27</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振兴路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154号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2.54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振兴路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4.19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弘武盛宴大门附近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4.19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与迎宾大道交叉路口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2.27</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87</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中国铁塔</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w:t>
                  </w: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妇幼保健院外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18.36</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人民广场对面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12.42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毛哥食品厂大门外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18.36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四川金易管业有限公司</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18.36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与振兴路交叉口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8.37</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92</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四川广电网络</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w:t>
                  </w: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凯旋城外小吃街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3.83</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34.56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凯旋城外小吃街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3.83</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与嘉陵路交叉口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3.83</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人民广场对面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3.83</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惠仁大药房店前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3.83</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惠仁大药房店前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水景豪园外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2.07</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高速桥下</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黄林溪公园外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3.83</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醉轩鱼庄店对面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3.83</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102</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智能交通</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33</w:t>
                  </w: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三利麻将机店附近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3.89</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107.85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三利麻将机店附近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三利麻将机店附近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与嘉陵路交叉口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3.60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融恒时代广场对面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融恒时代广场对面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未来酒店店前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142</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未来酒店店前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未来酒店店前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中国人民保险店前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3.66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中国人民保险店前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87</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1.83</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建设北路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公交站台附近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4.21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建设北路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公交站台附近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4.21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建设北路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公交站台附近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4.21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与东环路交叉口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4.21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雪花啤酒厂外侧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4.21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乐善岔路口（公交站）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中国石油（加油站）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中国石油（加油站）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与振兴路交叉处加油站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与振兴路交叉处加油站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黄林溪公园外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3.68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同心广场</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振兴路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154号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振兴路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154号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振兴路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154号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弘武盛宴大门附近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弘武盛宴大门附近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弘武盛宴大门附近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151号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3.68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151号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与迎宾大道交叉路口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与迎宾大道交叉路口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135</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电力公司</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61</w:t>
                  </w: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会展中心广场侧边</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2.30</w:t>
                  </w:r>
                </w:p>
              </w:tc>
              <w:tc>
                <w:tcPr>
                  <w:tcW w:w="2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1019.95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凯旋城外小吃街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3.36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凯旋城外小吃街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3.36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凯旋城外小吃街</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3.36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人民广场对面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41.86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兴武大道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人民广场对面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41.86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叶家山五一公园大门对面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17.00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汉初大道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汉初大道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38.60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汉初大道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汉初大道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56</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3.42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建设北路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公交站台附近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20.46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建设北路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公交站台附近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与东环路交叉口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中央大道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上和园大门前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78</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887</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40.69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运华超市店外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383</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315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45.40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运华超市店外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137</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3.31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毛哥食品厂大门外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9.60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雪花啤酒厂外侧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7.69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雪花啤酒厂外侧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10.30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丝绸厂大门外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7.50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丝绸厂大门外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9.58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丝绸厂大门外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17.06</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中滩桥</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520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76.99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司法局大门前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汽车站侧门外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220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16.25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四川农信门口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7.87</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四川农信门口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37</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四川农信门口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10.30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乐善岔路口（公交站）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4.68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乐善岔路口（公交站）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4.68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乐善岔路口（公交站）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32.48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中国石油（加油站）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127</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17.03</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与景明路交叉口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32.44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与景明路交叉口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32.44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与景明路交叉口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32.44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与景明路交叉口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8.62</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与振兴路交叉处加油站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31.64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与振兴路交叉处加油站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4.40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与振兴路交叉处加油站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4.40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与振兴路交叉处加油站</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4.40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锦华农贸批发市场外侧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43.04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望江名门小区外侧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望江名门小区外侧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34.09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电杆厂大门前</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179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与振兴路交叉口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7.39</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与振兴路交叉口</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迎宾大道</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瑞鼎嘉城小区外侧</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32.48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水岸明珠对面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水岸明珠对面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水岸明珠对面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38.48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水岸明珠对面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32.00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186</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水岸明珠对面</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125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43.40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187</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水秀广场</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18.68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188</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水秀广场</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230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31.10</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189</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水秀广场</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190</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龙女湖</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水秀广场</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100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3.54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191</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振兴路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154号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7.31</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192</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弘武盛宴大门附近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70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135</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3.25</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193</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弘武盛宴大门附近</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390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144</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28.04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194</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151号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80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4.68</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195</w:t>
                  </w: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vMerge w:val="continue"/>
                  <w:tcBorders>
                    <w:top w:val="single" w:color="000000" w:sz="4" w:space="0"/>
                    <w:left w:val="single" w:color="000000" w:sz="4" w:space="0"/>
                    <w:bottom w:val="single" w:color="000000" w:sz="4" w:space="0"/>
                    <w:right w:val="single" w:color="000000" w:sz="4" w:space="0"/>
                  </w:tcBorders>
                </w:tcP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人民南路</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151号</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60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40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110</w:t>
                  </w:r>
                </w:p>
              </w:tc>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2.44</w:t>
                  </w:r>
                </w:p>
              </w:tc>
              <w:tc>
                <w:tcPr>
                  <w:tcW w:w="255" w:type="dxa"/>
                  <w:vMerge w:val="continue"/>
                  <w:tcBorders>
                    <w:top w:val="single" w:color="000000" w:sz="4" w:space="0"/>
                    <w:left w:val="single" w:color="000000" w:sz="4" w:space="0"/>
                    <w:bottom w:val="single" w:color="000000" w:sz="4" w:space="0"/>
                    <w:right w:val="single" w:color="000000" w:sz="4" w:space="0"/>
                  </w:tcBorders>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196</w:t>
                  </w:r>
                </w:p>
              </w:tc>
              <w:tc>
                <w:tcPr>
                  <w:tcW w:w="5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总数量：195个</w:t>
                  </w:r>
                </w:p>
              </w:tc>
              <w:tc>
                <w:tcPr>
                  <w:tcW w:w="178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
                    <w:jc w:val="center"/>
                  </w:pPr>
                  <w:r>
                    <w:rPr>
                      <w:rFonts w:ascii="宋体" w:hAnsi="宋体" w:eastAsia="宋体" w:cs="宋体"/>
                      <w:color w:val="000000"/>
                      <w:sz w:val="22"/>
                    </w:rPr>
                    <w:t>总面积：1815.37㎡</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2"/>
              <w:jc w:val="both"/>
            </w:pPr>
            <w:r>
              <w:rPr>
                <w:rFonts w:ascii="宋体" w:hAnsi="宋体" w:eastAsia="宋体" w:cs="宋体"/>
                <w:b/>
                <w:sz w:val="24"/>
              </w:rPr>
              <w:t>二、技术、服务要求</w:t>
            </w:r>
          </w:p>
          <w:p>
            <w:pPr>
              <w:pStyle w:val="4"/>
              <w:ind w:firstLine="482"/>
              <w:jc w:val="both"/>
            </w:pPr>
            <w:r>
              <w:rPr>
                <w:rFonts w:ascii="宋体" w:hAnsi="宋体" w:eastAsia="宋体" w:cs="宋体"/>
                <w:b/>
                <w:sz w:val="24"/>
              </w:rPr>
              <w:t>（一）技术要求</w:t>
            </w:r>
          </w:p>
          <w:p>
            <w:pPr>
              <w:pStyle w:val="4"/>
              <w:ind w:firstLine="480"/>
              <w:jc w:val="both"/>
            </w:pPr>
            <w:r>
              <w:rPr>
                <w:rFonts w:ascii="宋体" w:hAnsi="宋体" w:eastAsia="宋体" w:cs="宋体"/>
                <w:sz w:val="24"/>
              </w:rPr>
              <w:t>成交供应商须自主创意设计</w:t>
            </w:r>
            <w:r>
              <w:rPr>
                <w:rFonts w:ascii="&quot;times new roman&quot;" w:hAnsi="&quot;times new roman&quot;" w:eastAsia="&quot;times new roman&quot;" w:cs="&quot;times new roman&quot;"/>
                <w:sz w:val="24"/>
              </w:rPr>
              <w:t>8</w:t>
            </w:r>
            <w:r>
              <w:rPr>
                <w:rFonts w:ascii="宋体" w:hAnsi="宋体" w:eastAsia="宋体" w:cs="宋体"/>
                <w:sz w:val="24"/>
              </w:rPr>
              <w:t>幅具有武胜县元素的样图，不得抄袭，因抄袭或侵权等行为产生的法律后果由成交供应商自行承担。项目实施前，采购人有权要求成交供应商在绘画效果图的基础上进行调整，最终须经采购人审核确认，双方无异议后方可实施。设计费固定价</w:t>
            </w:r>
            <w:r>
              <w:rPr>
                <w:rFonts w:ascii="times new roman, times, serif" w:hAnsi="times new roman, times, serif" w:eastAsia="times new roman, times, serif" w:cs="times new roman, times, serif"/>
                <w:sz w:val="24"/>
              </w:rPr>
              <w:t>8000</w:t>
            </w:r>
            <w:r>
              <w:rPr>
                <w:rFonts w:ascii="宋体" w:hAnsi="宋体" w:eastAsia="宋体" w:cs="宋体"/>
                <w:sz w:val="24"/>
              </w:rPr>
              <w:t>元（包含在预算金额内，不可调整）。每一道工序完工后，经现场工作人员验收合格后方可进行下一步工作。</w:t>
            </w:r>
          </w:p>
          <w:p>
            <w:pPr>
              <w:pStyle w:val="4"/>
              <w:ind w:firstLine="482"/>
              <w:jc w:val="both"/>
            </w:pPr>
            <w:r>
              <w:rPr>
                <w:rFonts w:ascii="宋体" w:hAnsi="宋体" w:eastAsia="宋体" w:cs="宋体"/>
                <w:b/>
                <w:sz w:val="24"/>
              </w:rPr>
              <w:t>（二）服务要求及质量标准</w:t>
            </w:r>
          </w:p>
          <w:p>
            <w:pPr>
              <w:pStyle w:val="4"/>
              <w:ind w:firstLine="480"/>
              <w:jc w:val="both"/>
            </w:pPr>
            <w:r>
              <w:rPr>
                <w:rFonts w:ascii="times new roman, times, serif" w:hAnsi="times new roman, times, serif" w:eastAsia="times new roman, times, serif" w:cs="times new roman, times, serif"/>
                <w:sz w:val="24"/>
              </w:rPr>
              <w:t>1.</w:t>
            </w:r>
            <w:r>
              <w:rPr>
                <w:rFonts w:ascii="宋体" w:hAnsi="宋体" w:eastAsia="宋体" w:cs="宋体"/>
                <w:sz w:val="24"/>
              </w:rPr>
              <w:t>清洁作业面，补灰找平；</w:t>
            </w:r>
            <w:r>
              <w:rPr>
                <w:rFonts w:ascii="&quot;times new roman&quot;" w:hAnsi="&quot;times new roman&quot;" w:eastAsia="&quot;times new roman&quot;" w:cs="&quot;times new roman&quot;"/>
                <w:sz w:val="24"/>
              </w:rPr>
              <w:t>2</w:t>
            </w:r>
            <w:r>
              <w:rPr>
                <w:rFonts w:ascii="times new roman, times, serif" w:hAnsi="times new roman, times, serif" w:eastAsia="times new roman, times, serif" w:cs="times new roman, times, serif"/>
                <w:sz w:val="24"/>
              </w:rPr>
              <w:t>.</w:t>
            </w:r>
            <w:r>
              <w:rPr>
                <w:rFonts w:ascii="宋体" w:hAnsi="宋体" w:eastAsia="宋体" w:cs="宋体"/>
                <w:sz w:val="24"/>
              </w:rPr>
              <w:t>喷涂底漆（白色或灰色，根据画面确定），底漆为丙烯或乳胶漆；</w:t>
            </w:r>
            <w:r>
              <w:rPr>
                <w:rFonts w:ascii="times new roman, times, serif" w:hAnsi="times new roman, times, serif" w:eastAsia="times new roman, times, serif" w:cs="times new roman, times, serif"/>
                <w:sz w:val="24"/>
              </w:rPr>
              <w:t>3.</w:t>
            </w:r>
            <w:r>
              <w:rPr>
                <w:rFonts w:ascii="宋体" w:hAnsi="宋体" w:eastAsia="宋体" w:cs="宋体"/>
                <w:sz w:val="24"/>
              </w:rPr>
              <w:t>构图、作色（色彩均匀，色调自然，与样图一致）；</w:t>
            </w:r>
            <w:r>
              <w:rPr>
                <w:rFonts w:ascii="&quot;times new roman&quot;" w:hAnsi="&quot;times new roman&quot;" w:eastAsia="&quot;times new roman&quot;" w:cs="&quot;times new roman&quot;"/>
                <w:sz w:val="24"/>
              </w:rPr>
              <w:t>4</w:t>
            </w:r>
            <w:r>
              <w:rPr>
                <w:rFonts w:ascii="times new roman, times, serif" w:hAnsi="times new roman, times, serif" w:eastAsia="times new roman, times, serif" w:cs="times new roman, times, serif"/>
                <w:sz w:val="24"/>
              </w:rPr>
              <w:t>.</w:t>
            </w:r>
            <w:r>
              <w:rPr>
                <w:rFonts w:ascii="宋体" w:hAnsi="宋体" w:eastAsia="宋体" w:cs="宋体"/>
                <w:sz w:val="24"/>
              </w:rPr>
              <w:t>罩面法。</w:t>
            </w:r>
          </w:p>
          <w:p>
            <w:pPr>
              <w:pStyle w:val="4"/>
              <w:ind w:firstLine="482"/>
              <w:jc w:val="both"/>
            </w:pPr>
            <w:r>
              <w:rPr>
                <w:rFonts w:ascii="宋体" w:hAnsi="宋体" w:eastAsia="宋体" w:cs="宋体"/>
                <w:b/>
                <w:sz w:val="24"/>
              </w:rPr>
              <w:t>（三）安全要求</w:t>
            </w:r>
          </w:p>
          <w:p>
            <w:pPr>
              <w:pStyle w:val="4"/>
              <w:ind w:firstLine="480"/>
              <w:jc w:val="both"/>
            </w:pPr>
            <w:r>
              <w:rPr>
                <w:rFonts w:ascii="times new roman, times, serif" w:hAnsi="times new roman, times, serif" w:eastAsia="times new roman, times, serif" w:cs="times new roman, times, serif"/>
                <w:sz w:val="24"/>
              </w:rPr>
              <w:t>1.</w:t>
            </w:r>
            <w:r>
              <w:rPr>
                <w:rFonts w:ascii="宋体" w:hAnsi="宋体" w:eastAsia="宋体" w:cs="宋体"/>
                <w:sz w:val="24"/>
              </w:rPr>
              <w:t>供应商自行现场踏勘，踏勘过程中自行承担一切安全责任；</w:t>
            </w:r>
            <w:r>
              <w:rPr>
                <w:rFonts w:ascii="times new roman, times, serif" w:hAnsi="times new roman, times, serif" w:eastAsia="times new roman, times, serif" w:cs="times new roman, times, serif"/>
                <w:sz w:val="24"/>
              </w:rPr>
              <w:t>2.</w:t>
            </w:r>
            <w:r>
              <w:rPr>
                <w:rFonts w:ascii="宋体" w:hAnsi="宋体" w:eastAsia="宋体" w:cs="宋体"/>
                <w:sz w:val="24"/>
              </w:rPr>
              <w:t>服务过程中所出现的一切安全事故，造成的经济损失和人员伤亡的责任均由成交供应商负责处理并承担所有法律责任。</w:t>
            </w:r>
          </w:p>
          <w:p>
            <w:pPr>
              <w:pStyle w:val="4"/>
              <w:ind w:firstLine="482"/>
              <w:jc w:val="both"/>
            </w:pPr>
            <w:r>
              <w:rPr>
                <w:rFonts w:ascii="宋体" w:hAnsi="宋体" w:eastAsia="宋体" w:cs="宋体"/>
                <w:b/>
                <w:sz w:val="24"/>
              </w:rPr>
              <w:t>（四）报价要求</w:t>
            </w:r>
          </w:p>
          <w:p>
            <w:pPr>
              <w:pStyle w:val="4"/>
              <w:ind w:firstLine="480"/>
              <w:jc w:val="both"/>
            </w:pPr>
            <w:r>
              <w:rPr>
                <w:rFonts w:ascii="宋体" w:hAnsi="宋体" w:eastAsia="宋体" w:cs="宋体"/>
                <w:sz w:val="24"/>
              </w:rPr>
              <w:t>报价应是全部服务的最终报价，包括但不限于人工工资、保险、福利、税金、管理费等完成本项目所需的所有费用，采购人不再支付其他任何费用，报价估算错误引起的风险由供应商自行负责。</w:t>
            </w:r>
          </w:p>
          <w:p>
            <w:pPr>
              <w:pStyle w:val="4"/>
              <w:ind w:firstLine="480"/>
              <w:jc w:val="both"/>
            </w:pPr>
          </w:p>
          <w:p>
            <w:pPr>
              <w:pStyle w:val="4"/>
              <w:ind w:firstLine="480"/>
              <w:jc w:val="both"/>
            </w:pPr>
            <w:r>
              <w:rPr>
                <w:rFonts w:ascii="宋体" w:hAnsi="宋体" w:eastAsia="宋体" w:cs="宋体"/>
                <w:b/>
                <w:sz w:val="24"/>
                <w:u w:val="single"/>
              </w:rPr>
              <w:t>注：本章标注“</w:t>
            </w:r>
            <w:r>
              <w:rPr>
                <w:rFonts w:ascii="times new roman, times, serif" w:hAnsi="times new roman, times, serif" w:eastAsia="times new roman, times, serif" w:cs="times new roman, times, serif"/>
                <w:b/>
                <w:sz w:val="24"/>
                <w:u w:val="single"/>
              </w:rPr>
              <w:t>★</w:t>
            </w:r>
            <w:r>
              <w:rPr>
                <w:rFonts w:ascii="宋体" w:hAnsi="宋体" w:eastAsia="宋体" w:cs="宋体"/>
                <w:b/>
                <w:sz w:val="24"/>
                <w:u w:val="single"/>
              </w:rPr>
              <w:t>”的为实质性要求，供应商必须满足，否则视为无效响应。</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采购人指定要求</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采购人指定要求</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自合同签订之日起180日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3.3.3验收标准和方法</w:t>
      </w:r>
    </w:p>
    <w:p>
      <w:pPr>
        <w:pStyle w:val="4"/>
      </w:pPr>
    </w:p>
    <w:p>
      <w:pPr>
        <w:pStyle w:val="4"/>
      </w:pPr>
    </w:p>
    <w:p>
      <w:pPr>
        <w:pStyle w:val="4"/>
      </w:pPr>
    </w:p>
    <w:p>
      <w:pPr>
        <w:pStyle w:val="4"/>
      </w:pPr>
      <w:r>
        <w:t>采购包1：</w:t>
      </w:r>
    </w:p>
    <w:p>
      <w:pPr>
        <w:pStyle w:val="4"/>
      </w:pPr>
      <w:r>
        <w:t>按照政府采购相关法律法规及《财政部关于进一步加强政府采购需求和验收管理的指导意见》(财库[2016]205 号)的要求进行验收，由采购人负责组织实施。</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jc w:val="left"/>
        <w:outlineLvl w:val="3"/>
      </w:pPr>
      <w:r>
        <w:rPr>
          <w:b/>
          <w:sz w:val="24"/>
        </w:rPr>
        <w:t>3.3.5支付约定</w:t>
      </w:r>
    </w:p>
    <w:p>
      <w:pPr>
        <w:pStyle w:val="4"/>
      </w:pPr>
    </w:p>
    <w:p>
      <w:pPr>
        <w:pStyle w:val="4"/>
      </w:pPr>
    </w:p>
    <w:p>
      <w:pPr>
        <w:pStyle w:val="4"/>
      </w:pPr>
    </w:p>
    <w:p>
      <w:pPr>
        <w:pStyle w:val="4"/>
      </w:pPr>
      <w:r>
        <w:t>采购包1： 付款条件说明： 设计方案通过审核后 ，达到付款条件起 30 日内，支付合同总金额的 2.00%。</w:t>
      </w:r>
    </w:p>
    <w:p>
      <w:pPr>
        <w:pStyle w:val="4"/>
      </w:pPr>
      <w:r>
        <w:t>采购包1： 付款条件说明： 项目实施完成验收合格后 ，达到付款条件起 30 日内，支付合同总金额的 98.00%。</w:t>
      </w:r>
    </w:p>
    <w:p>
      <w:pPr>
        <w:pStyle w:val="4"/>
        <w:jc w:val="left"/>
        <w:outlineLvl w:val="3"/>
      </w:pPr>
      <w:r>
        <w:rPr>
          <w:b/>
          <w:sz w:val="24"/>
        </w:rPr>
        <w:t>3.3.6违约责任与解决争议的方法</w:t>
      </w:r>
    </w:p>
    <w:p>
      <w:pPr>
        <w:pStyle w:val="4"/>
      </w:pPr>
    </w:p>
    <w:p>
      <w:pPr>
        <w:pStyle w:val="4"/>
      </w:pPr>
    </w:p>
    <w:p>
      <w:pPr>
        <w:pStyle w:val="4"/>
      </w:pPr>
    </w:p>
    <w:p>
      <w:pPr>
        <w:pStyle w:val="4"/>
      </w:pPr>
      <w:r>
        <w:t>采购包1：</w:t>
      </w:r>
    </w:p>
    <w:p>
      <w:pPr>
        <w:pStyle w:val="4"/>
      </w:pPr>
      <w:r>
        <w:t>如因成交供应商工作人员在履行职务过程中的的疏忽、失职、过错等故意或者过失原因给采购人造成损失或侵害，包括但不限于采购人本身的财产损失、由此而导致的采购人对任何第三方的法律责任等，成交供应商对此均应承担全部的赔偿责任。</w:t>
      </w:r>
    </w:p>
    <w:p>
      <w:pPr>
        <w:pStyle w:val="4"/>
        <w:outlineLvl w:val="3"/>
      </w:pPr>
      <w:r>
        <w:rPr>
          <w:b/>
          <w:sz w:val="24"/>
        </w:rPr>
        <w:t>3.4 其它要求</w:t>
      </w:r>
    </w:p>
    <w:p>
      <w:pPr>
        <w:pStyle w:val="4"/>
      </w:pPr>
    </w:p>
    <w:p>
      <w:pPr>
        <w:pStyle w:val="4"/>
      </w:pPr>
    </w:p>
    <w:p>
      <w:pPr>
        <w:pStyle w:val="4"/>
      </w:pPr>
      <w:r>
        <w:t>★以上“3.3、商务要求”均为实质性要求。</w:t>
      </w:r>
    </w:p>
    <w:p>
      <w:pPr>
        <w:pStyle w:val="4"/>
      </w:pPr>
    </w:p>
    <w:p>
      <w:pPr>
        <w:pStyle w:val="4"/>
        <w:rPr>
          <w:rFonts w:hint="eastAsia"/>
          <w:lang w:val="en-US" w:eastAsia="zh-Hans"/>
        </w:rPr>
      </w:pPr>
      <w: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quot;times new roman&quot;">
    <w:altName w:val="Segoe Print"/>
    <w:panose1 w:val="00000000000000000000"/>
    <w:charset w:val="00"/>
    <w:family w:val="auto"/>
    <w:pitch w:val="default"/>
    <w:sig w:usb0="00000000" w:usb1="00000000" w:usb2="00000000" w:usb3="00000000" w:csb0="00000000" w:csb1="00000000"/>
  </w:font>
  <w:font w:name="times new roman, time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MDJiZWM4MGY2OGE2Y2EwNmNjOGU5NDcxYWQ2YmUifQ=="/>
  </w:docVars>
  <w:rsids>
    <w:rsidRoot w:val="53B52B8D"/>
    <w:rsid w:val="177F50ED"/>
    <w:rsid w:val="3DDE002C"/>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Rollforme1406076355</cp:lastModifiedBy>
  <dcterms:modified xsi:type="dcterms:W3CDTF">2024-03-28T02:19:24Z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0038A1AB8ADD43F99A200C71B7A62C03_12</vt:lpwstr>
  </property>
</Properties>
</file>