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rPr>
          <w:rFonts w:ascii="宋体" w:hAnsi="宋体" w:eastAsia="宋体" w:cs="宋体"/>
          <w:color w:val="3498DB"/>
          <w:sz w:val="21"/>
        </w:rPr>
        <w:t xml:space="preserve"> </w:t>
      </w:r>
      <w:r>
        <w:rPr>
          <w:rFonts w:ascii="宋体" w:hAnsi="宋体" w:eastAsia="宋体" w:cs="宋体"/>
          <w:sz w:val="21"/>
        </w:rPr>
        <w:t>移动监测站（车）是保证无线电监测网覆盖能力的重要手段之一，主要应用于对无线电信号发射源的追踪定位，完成不明无线电信号查找、无线电干扰查处及重大活动、重点地区的无线电安全保障任务。为进一步提高我市机动监测能力，本项目拟新购一辆移动监测载体车辆，并进行集成改装、国家工信部特种作业车辆公告、特种车辆上户等。</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500,000.00</w:t>
      </w:r>
    </w:p>
    <w:p>
      <w:pPr>
        <w:pStyle w:val="4"/>
      </w:pPr>
      <w:r>
        <w:t>采购包最高限价（元）: 500,000.00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无线电管理特种车辆</w:t>
            </w:r>
          </w:p>
        </w:tc>
        <w:tc>
          <w:tcPr>
            <w:tcW w:w="848" w:type="dxa"/>
          </w:tcPr>
          <w:p>
            <w:pPr>
              <w:pStyle w:val="4"/>
              <w:jc w:val="right"/>
            </w:pPr>
            <w:r>
              <w:t>1.00</w:t>
            </w:r>
          </w:p>
        </w:tc>
        <w:tc>
          <w:tcPr>
            <w:tcW w:w="1356" w:type="dxa"/>
          </w:tcPr>
          <w:p>
            <w:pPr>
              <w:pStyle w:val="4"/>
              <w:jc w:val="right"/>
            </w:pPr>
            <w:r>
              <w:t>500,000.00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标的名称：无线电管理特种车辆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8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both"/>
            </w:pPr>
            <w:r>
              <w:rPr>
                <w:rFonts w:ascii="宋体" w:hAnsi="宋体" w:eastAsia="宋体" w:cs="宋体"/>
                <w:sz w:val="21"/>
              </w:rPr>
              <w:t>1、车辆技术参数要求</w:t>
            </w:r>
          </w:p>
          <w:p>
            <w:pPr>
              <w:pStyle w:val="4"/>
              <w:jc w:val="both"/>
            </w:pPr>
            <w:r>
              <w:rPr>
                <w:rFonts w:ascii="宋体" w:hAnsi="宋体" w:eastAsia="宋体" w:cs="宋体"/>
                <w:sz w:val="21"/>
              </w:rPr>
              <w:t>（1）承载车辆采用国产品牌5门5座SUV越野车型。</w:t>
            </w:r>
          </w:p>
          <w:p>
            <w:pPr>
              <w:pStyle w:val="4"/>
              <w:jc w:val="both"/>
            </w:pPr>
            <w:r>
              <w:rPr>
                <w:rFonts w:ascii="宋体" w:hAnsi="宋体" w:eastAsia="宋体" w:cs="宋体"/>
                <w:sz w:val="21"/>
              </w:rPr>
              <w:t>（2）车辆外观颜色为黑色，内饰颜色在车辆采购前由采购人确认。</w:t>
            </w:r>
          </w:p>
          <w:p>
            <w:pPr>
              <w:pStyle w:val="4"/>
              <w:jc w:val="both"/>
            </w:pPr>
            <w:r>
              <w:rPr>
                <w:rFonts w:ascii="宋体" w:hAnsi="宋体" w:eastAsia="宋体" w:cs="宋体"/>
                <w:sz w:val="21"/>
              </w:rPr>
              <w:t>（3）能源类型及环保标准：汽油轻混动力系统、国VI B。</w:t>
            </w:r>
          </w:p>
          <w:p>
            <w:pPr>
              <w:pStyle w:val="4"/>
              <w:jc w:val="both"/>
            </w:pPr>
            <w:r>
              <w:rPr>
                <w:rFonts w:ascii="宋体" w:hAnsi="宋体" w:eastAsia="宋体" w:cs="宋体"/>
                <w:sz w:val="21"/>
              </w:rPr>
              <w:t>（4）发动机排量(L)≥3.0T双涡轮增压，9档手自一体。</w:t>
            </w:r>
          </w:p>
          <w:p>
            <w:pPr>
              <w:pStyle w:val="4"/>
              <w:jc w:val="both"/>
            </w:pPr>
            <w:r>
              <w:rPr>
                <w:rFonts w:ascii="宋体" w:hAnsi="宋体" w:eastAsia="宋体" w:cs="宋体"/>
                <w:sz w:val="21"/>
              </w:rPr>
              <w:t>（5）驱动方式：分时四驱或全时四驱。</w:t>
            </w:r>
          </w:p>
          <w:p>
            <w:pPr>
              <w:pStyle w:val="4"/>
              <w:jc w:val="both"/>
            </w:pPr>
            <w:r>
              <w:rPr>
                <w:rFonts w:ascii="宋体" w:hAnsi="宋体" w:eastAsia="宋体" w:cs="宋体"/>
                <w:sz w:val="21"/>
              </w:rPr>
              <w:t>（6）发动机最大功率≥260kW/rpm、最大扭矩≥500N.m/rpm。</w:t>
            </w:r>
          </w:p>
          <w:p>
            <w:pPr>
              <w:pStyle w:val="4"/>
              <w:jc w:val="both"/>
            </w:pPr>
            <w:r>
              <w:rPr>
                <w:rFonts w:ascii="宋体" w:hAnsi="宋体" w:eastAsia="宋体" w:cs="宋体"/>
                <w:sz w:val="21"/>
              </w:rPr>
              <w:t>（7）长×宽×高(mm)：≥5070×1930×1900(mm)。</w:t>
            </w:r>
          </w:p>
          <w:p>
            <w:pPr>
              <w:pStyle w:val="4"/>
              <w:jc w:val="both"/>
            </w:pPr>
            <w:r>
              <w:rPr>
                <w:rFonts w:ascii="宋体" w:hAnsi="宋体" w:eastAsia="宋体" w:cs="宋体"/>
                <w:sz w:val="21"/>
              </w:rPr>
              <w:t>（8）连续行驶里程：集成后的车辆在以55%最高车速匀速行驶时，续驶里程＞600km,具有良好的通过性、接近角、离地角，最小离地间隙。</w:t>
            </w:r>
          </w:p>
          <w:p>
            <w:pPr>
              <w:pStyle w:val="4"/>
              <w:jc w:val="both"/>
            </w:pPr>
            <w:r>
              <w:rPr>
                <w:rFonts w:ascii="宋体" w:hAnsi="宋体" w:eastAsia="宋体" w:cs="宋体"/>
                <w:sz w:val="21"/>
              </w:rPr>
              <w:t>（9）其它要求：所选车辆应保证改装后车辆前、后桥满载质量不大于原车厂规定的满载质量。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jc w:val="both"/>
            </w:pPr>
            <w:r>
              <w:rPr>
                <w:rFonts w:ascii="宋体" w:hAnsi="宋体" w:eastAsia="宋体" w:cs="宋体"/>
                <w:sz w:val="21"/>
              </w:rPr>
              <w:t>2、车顶改装要求：</w:t>
            </w:r>
          </w:p>
          <w:p>
            <w:pPr>
              <w:pStyle w:val="4"/>
              <w:jc w:val="both"/>
            </w:pPr>
            <w:r>
              <w:rPr>
                <w:rFonts w:ascii="宋体" w:hAnsi="宋体" w:eastAsia="宋体" w:cs="宋体"/>
                <w:sz w:val="21"/>
              </w:rPr>
              <w:t>在车顶平台上部加装玻璃钢材质流线型测向天线罩和玻璃钢材质监测天线罩，对车顶开孔处和天线罩底部进行有效防水处理。测向天线罩直径≤1100mm，高度≤580mm（含安装底座）。监测天线罩直径≤190mm，高度≤550mm。改装集成后含天线罩整车高度＜2.5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jc w:val="both"/>
            </w:pPr>
            <w:r>
              <w:rPr>
                <w:rFonts w:ascii="宋体" w:hAnsi="宋体" w:eastAsia="宋体" w:cs="宋体"/>
                <w:sz w:val="21"/>
              </w:rPr>
              <w:t>3、车内改装要求：</w:t>
            </w:r>
          </w:p>
          <w:p>
            <w:pPr>
              <w:pStyle w:val="4"/>
              <w:jc w:val="both"/>
            </w:pPr>
            <w:r>
              <w:rPr>
                <w:rFonts w:ascii="宋体" w:hAnsi="宋体" w:eastAsia="宋体" w:cs="宋体"/>
                <w:sz w:val="21"/>
              </w:rPr>
              <w:t>保留原车座椅，根据车型结构安装19英寸左右设备机柜，并预留一定空间用于放置其它附属设备，如线缆盘、不锈钢灭火器等。机柜要求结构稳定可靠、安装方便、可维修性好，贯彻标准化、系列化、模块化设计；在满足设备安装的情况下，尽可能做到体积小、重量轻、造型美观大方。机柜底部安装孔周围结构牢固、可靠。机柜的结构设计中留有合理的线缆走线位置。</w:t>
            </w:r>
          </w:p>
          <w:p>
            <w:pPr>
              <w:pStyle w:val="4"/>
              <w:jc w:val="both"/>
            </w:pPr>
            <w:r>
              <w:rPr>
                <w:rFonts w:ascii="宋体" w:hAnsi="宋体" w:eastAsia="宋体" w:cs="宋体"/>
                <w:sz w:val="21"/>
              </w:rPr>
              <w:t>机柜后上部设计并制作散热风机安装板，安装板为可拆卸式，并安装散热风机，保证设备工作时空气的流通，使机柜设备散热良好。机柜设置可拆式后板。根据机柜自身重量以及机柜内设备的重量，使用无谐振减震器组（含底部及顶部），对机柜实行有效减震。</w:t>
            </w:r>
            <w:r>
              <w:rPr>
                <w:rFonts w:ascii="Calibri" w:hAnsi="Calibri" w:eastAsia="Calibri" w:cs="Calibri"/>
                <w:sz w:val="21"/>
              </w:rPr>
              <w:t xml:space="preserve">    </w:t>
            </w:r>
            <w:r>
              <w:rPr>
                <w:rFonts w:ascii="宋体" w:hAnsi="宋体" w:eastAsia="宋体" w:cs="宋体"/>
                <w:sz w:val="21"/>
              </w:rPr>
              <w:t>机柜长×宽×高(mm)：≥1050×650×455(mm)。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jc w:val="both"/>
            </w:pPr>
            <w:r>
              <w:rPr>
                <w:rFonts w:ascii="宋体" w:hAnsi="宋体" w:eastAsia="宋体" w:cs="宋体"/>
                <w:sz w:val="21"/>
              </w:rPr>
              <w:t>4、根据工信部、公安部和生态环境部对于特种车辆改装的特殊行业管理要求，投标人或投标人选择的车辆改装企业须具有相应的汽车改装资质（提供工信部装备工业发展中心的道路机动车辆生产企业及产品信息查询网页截图和相应工信部网上公告及附件对应信息和世界制造厂识别代号证书复印件并加盖投标人电子签章）；提供车辆改装企业售后服务承诺函原件以及待改车辆整车制造商出具的针对车辆改装企业的具体车型整车环保授权（需提供相应资料文件复印件并加盖车辆改装企业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t>5、</w:t>
            </w:r>
            <w:r>
              <w:rPr>
                <w:rFonts w:ascii="宋体" w:hAnsi="宋体" w:eastAsia="宋体" w:cs="宋体"/>
                <w:sz w:val="21"/>
              </w:rPr>
              <w:t>车辆改装需向国家相关部门办理相应手续，投标人应申请并取得国家工业和信息化部《道路机动车辆生产企业及产品》监测车公告。车辆在交付使用时应完整提供按照国家关于车辆方面相关规定的手续（包括但不限于：车辆型号铭牌、车辆发票、车辆合格证），保证可以在当地公安车辆管理部门办理车辆牌照及其他相关手续。车辆费用中包括整车采购费用（含车辆检测费、运输费）和税费、车辆购置税、牌照费、商业保险费、特种车辆公告申报费等。</w:t>
            </w:r>
            <w:r>
              <w:rPr>
                <w:rFonts w:ascii="宋体" w:hAnsi="宋体" w:eastAsia="宋体" w:cs="宋体"/>
                <w:b/>
                <w:sz w:val="21"/>
              </w:rPr>
              <w:t>(提供承诺函并加盖投标人电子签章，格式自拟）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t>6、</w:t>
            </w:r>
            <w:r>
              <w:rPr>
                <w:rFonts w:ascii="宋体" w:hAnsi="宋体" w:eastAsia="宋体" w:cs="宋体"/>
                <w:sz w:val="21"/>
              </w:rPr>
              <w:t>投标人需承诺在后期车辆改装过程中符合国家相关标准和交通管理部门有关要求，应遵循如下文件或标准：QC/T934-2012《无线电监测车技术条件》、GB7258-2017《机动车运行安全技术条件》、GA802-2014《机动车类型、术语和定义》、GB1589-2016《汽车、挂车及汽车列车外廓尺寸、轴荷及质量限值》</w:t>
            </w:r>
            <w:r>
              <w:rPr>
                <w:rFonts w:ascii="宋体" w:hAnsi="宋体" w:eastAsia="宋体" w:cs="宋体"/>
                <w:b/>
                <w:sz w:val="21"/>
              </w:rPr>
              <w:t>(提供承诺函并加盖投标人电子签章，格式自拟)。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t>7、</w:t>
            </w:r>
            <w:r>
              <w:rPr>
                <w:rFonts w:ascii="宋体" w:hAnsi="宋体" w:eastAsia="宋体" w:cs="宋体"/>
                <w:sz w:val="21"/>
              </w:rPr>
              <w:t>采购并完成改装的车辆的所有权归属于采购人,采购人在车辆上户手续办理过程中，中标人必须全过程予以配合。车辆改装完毕后所出具的车辆合格证中的整备质量应和实际整备质量相符合(以车辆上牌前采购人所在地当地车辆检测机构数据为准，需符合正常误差范围)，如不符合造成的一切整改责任和额外费用由投标人承担。</w:t>
            </w:r>
            <w:r>
              <w:rPr>
                <w:rFonts w:ascii="宋体" w:hAnsi="宋体" w:eastAsia="宋体" w:cs="宋体"/>
                <w:b/>
                <w:sz w:val="21"/>
              </w:rPr>
              <w:t>(提供承诺函并加盖投标人电子签章，格式自拟)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t>8、</w:t>
            </w:r>
            <w:r>
              <w:rPr>
                <w:rFonts w:ascii="宋体" w:hAnsi="宋体" w:eastAsia="宋体" w:cs="宋体"/>
                <w:sz w:val="21"/>
              </w:rPr>
              <w:t>车辆改装前，中标人应向采购人出具经技术论证评审的改装方案，并经采购人认可后方可实施改装。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jc w:val="both"/>
            </w:pPr>
            <w:r>
              <w:rPr>
                <w:rFonts w:ascii="宋体" w:hAnsi="宋体" w:eastAsia="宋体" w:cs="宋体"/>
                <w:sz w:val="21"/>
              </w:rPr>
              <w:t>9、供应商应根据选用的车辆和选配的设备，提供详细的车辆改装技术方案，技术方案中至少包括以下内容：</w:t>
            </w:r>
          </w:p>
          <w:p>
            <w:pPr>
              <w:pStyle w:val="4"/>
              <w:jc w:val="both"/>
            </w:pPr>
            <w:r>
              <w:rPr>
                <w:rFonts w:ascii="宋体" w:hAnsi="宋体" w:eastAsia="宋体" w:cs="宋体"/>
                <w:sz w:val="21"/>
              </w:rPr>
              <w:t>（1）车辆改装后的整体效果图，结构图（包括各类设备机械安装和尺寸，以及充分反映车辆改造后整体效果的其它材料），详细列出设备配置清单及文本描述。</w:t>
            </w:r>
          </w:p>
          <w:p>
            <w:pPr>
              <w:pStyle w:val="4"/>
              <w:jc w:val="both"/>
            </w:pPr>
            <w:r>
              <w:rPr>
                <w:rFonts w:ascii="宋体" w:hAnsi="宋体" w:eastAsia="宋体" w:cs="宋体"/>
                <w:sz w:val="21"/>
              </w:rPr>
              <w:t>（2）车辆改装后车辆配重、车辆平衡等总体效果和技术说明。</w:t>
            </w:r>
          </w:p>
          <w:p>
            <w:pPr>
              <w:pStyle w:val="4"/>
              <w:jc w:val="both"/>
            </w:pPr>
            <w:r>
              <w:rPr>
                <w:rFonts w:ascii="宋体" w:hAnsi="宋体" w:eastAsia="宋体" w:cs="宋体"/>
                <w:sz w:val="21"/>
              </w:rPr>
              <w:t>（3）车内设备布局应考虑电磁屏蔽；车厢内设备布局以及系统操作区布置合理、美观大方，便于操作使用，便于设备的安装、检修和维护，符合人体工程学要求，并不得影响驾驶员正常驾驶，操作台设计应便于操作人员操作使用。</w:t>
            </w:r>
          </w:p>
          <w:p>
            <w:pPr>
              <w:pStyle w:val="4"/>
              <w:jc w:val="both"/>
            </w:pPr>
            <w:r>
              <w:rPr>
                <w:rFonts w:ascii="宋体" w:hAnsi="宋体" w:eastAsia="宋体" w:cs="宋体"/>
                <w:sz w:val="21"/>
              </w:rPr>
              <w:t>（4）具备适应国内路面行驶的抗震性能，确保所有工具、配件及其其他物品均应在工具箱等位置安放，在行驶中不会掉出，系统设备、机架、车厢的加固能够承受 80-120km/h 的急刹车的附加负载。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jc w:val="left"/>
            </w:pPr>
            <w:r>
              <w:rPr>
                <w:rFonts w:ascii="宋体" w:hAnsi="宋体" w:eastAsia="宋体" w:cs="宋体"/>
                <w:sz w:val="21"/>
              </w:rPr>
              <w:t>10、车辆配置要求</w:t>
            </w: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630"/>
              <w:gridCol w:w="420"/>
              <w:gridCol w:w="420"/>
              <w:gridCol w:w="6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序号</w:t>
                  </w:r>
                </w:p>
              </w:tc>
              <w:tc>
                <w:tcPr>
                  <w:tcW w:w="80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名称</w:t>
                  </w:r>
                </w:p>
              </w:tc>
              <w:tc>
                <w:tcPr>
                  <w:tcW w:w="1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单位</w:t>
                  </w:r>
                </w:p>
              </w:tc>
              <w:tc>
                <w:tcPr>
                  <w:tcW w:w="18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数量</w:t>
                  </w:r>
                </w:p>
              </w:tc>
              <w:tc>
                <w:tcPr>
                  <w:tcW w:w="11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需求描述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8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特种作业车整车搭载平台（车辆）</w:t>
                  </w:r>
                </w:p>
              </w:tc>
              <w:tc>
                <w:tcPr>
                  <w:tcW w:w="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辆</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1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含整车采购费用和税费等。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8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车辆上户费用</w:t>
                  </w:r>
                </w:p>
              </w:tc>
              <w:tc>
                <w:tcPr>
                  <w:tcW w:w="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项</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1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包括车辆购置税、牌照费、商业保险费等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8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特种车辆公告</w:t>
                  </w:r>
                </w:p>
              </w:tc>
              <w:tc>
                <w:tcPr>
                  <w:tcW w:w="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次</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1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监测车公告申报费用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c>
                <w:tcPr>
                  <w:tcW w:w="8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天线罩</w:t>
                  </w:r>
                </w:p>
              </w:tc>
              <w:tc>
                <w:tcPr>
                  <w:tcW w:w="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1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含安装结构件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c>
                <w:tcPr>
                  <w:tcW w:w="8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设备机柜</w:t>
                  </w:r>
                </w:p>
              </w:tc>
              <w:tc>
                <w:tcPr>
                  <w:tcW w:w="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11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含安装结构件及机柜面板</w:t>
                  </w:r>
                </w:p>
              </w:tc>
            </w:tr>
          </w:tbl>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自合同签订之日起120日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合同签订生效之日起 ，达到付款条件起 10 日内，支付合同总金额的 60.00%。</w:t>
      </w:r>
    </w:p>
    <w:p>
      <w:pPr>
        <w:pStyle w:val="4"/>
      </w:pPr>
      <w:r>
        <w:t>采购包1： 付款条件说明： 完成特种车公告、上户及现场交付并验收合格 ，达到付款条件起 30 日内，支付合同总金额的 40.00%。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按照招标文件要求、政府采购相关法律法规以及《财政部关于进一步加强政府采购需求和履约验收管理的指导意见》(财库〔2016〕205号)。</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质保期：验收合格后整车质保3年。</w:t>
      </w:r>
    </w:p>
    <w:p>
      <w:pPr>
        <w:pStyle w:val="4"/>
        <w:outlineLvl w:val="3"/>
      </w:pPr>
      <w:r>
        <w:rPr>
          <w:b/>
          <w:sz w:val="24"/>
        </w:rPr>
        <w:t>3.4.8违约责任与解决争议的方法</w:t>
      </w:r>
    </w:p>
    <w:p>
      <w:pPr>
        <w:pStyle w:val="4"/>
      </w:pPr>
    </w:p>
    <w:p>
      <w:pPr>
        <w:pStyle w:val="4"/>
      </w:pPr>
    </w:p>
    <w:p>
      <w:pPr>
        <w:pStyle w:val="4"/>
      </w:pPr>
      <w:bookmarkStart w:id="0" w:name="_GoBack"/>
      <w:bookmarkEnd w:id="0"/>
    </w:p>
    <w:p>
      <w:pPr>
        <w:pStyle w:val="4"/>
      </w:pPr>
      <w:r>
        <w:t>采购包1：</w:t>
      </w:r>
    </w:p>
    <w:p>
      <w:pPr>
        <w:pStyle w:val="4"/>
      </w:pPr>
      <w:r>
        <w:t>以双方合同约定为准。</w:t>
      </w:r>
    </w:p>
    <w:p>
      <w:pPr>
        <w:pStyle w:val="4"/>
        <w:jc w:val="left"/>
        <w:outlineLvl w:val="2"/>
      </w:pPr>
      <w:r>
        <w:rPr>
          <w:b/>
          <w:sz w:val="28"/>
        </w:rPr>
        <w:t>3.5其他要求</w:t>
      </w:r>
    </w:p>
    <w:p>
      <w:pPr>
        <w:pStyle w:val="4"/>
      </w:pPr>
    </w:p>
    <w:p>
      <w:pPr>
        <w:pStyle w:val="4"/>
      </w:pPr>
    </w:p>
    <w:p>
      <w:pPr>
        <w:pStyle w:val="4"/>
      </w:pPr>
      <w:r>
        <w:t>1、投标人提供针对本项目所购买车辆的改装方案，包含： （1）车辆改装后的整体结构图； （2）多角度三维立体渲染效果图； （3）车辆载荷配重计算和行车稳定性设计说明。 2、投标人提供针对本项目的车辆电磁兼容设计方案，包含： （1）车内设备布局电磁屏蔽； （2）电磁兼容技术说明、电磁兼容验证方法； （3）车辆改装电磁兼容性。 3、技术成熟度要求： （1）投标人提供车辆改装企业对所投同品牌同车型获得工信部监测车公告并已开具特种作业车车辆合格证。 （2）投标人提供车辆改装企业对所投车型的相似车型拥获得工信部监测车公告并已开具特种作业车车辆合格证。 注：提供工信部公告网页截图、合格证、上牌后行驶证并加盖投标人电子签章。 4、拟投入项目人员 投标人拟投入本项目的服务人员，具有中级系统集成项目管理工程师或高级系统分析师。 注：需提供证书复印件、身份证复印件、在职证明材料佐证并加盖投标人电子签章，同一人不重复计分，未提供不得分。 5、技术服务方案要求： 投标人针对本项目提供技术服务方案，包含： （1）实施方案（在货物到达采购人指定地点后，中标人应在48小时内派工程技术人员到达现场，在采购人技术人员在场的情况下开箱清点货物，组织安装、调试，达到正常运行要求，保证采购人正常使用）。 （2）售后方案（①在接到采购人维修及技术服务要求后，2小时内作出维修方案响应，如4小时内无法电话远程解决问题，中标人应在12小时之内派出专业维修工程师到现场进行维修和更换零件。②中标人应有24小时电话维修系统，并列出工程师名单、联系电话、通讯地址。 ③采购清单所有产品的硬件、软件、配件在质保期内，中标人应提供正常保养服务）。 （3）培训方案。（①培训讲师应具备丰富专业知识和实践经验。②培训资料包括但不限于用户手册、设备随附资料等。 ③中标人应根据设备及软件特点，制定详细的培训计划）。 6、类似业绩要求 投标人提供2021年1月1日以来（以合同签订时间为准）完成的类似项目业绩。 注：（类似业绩是指：车辆改装或售卖）,提供采购合同复印件并加盖投标人电子签章。 ★7、投标人所投产品（若涉及)CCC、进网许可证、销售许可证、无线电发射设备型号核准证等前置许可认证的，投标人须提供对应证书或承诺中标后签订合同之前将对应证书交给采购人。（提供承诺函并加盖投标人电子签章，格式自拟） 8、因系统固化原因，特此说明本招标文件“第三章3.4商务要求3.4.1、3.4.2、3.4.3、3.4.4、3.4.5、3.4.6、3.4.7、3.4.8”为实质性要求，投标人必须响应并满足。 9、说明（本说明无需投标人进行响应）：针对招标文件第二章2.4.9中“投标人应按照客户端操作要求，对应招标文件的每项实质性要求，逐一如实响应”，除招标文件中的明确要求进行单独响应或承诺的实质性要求外，对于其他实质性要求，投标人在《投标（响应）函》中以“我单位完全接受和理解本项目采购文件规定的实质性要求”进行承诺即视为响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5ZDNiYTZmZDMwMTg0NDdhMGIwYjNmYzY1ZDE3YTYifQ=="/>
  </w:docVars>
  <w:rsids>
    <w:rsidRoot w:val="00000000"/>
    <w:rsid w:val="4DF72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2024-03-28T03:12:02Z</dcterms:created>
  <dc:creator>l</dc:creator>
  <cp:lastModifiedBy>4396</cp:lastModifiedBy>
  <dcterms:modified xsi:type="dcterms:W3CDTF">2024-03-28T03:12:49Z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597493EE1A03485B89AB1482354DF086_12</vt:lpwstr>
  </property>
</Properties>
</file>