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4"/>
          <w:lang w:eastAsia="zh-CN"/>
        </w:rPr>
      </w:pPr>
      <w:r>
        <w:rPr>
          <w:rFonts w:hint="eastAsia"/>
          <w:b/>
          <w:bCs/>
          <w:sz w:val="40"/>
          <w:szCs w:val="44"/>
          <w:lang w:eastAsia="zh-CN"/>
        </w:rPr>
        <w:t>采购需求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hd w:val="clear" w:color="auto" w:fill="auto"/>
        <w:spacing w:line="400" w:lineRule="exact"/>
        <w:ind w:leftChars="0"/>
        <w:outlineLvl w:val="1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一、采购清单（实质性要求）</w:t>
      </w:r>
    </w:p>
    <w:p>
      <w:pPr>
        <w:pStyle w:val="3"/>
        <w:numPr>
          <w:ilvl w:val="0"/>
          <w:numId w:val="0"/>
        </w:numPr>
        <w:shd w:val="clear" w:color="auto" w:fill="auto"/>
        <w:ind w:leftChars="0"/>
        <w:rPr>
          <w:rFonts w:hint="eastAsia"/>
          <w:color w:val="auto"/>
          <w:highlight w:val="none"/>
          <w:lang w:val="en-US" w:eastAsia="zh-CN"/>
        </w:rPr>
      </w:pPr>
    </w:p>
    <w:tbl>
      <w:tblPr>
        <w:tblStyle w:val="5"/>
        <w:tblpPr w:leftFromText="180" w:rightFromText="180" w:vertAnchor="text" w:horzAnchor="page" w:tblpX="2641" w:tblpY="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977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shd w:val="clear" w:color="auto" w:fill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977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shd w:val="clear" w:color="auto" w:fill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货物名称/标的名称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shd w:val="clear" w:color="auto" w:fill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数量/单位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97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有机肥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570吨</w:t>
            </w:r>
          </w:p>
        </w:tc>
      </w:tr>
    </w:tbl>
    <w:p>
      <w:pPr>
        <w:numPr>
          <w:ilvl w:val="0"/>
          <w:numId w:val="0"/>
        </w:numPr>
        <w:shd w:val="clear" w:color="auto" w:fill="auto"/>
        <w:spacing w:line="400" w:lineRule="exact"/>
        <w:ind w:leftChars="0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shd w:val="clear" w:color="auto" w:fill="auto"/>
        <w:spacing w:line="400" w:lineRule="exact"/>
        <w:ind w:leftChars="0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shd w:val="clear" w:color="auto" w:fill="auto"/>
        <w:spacing w:line="400" w:lineRule="exact"/>
        <w:ind w:leftChars="0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shd w:val="clear" w:color="auto" w:fill="auto"/>
        <w:spacing w:line="400" w:lineRule="exact"/>
        <w:outlineLvl w:val="1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二、采购内容及设备相关技术参数（实质性要求）</w:t>
      </w:r>
    </w:p>
    <w:tbl>
      <w:tblPr>
        <w:tblStyle w:val="5"/>
        <w:tblpPr w:leftFromText="180" w:rightFromText="180" w:vertAnchor="text" w:horzAnchor="page" w:tblpX="2641" w:tblpY="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shd w:val="clear" w:color="auto" w:fill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463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shd w:val="clear" w:color="auto" w:fill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936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hd w:val="clear" w:color="auto" w:fill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463" w:type="dxa"/>
            <w:noWrap w:val="0"/>
            <w:vAlign w:val="center"/>
          </w:tcPr>
          <w:p>
            <w:pPr>
              <w:pStyle w:val="3"/>
              <w:numPr>
                <w:ilvl w:val="0"/>
                <w:numId w:val="1"/>
              </w:numPr>
              <w:shd w:val="clear" w:color="auto" w:fill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有机质的质量分数(以烘干基计≥30%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；</w:t>
            </w:r>
          </w:p>
          <w:p>
            <w:pPr>
              <w:pStyle w:val="3"/>
              <w:numPr>
                <w:ilvl w:val="0"/>
                <w:numId w:val="1"/>
              </w:numPr>
              <w:shd w:val="clear" w:color="auto" w:fill="auto"/>
              <w:jc w:val="both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总养分(N+</w:t>
            </w:r>
            <w:r>
              <w:rPr>
                <w:rFonts w:hint="eastAsia" w:ascii="宋体" w:hAnsi="宋体" w:eastAsia="宋体" w:cs="宋体"/>
                <w:color w:val="auto"/>
                <w:spacing w:val="31"/>
                <w:sz w:val="24"/>
                <w:szCs w:val="24"/>
                <w:highlight w:val="none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color w:val="auto"/>
                <w:spacing w:val="31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31"/>
                <w:sz w:val="24"/>
                <w:szCs w:val="24"/>
                <w:highlight w:val="none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31"/>
                <w:sz w:val="24"/>
                <w:szCs w:val="24"/>
                <w:highlight w:val="none"/>
                <w:vertAlign w:val="subscript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31"/>
                <w:sz w:val="24"/>
                <w:szCs w:val="24"/>
                <w:highlight w:val="none"/>
                <w:lang w:eastAsia="zh-CN"/>
              </w:rPr>
              <w:t>+K</w:t>
            </w:r>
            <w:r>
              <w:rPr>
                <w:rFonts w:hint="eastAsia" w:ascii="宋体" w:hAnsi="宋体" w:eastAsia="宋体" w:cs="宋体"/>
                <w:color w:val="auto"/>
                <w:spacing w:val="31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31"/>
                <w:sz w:val="24"/>
                <w:szCs w:val="24"/>
                <w:highlight w:val="none"/>
                <w:lang w:eastAsia="zh-CN"/>
              </w:rPr>
              <w:t>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) 的质量分数(以烘干基计)≥4%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；</w:t>
            </w:r>
          </w:p>
          <w:p>
            <w:pPr>
              <w:pStyle w:val="3"/>
              <w:numPr>
                <w:ilvl w:val="0"/>
                <w:numId w:val="1"/>
              </w:numPr>
              <w:shd w:val="clear" w:color="auto" w:fill="auto"/>
              <w:jc w:val="both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水分(鲜样)的质量分数≤30%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；</w:t>
            </w:r>
          </w:p>
          <w:p>
            <w:pPr>
              <w:pStyle w:val="3"/>
              <w:numPr>
                <w:ilvl w:val="0"/>
                <w:numId w:val="1"/>
              </w:numPr>
              <w:shd w:val="clear" w:color="auto" w:fill="auto"/>
              <w:jc w:val="both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酸碱度(PH)5.5-8.5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；</w:t>
            </w:r>
          </w:p>
          <w:p>
            <w:pPr>
              <w:pStyle w:val="3"/>
              <w:numPr>
                <w:ilvl w:val="0"/>
                <w:numId w:val="1"/>
              </w:numPr>
              <w:shd w:val="clear" w:color="auto" w:fill="auto"/>
              <w:jc w:val="both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按NY/T525-2021执行。</w:t>
            </w:r>
          </w:p>
        </w:tc>
      </w:tr>
    </w:tbl>
    <w:p>
      <w:pPr>
        <w:pStyle w:val="3"/>
        <w:numPr>
          <w:ilvl w:val="0"/>
          <w:numId w:val="0"/>
        </w:numPr>
        <w:shd w:val="clear" w:color="auto" w:fill="auto"/>
        <w:ind w:leftChars="0"/>
        <w:rPr>
          <w:rFonts w:hint="eastAsia"/>
          <w:color w:val="auto"/>
          <w:highlight w:val="none"/>
          <w:lang w:eastAsia="zh-CN"/>
        </w:rPr>
      </w:pPr>
    </w:p>
    <w:p>
      <w:pPr>
        <w:pStyle w:val="3"/>
        <w:shd w:val="clear" w:color="auto" w:fill="auto"/>
        <w:rPr>
          <w:rFonts w:hint="eastAsia" w:hAnsi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7"/>
        <w:numPr>
          <w:ilvl w:val="0"/>
          <w:numId w:val="0"/>
        </w:numPr>
        <w:shd w:val="clear" w:color="auto" w:fill="auto"/>
        <w:spacing w:line="360" w:lineRule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7"/>
        <w:numPr>
          <w:ilvl w:val="0"/>
          <w:numId w:val="0"/>
        </w:numPr>
        <w:shd w:val="clear" w:color="auto" w:fill="auto"/>
        <w:spacing w:line="360" w:lineRule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7"/>
        <w:numPr>
          <w:ilvl w:val="0"/>
          <w:numId w:val="0"/>
        </w:numPr>
        <w:shd w:val="clear" w:color="auto" w:fill="auto"/>
        <w:spacing w:line="360" w:lineRule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7"/>
        <w:numPr>
          <w:ilvl w:val="0"/>
          <w:numId w:val="0"/>
        </w:numPr>
        <w:shd w:val="clear" w:color="auto" w:fill="auto"/>
        <w:spacing w:line="360" w:lineRule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7"/>
        <w:numPr>
          <w:ilvl w:val="0"/>
          <w:numId w:val="0"/>
        </w:numPr>
        <w:shd w:val="clear" w:color="auto" w:fill="auto"/>
        <w:spacing w:line="360" w:lineRule="auto"/>
        <w:outlineLvl w:val="1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三、商务要求（实质性要求）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1、履约时间：自合同签订之日起30日内。 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2、履约地点：宣汉县高标准农田建设中心。 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3、付款方式：货物运输到采购人指定地点并完成验收后，支付合同金额100%。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4、质保期：自验收合格之日起1年。 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5、履约、验收要求与标准：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5.1验收主体：宣汉县农业农村局；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5.2验收时间：供应商提出验收申请后30日内；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5.3验收方式和程序：一次性验收，由采购人自行组织验收；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5.4技术履约验收内容：按照采购内容的技术服务要求进行验收，符合采购要求。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5.5商务履约验收内容：按照采购文件的合同管理、签约、履约、验收、服务、支付等要求和响应文件及合同约定进行验收，符合采购要求。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5.6验收标准：采购人与成交供应商严格按照财政部印发《关于进一步加强政府采购需求和履约验收管理办法》的通知（财库【2016】205号）及《政府采购需求管理办法》（财库〔2021〕22 号）的相关要求，结合采购文件规定和供应商响应文件及合同承诺的内容进行验收。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AC5C12"/>
    <w:multiLevelType w:val="singleLevel"/>
    <w:tmpl w:val="73AC5C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OGJiZDFiZDRjYmJjY2FlZTMyYmNhMzNmMGZmYzMifQ=="/>
  </w:docVars>
  <w:rsids>
    <w:rsidRoot w:val="09DC09BD"/>
    <w:rsid w:val="09D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20" w:firstLineChars="200"/>
    </w:pPr>
    <w:rPr>
      <w:rFonts w:ascii="Times New Roman"/>
      <w:szCs w:val="24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2024-03-26T08:59:00Z</dcterms:created>
  <dc:creator>Administrator</dc:creator>
  <cp:lastModifiedBy>Administrator</cp:lastModifiedBy>
  <dcterms:modified xsi:type="dcterms:W3CDTF">2024-03-26T08:59:50Z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73201AF5EB7B43BFB55618FA850C0B2B_11</vt:lpwstr>
  </property>
</Properties>
</file>