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kern w:val="0"/>
          <w:sz w:val="36"/>
          <w:szCs w:val="36"/>
        </w:rPr>
      </w:pPr>
    </w:p>
    <w:p>
      <w:pPr>
        <w:spacing w:line="560" w:lineRule="exact"/>
        <w:jc w:val="center"/>
        <w:rPr>
          <w:rFonts w:ascii="宋体" w:hAnsi="宋体" w:cs="宋体"/>
          <w:b/>
          <w:bCs/>
          <w:sz w:val="30"/>
          <w:szCs w:val="30"/>
        </w:rPr>
      </w:pPr>
      <w:r>
        <w:rPr>
          <w:rFonts w:hint="eastAsia" w:ascii="宋体" w:hAnsi="宋体" w:cs="宋体"/>
          <w:b/>
          <w:bCs/>
          <w:sz w:val="30"/>
          <w:szCs w:val="30"/>
        </w:rPr>
        <w:t>雅安市名山区红军百丈关战役烈士纪念园</w:t>
      </w:r>
    </w:p>
    <w:p>
      <w:pPr>
        <w:widowControl/>
        <w:adjustRightInd w:val="0"/>
        <w:snapToGrid w:val="0"/>
        <w:spacing w:line="560" w:lineRule="exact"/>
        <w:ind w:firstLine="2409" w:firstLineChars="800"/>
        <w:outlineLvl w:val="1"/>
        <w:rPr>
          <w:rFonts w:ascii="宋体" w:hAnsi="宋体" w:cs="宋体"/>
          <w:b/>
          <w:bCs/>
          <w:sz w:val="30"/>
          <w:szCs w:val="30"/>
        </w:rPr>
      </w:pPr>
      <w:r>
        <w:rPr>
          <w:rFonts w:hint="eastAsia" w:ascii="宋体" w:hAnsi="宋体" w:cs="宋体"/>
          <w:b/>
          <w:bCs/>
          <w:sz w:val="30"/>
          <w:szCs w:val="30"/>
          <w:shd w:val="clear" w:color="auto" w:fill="FFFFFF"/>
        </w:rPr>
        <w:t>秩序维护及公共服务能力提升项目</w:t>
      </w:r>
    </w:p>
    <w:p>
      <w:pPr>
        <w:pStyle w:val="7"/>
        <w:jc w:val="center"/>
        <w:rPr>
          <w:sz w:val="22"/>
          <w:szCs w:val="16"/>
        </w:rPr>
      </w:pPr>
    </w:p>
    <w:p>
      <w:pPr>
        <w:spacing w:line="360" w:lineRule="auto"/>
        <w:jc w:val="center"/>
        <w:rPr>
          <w:rFonts w:ascii="宋体" w:hAnsi="宋体"/>
          <w:b/>
          <w:sz w:val="60"/>
          <w:szCs w:val="60"/>
        </w:rPr>
      </w:pPr>
    </w:p>
    <w:p>
      <w:pPr>
        <w:spacing w:line="360" w:lineRule="auto"/>
        <w:jc w:val="center"/>
        <w:rPr>
          <w:rFonts w:ascii="宋体" w:hAnsi="宋体"/>
          <w:b/>
          <w:sz w:val="60"/>
          <w:szCs w:val="60"/>
        </w:rPr>
      </w:pPr>
      <w:r>
        <w:rPr>
          <w:rFonts w:hint="eastAsia" w:ascii="宋体" w:hAnsi="宋体"/>
          <w:b/>
          <w:sz w:val="60"/>
          <w:szCs w:val="60"/>
        </w:rPr>
        <w:t>需</w:t>
      </w:r>
    </w:p>
    <w:p>
      <w:pPr>
        <w:spacing w:line="360" w:lineRule="auto"/>
        <w:jc w:val="center"/>
        <w:rPr>
          <w:rFonts w:ascii="宋体" w:hAnsi="宋体"/>
          <w:b/>
          <w:sz w:val="60"/>
          <w:szCs w:val="60"/>
        </w:rPr>
      </w:pPr>
      <w:r>
        <w:rPr>
          <w:rFonts w:hint="eastAsia" w:ascii="宋体" w:hAnsi="宋体"/>
          <w:b/>
          <w:sz w:val="60"/>
          <w:szCs w:val="60"/>
        </w:rPr>
        <w:t>求</w:t>
      </w:r>
    </w:p>
    <w:p>
      <w:pPr>
        <w:spacing w:line="360" w:lineRule="auto"/>
        <w:jc w:val="center"/>
        <w:rPr>
          <w:rFonts w:ascii="宋体" w:hAnsi="宋体"/>
          <w:b/>
          <w:sz w:val="60"/>
          <w:szCs w:val="60"/>
        </w:rPr>
      </w:pPr>
      <w:r>
        <w:rPr>
          <w:rFonts w:hint="eastAsia" w:ascii="宋体" w:hAnsi="宋体"/>
          <w:b/>
          <w:sz w:val="60"/>
          <w:szCs w:val="60"/>
        </w:rPr>
        <w:t>论</w:t>
      </w:r>
    </w:p>
    <w:p>
      <w:pPr>
        <w:spacing w:line="360" w:lineRule="auto"/>
        <w:jc w:val="center"/>
        <w:rPr>
          <w:rFonts w:ascii="宋体" w:hAnsi="宋体"/>
          <w:b/>
          <w:sz w:val="60"/>
          <w:szCs w:val="60"/>
        </w:rPr>
      </w:pPr>
      <w:r>
        <w:rPr>
          <w:rFonts w:hint="eastAsia" w:ascii="宋体" w:hAnsi="宋体"/>
          <w:b/>
          <w:sz w:val="60"/>
          <w:szCs w:val="60"/>
        </w:rPr>
        <w:t>证</w:t>
      </w:r>
    </w:p>
    <w:p>
      <w:pPr>
        <w:spacing w:line="360" w:lineRule="auto"/>
        <w:jc w:val="center"/>
        <w:rPr>
          <w:rFonts w:ascii="宋体" w:hAnsi="宋体"/>
          <w:b/>
          <w:sz w:val="60"/>
          <w:szCs w:val="60"/>
        </w:rPr>
      </w:pPr>
      <w:r>
        <w:rPr>
          <w:rFonts w:hint="eastAsia" w:ascii="宋体" w:hAnsi="宋体"/>
          <w:b/>
          <w:sz w:val="60"/>
          <w:szCs w:val="60"/>
        </w:rPr>
        <w:t>报</w:t>
      </w:r>
    </w:p>
    <w:p>
      <w:pPr>
        <w:spacing w:line="360" w:lineRule="auto"/>
        <w:jc w:val="center"/>
        <w:rPr>
          <w:rFonts w:ascii="宋体" w:hAnsi="宋体"/>
          <w:sz w:val="60"/>
          <w:szCs w:val="60"/>
        </w:rPr>
      </w:pPr>
      <w:r>
        <w:rPr>
          <w:rFonts w:hint="eastAsia" w:ascii="宋体" w:hAnsi="宋体"/>
          <w:b/>
          <w:sz w:val="60"/>
          <w:szCs w:val="60"/>
        </w:rPr>
        <w:t>告</w:t>
      </w:r>
    </w:p>
    <w:p>
      <w:pPr>
        <w:spacing w:line="560" w:lineRule="exact"/>
        <w:jc w:val="center"/>
        <w:rPr>
          <w:rFonts w:ascii="宋体" w:hAnsi="宋体"/>
          <w:sz w:val="32"/>
          <w:szCs w:val="32"/>
        </w:rPr>
      </w:pPr>
    </w:p>
    <w:p>
      <w:pPr>
        <w:spacing w:line="560" w:lineRule="exact"/>
        <w:rPr>
          <w:rFonts w:ascii="宋体" w:hAnsi="宋体"/>
          <w:sz w:val="32"/>
          <w:szCs w:val="32"/>
        </w:rPr>
      </w:pPr>
    </w:p>
    <w:p>
      <w:pPr>
        <w:pStyle w:val="7"/>
      </w:pPr>
    </w:p>
    <w:p>
      <w:pPr>
        <w:spacing w:line="560" w:lineRule="exact"/>
        <w:rPr>
          <w:rFonts w:ascii="宋体" w:hAnsi="宋体"/>
          <w:sz w:val="32"/>
          <w:szCs w:val="32"/>
        </w:rPr>
      </w:pPr>
    </w:p>
    <w:p>
      <w:pPr>
        <w:spacing w:line="360" w:lineRule="auto"/>
        <w:jc w:val="center"/>
        <w:rPr>
          <w:rFonts w:ascii="宋体" w:hAnsi="宋体"/>
          <w:b/>
          <w:sz w:val="32"/>
          <w:szCs w:val="32"/>
        </w:rPr>
      </w:pPr>
      <w:r>
        <w:rPr>
          <w:rFonts w:hint="eastAsia" w:ascii="宋体" w:hAnsi="宋体"/>
          <w:b/>
          <w:sz w:val="32"/>
          <w:szCs w:val="32"/>
        </w:rPr>
        <w:t>采购人：雅安市名山区退役军人事务局</w:t>
      </w:r>
    </w:p>
    <w:p>
      <w:pPr>
        <w:spacing w:line="360" w:lineRule="auto"/>
        <w:jc w:val="center"/>
        <w:rPr>
          <w:rFonts w:ascii="宋体" w:hAnsi="宋体"/>
          <w:b/>
          <w:sz w:val="32"/>
          <w:szCs w:val="32"/>
        </w:rPr>
      </w:pPr>
      <w:r>
        <w:rPr>
          <w:rFonts w:hint="eastAsia" w:ascii="宋体" w:hAnsi="宋体"/>
          <w:b/>
          <w:sz w:val="32"/>
          <w:szCs w:val="32"/>
        </w:rPr>
        <w:t>2023年10月</w:t>
      </w:r>
    </w:p>
    <w:p>
      <w:pPr>
        <w:spacing w:line="560" w:lineRule="exact"/>
        <w:ind w:firstLine="640" w:firstLineChars="200"/>
        <w:jc w:val="left"/>
        <w:rPr>
          <w:rFonts w:ascii="宋体" w:hAnsi="宋体"/>
          <w:szCs w:val="24"/>
        </w:rPr>
      </w:pPr>
      <w:r>
        <w:rPr>
          <w:rFonts w:ascii="宋体" w:hAnsi="宋体"/>
          <w:sz w:val="32"/>
          <w:szCs w:val="32"/>
        </w:rPr>
        <w:br w:type="page"/>
      </w:r>
      <w:r>
        <w:rPr>
          <w:rFonts w:hint="eastAsia" w:ascii="宋体" w:hAnsi="宋体" w:cs="宋体"/>
          <w:kern w:val="0"/>
        </w:rPr>
        <w:t>为保证采购需求科学合理、符合实际，严禁豪华、重复、无用采购发生，按照《财政部关于进一步加强政府采购需求和履约验收管理的指导意见》（财库〔2016〕205号）及《财政部关于印发政府采购需求管理办法的通知》（财库〔2021〕22号）要求及政府采购的相关规定的规定及国家行业主管部门规定的标准、方法和内容的要求，我单位（自行组织</w:t>
      </w:r>
      <w:r>
        <w:rPr>
          <w:rFonts w:hint="eastAsia" w:ascii="宋体" w:hAnsi="宋体" w:cs="宋体"/>
          <w:kern w:val="0"/>
        </w:rPr>
        <w:sym w:font="Wingdings" w:char="00FE"/>
      </w:r>
      <w:r>
        <w:rPr>
          <w:rFonts w:hint="eastAsia" w:ascii="宋体" w:hAnsi="宋体" w:cs="宋体"/>
          <w:kern w:val="0"/>
        </w:rPr>
        <w:t>/委托代理机构</w:t>
      </w:r>
      <w:r>
        <w:rPr>
          <w:rFonts w:hint="eastAsia" w:ascii="宋体" w:hAnsi="宋体"/>
          <w:szCs w:val="24"/>
        </w:rPr>
        <w:t>□</w:t>
      </w:r>
      <w:r>
        <w:rPr>
          <w:rFonts w:hint="eastAsia" w:ascii="宋体" w:hAnsi="宋体" w:cs="宋体"/>
          <w:kern w:val="0"/>
        </w:rPr>
        <w:t>）组织相关专业专家对本次采购项目进行需求论证。</w:t>
      </w:r>
    </w:p>
    <w:tbl>
      <w:tblPr>
        <w:tblStyle w:val="21"/>
        <w:tblpPr w:leftFromText="180" w:rightFromText="180" w:vertAnchor="text" w:tblpX="10540" w:tblpY="-32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tbl>
            <w:tblPr>
              <w:tblStyle w:val="21"/>
              <w:tblpPr w:leftFromText="180" w:rightFromText="180" w:vertAnchor="text" w:tblpX="1" w:tblpY="-10"/>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008" w:type="dxa"/>
                </w:tcPr>
                <w:tbl>
                  <w:tblPr>
                    <w:tblStyle w:val="21"/>
                    <w:tblpPr w:leftFromText="180" w:rightFromText="180" w:vertAnchor="text" w:tblpX="-112" w:tblpY="-200"/>
                    <w:tblOverlap w:val="never"/>
                    <w:tblW w:w="1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218" w:type="dxa"/>
                      </w:tcPr>
                      <w:p>
                        <w:pPr>
                          <w:spacing w:line="560" w:lineRule="exact"/>
                          <w:rPr>
                            <w:rFonts w:ascii="宋体" w:hAnsi="宋体"/>
                            <w:szCs w:val="24"/>
                          </w:rPr>
                        </w:pPr>
                      </w:p>
                    </w:tc>
                  </w:tr>
                </w:tbl>
                <w:p>
                  <w:pPr>
                    <w:spacing w:line="560" w:lineRule="exact"/>
                    <w:rPr>
                      <w:rFonts w:ascii="宋体" w:hAnsi="宋体"/>
                      <w:szCs w:val="24"/>
                    </w:rPr>
                  </w:pPr>
                </w:p>
              </w:tc>
            </w:tr>
          </w:tbl>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spacing w:line="560" w:lineRule="exact"/>
                    <w:rPr>
                      <w:rFonts w:ascii="宋体" w:hAnsi="宋体"/>
                      <w:szCs w:val="24"/>
                    </w:rPr>
                  </w:pPr>
                </w:p>
              </w:tc>
            </w:tr>
          </w:tbl>
          <w:p>
            <w:pPr>
              <w:spacing w:line="560" w:lineRule="exact"/>
              <w:rPr>
                <w:rFonts w:ascii="宋体" w:hAnsi="宋体"/>
                <w:szCs w:val="24"/>
              </w:rPr>
            </w:pPr>
          </w:p>
        </w:tc>
      </w:tr>
    </w:tbl>
    <w:p>
      <w:pPr>
        <w:spacing w:line="560" w:lineRule="exact"/>
        <w:ind w:firstLine="240" w:firstLineChars="100"/>
        <w:rPr>
          <w:rFonts w:ascii="宋体" w:hAnsi="宋体" w:cs="宋体"/>
          <w:b/>
          <w:bCs/>
          <w:szCs w:val="24"/>
        </w:rPr>
      </w:pPr>
      <w:r>
        <w:rPr>
          <w:rFonts w:hint="eastAsia" w:ascii="宋体" w:hAnsi="宋体"/>
          <w:szCs w:val="24"/>
        </w:rPr>
        <w:t>一、项目名称：</w:t>
      </w:r>
      <w:r>
        <w:rPr>
          <w:rFonts w:hint="eastAsia" w:ascii="宋体" w:hAnsi="宋体" w:cs="宋体"/>
          <w:b/>
          <w:bCs/>
          <w:szCs w:val="24"/>
        </w:rPr>
        <w:t>名山区红军百丈关战役烈士纪念园</w:t>
      </w:r>
      <w:r>
        <w:rPr>
          <w:rFonts w:hint="eastAsia" w:ascii="宋体" w:hAnsi="宋体" w:cs="宋体"/>
          <w:b/>
          <w:bCs/>
          <w:szCs w:val="24"/>
          <w:shd w:val="clear" w:color="auto" w:fill="FFFFFF"/>
        </w:rPr>
        <w:t>秩序维护及服务能力提升项目</w:t>
      </w:r>
    </w:p>
    <w:p>
      <w:pPr>
        <w:spacing w:line="560" w:lineRule="exact"/>
        <w:ind w:firstLine="120" w:firstLineChars="50"/>
        <w:rPr>
          <w:rFonts w:ascii="宋体" w:hAnsi="宋体"/>
          <w:szCs w:val="24"/>
        </w:rPr>
      </w:pPr>
      <w:r>
        <w:rPr>
          <w:rFonts w:hint="eastAsia" w:ascii="宋体" w:hAnsi="宋体"/>
          <w:szCs w:val="24"/>
        </w:rPr>
        <w:t>二、项目类别：货物□ 服务☑ 工程□</w:t>
      </w:r>
    </w:p>
    <w:p>
      <w:pPr>
        <w:spacing w:line="560" w:lineRule="exact"/>
        <w:ind w:firstLine="120" w:firstLineChars="50"/>
        <w:rPr>
          <w:rFonts w:hint="eastAsia" w:ascii="宋体" w:hAnsi="宋体" w:eastAsia="宋体"/>
          <w:szCs w:val="24"/>
          <w:u w:val="single"/>
          <w:lang w:eastAsia="zh-CN"/>
        </w:rPr>
      </w:pPr>
      <w:r>
        <w:rPr>
          <w:rFonts w:hint="eastAsia" w:ascii="宋体" w:hAnsi="宋体"/>
          <w:szCs w:val="24"/>
        </w:rPr>
        <w:t>三、项目预算金额：</w:t>
      </w:r>
      <w:r>
        <w:rPr>
          <w:rFonts w:hint="eastAsia" w:ascii="宋体" w:hAnsi="宋体"/>
          <w:szCs w:val="24"/>
          <w:u w:val="single"/>
        </w:rPr>
        <w:t>81.2232万元/年，服务期限：</w:t>
      </w:r>
      <w:r>
        <w:rPr>
          <w:rFonts w:hint="eastAsia" w:ascii="宋体" w:hAnsi="宋体"/>
          <w:szCs w:val="24"/>
          <w:u w:val="single"/>
          <w:shd w:val="clear"/>
          <w:lang w:val="en-US" w:eastAsia="zh-CN"/>
        </w:rPr>
        <w:t>3</w:t>
      </w:r>
      <w:r>
        <w:rPr>
          <w:rFonts w:hint="eastAsia" w:ascii="宋体" w:hAnsi="宋体"/>
          <w:szCs w:val="24"/>
          <w:u w:val="single"/>
          <w:shd w:val="clear"/>
        </w:rPr>
        <w:t>年</w:t>
      </w:r>
      <w:r>
        <w:rPr>
          <w:rFonts w:hint="eastAsia" w:ascii="宋体" w:hAnsi="宋体"/>
          <w:szCs w:val="24"/>
          <w:u w:val="single"/>
          <w:shd w:val="clear"/>
          <w:lang w:eastAsia="zh-CN"/>
        </w:rPr>
        <w:t>（</w:t>
      </w:r>
      <w:r>
        <w:rPr>
          <w:rFonts w:hint="eastAsia" w:ascii="宋体" w:hAnsi="宋体"/>
          <w:szCs w:val="24"/>
          <w:u w:val="single"/>
          <w:shd w:val="clear"/>
          <w:lang w:val="en-US" w:eastAsia="zh-CN"/>
        </w:rPr>
        <w:t>合同一年一签</w:t>
      </w:r>
      <w:r>
        <w:rPr>
          <w:rFonts w:hint="eastAsia" w:ascii="宋体" w:hAnsi="宋体"/>
          <w:szCs w:val="24"/>
          <w:u w:val="single"/>
          <w:shd w:val="clear"/>
          <w:lang w:eastAsia="zh-CN"/>
        </w:rPr>
        <w:t>）</w:t>
      </w:r>
    </w:p>
    <w:p>
      <w:pPr>
        <w:spacing w:line="560" w:lineRule="exact"/>
        <w:ind w:firstLine="120" w:firstLineChars="50"/>
        <w:rPr>
          <w:rFonts w:ascii="宋体" w:hAnsi="宋体"/>
          <w:szCs w:val="24"/>
        </w:rPr>
      </w:pPr>
      <w:r>
        <w:rPr>
          <w:rFonts w:hint="eastAsia" w:ascii="宋体" w:hAnsi="宋体"/>
          <w:szCs w:val="24"/>
        </w:rPr>
        <w:t>四、项目不需进行需求论证的特殊事项：</w:t>
      </w:r>
    </w:p>
    <w:p>
      <w:pPr>
        <w:spacing w:line="560" w:lineRule="exact"/>
        <w:ind w:firstLine="120" w:firstLineChars="50"/>
        <w:rPr>
          <w:rFonts w:ascii="宋体" w:hAnsi="宋体"/>
          <w:szCs w:val="24"/>
        </w:rPr>
      </w:pPr>
      <w:r>
        <w:rPr>
          <w:rFonts w:hint="eastAsia" w:ascii="宋体" w:hAnsi="宋体"/>
          <w:szCs w:val="24"/>
        </w:rPr>
        <w:t>（一）国家、行业有强制标准的采购项目：□</w:t>
      </w:r>
    </w:p>
    <w:p>
      <w:pPr>
        <w:spacing w:line="560" w:lineRule="exact"/>
        <w:ind w:firstLine="120" w:firstLineChars="50"/>
        <w:rPr>
          <w:rFonts w:ascii="宋体" w:hAnsi="宋体"/>
          <w:szCs w:val="24"/>
        </w:rPr>
      </w:pPr>
      <w:r>
        <w:rPr>
          <w:rFonts w:hint="eastAsia" w:ascii="宋体" w:hAnsi="宋体"/>
          <w:szCs w:val="24"/>
        </w:rPr>
        <w:t>（二）不能详细列明采购标的的技术、服务要求，需由供应商提供最终设计方案或解决方案的采购项目：□</w:t>
      </w:r>
    </w:p>
    <w:p>
      <w:pPr>
        <w:spacing w:line="560" w:lineRule="exact"/>
        <w:ind w:firstLine="120" w:firstLineChars="50"/>
        <w:rPr>
          <w:rFonts w:ascii="宋体" w:hAnsi="宋体"/>
          <w:szCs w:val="24"/>
        </w:rPr>
      </w:pPr>
      <w:r>
        <w:rPr>
          <w:rFonts w:hint="eastAsia" w:ascii="宋体" w:hAnsi="宋体"/>
          <w:szCs w:val="24"/>
        </w:rPr>
        <w:t>（三）按照规定进行商城（场）直购、网上竞价、批量集中采购、定点采购的采购项目：□</w:t>
      </w:r>
    </w:p>
    <w:p>
      <w:pPr>
        <w:spacing w:line="560" w:lineRule="exact"/>
        <w:ind w:firstLine="120" w:firstLineChars="50"/>
        <w:rPr>
          <w:rFonts w:ascii="宋体" w:hAnsi="宋体"/>
          <w:szCs w:val="24"/>
        </w:rPr>
      </w:pPr>
      <w:r>
        <w:rPr>
          <w:rFonts w:hint="eastAsia" w:ascii="宋体" w:hAnsi="宋体"/>
          <w:szCs w:val="24"/>
        </w:rPr>
        <w:t>（四）同一年度内，已经论证过的相同采购项目：□</w:t>
      </w:r>
    </w:p>
    <w:p>
      <w:pPr>
        <w:spacing w:line="560" w:lineRule="exact"/>
        <w:ind w:firstLine="120" w:firstLineChars="50"/>
        <w:rPr>
          <w:rFonts w:ascii="宋体" w:hAnsi="宋体"/>
          <w:szCs w:val="24"/>
        </w:rPr>
      </w:pPr>
      <w:r>
        <w:rPr>
          <w:rFonts w:hint="eastAsia" w:ascii="宋体" w:hAnsi="宋体"/>
          <w:szCs w:val="24"/>
        </w:rPr>
        <w:t>（五）政府采购进口产品：□</w:t>
      </w:r>
    </w:p>
    <w:p>
      <w:pPr>
        <w:spacing w:line="560" w:lineRule="exact"/>
        <w:ind w:firstLine="120" w:firstLineChars="50"/>
        <w:rPr>
          <w:rFonts w:ascii="宋体" w:hAnsi="宋体"/>
          <w:szCs w:val="24"/>
        </w:rPr>
      </w:pPr>
      <w:r>
        <w:rPr>
          <w:rFonts w:hint="eastAsia" w:ascii="宋体" w:hAnsi="宋体"/>
          <w:szCs w:val="24"/>
        </w:rPr>
        <w:t>备注：不需进行项目论证的特殊事项采购人应当提供相关证明材料。</w:t>
      </w:r>
    </w:p>
    <w:p>
      <w:pPr>
        <w:spacing w:line="560" w:lineRule="exact"/>
        <w:ind w:firstLine="120" w:firstLineChars="50"/>
        <w:rPr>
          <w:rFonts w:ascii="宋体" w:hAnsi="宋体"/>
          <w:szCs w:val="24"/>
        </w:rPr>
      </w:pPr>
      <w:r>
        <w:rPr>
          <w:rFonts w:hint="eastAsia" w:ascii="宋体" w:hAnsi="宋体"/>
          <w:szCs w:val="24"/>
        </w:rPr>
        <w:t>五、论证方式：</w:t>
      </w:r>
    </w:p>
    <w:p>
      <w:pPr>
        <w:spacing w:line="560" w:lineRule="exact"/>
        <w:ind w:firstLine="120" w:firstLineChars="50"/>
        <w:rPr>
          <w:rFonts w:ascii="宋体" w:hAnsi="宋体"/>
          <w:szCs w:val="24"/>
        </w:rPr>
      </w:pPr>
      <w:r>
        <w:rPr>
          <w:rFonts w:hint="eastAsia" w:ascii="宋体" w:hAnsi="宋体"/>
          <w:szCs w:val="24"/>
        </w:rPr>
        <w:t>（一）组织相关专业人员进行需求论证（市级小于100万元、县级小于50万元的采购项目）：□</w:t>
      </w:r>
    </w:p>
    <w:p>
      <w:pPr>
        <w:spacing w:line="560" w:lineRule="exact"/>
        <w:ind w:firstLine="120" w:firstLineChars="50"/>
        <w:rPr>
          <w:rFonts w:ascii="宋体" w:hAnsi="宋体"/>
          <w:szCs w:val="24"/>
        </w:rPr>
      </w:pPr>
      <w:r>
        <w:rPr>
          <w:rFonts w:hint="eastAsia" w:ascii="宋体" w:hAnsi="宋体"/>
          <w:szCs w:val="24"/>
        </w:rPr>
        <w:t>（二）组织3人以上单数组成专家组进行需求论证（市级100万元以上、小于500万元，县级50万元以上、小于300万元的采购项目）：□</w:t>
      </w:r>
    </w:p>
    <w:p>
      <w:pPr>
        <w:spacing w:line="560" w:lineRule="exact"/>
        <w:ind w:firstLine="120" w:firstLineChars="50"/>
        <w:rPr>
          <w:rFonts w:ascii="宋体" w:hAnsi="宋体"/>
          <w:szCs w:val="24"/>
        </w:rPr>
      </w:pPr>
      <w:r>
        <w:rPr>
          <w:rFonts w:hint="eastAsia" w:ascii="宋体" w:hAnsi="宋体"/>
          <w:szCs w:val="24"/>
        </w:rPr>
        <w:t>（三）组织5人以上单数组成专家组进行需求论证（市级500万元以上、县级300万元以上的采购项目），并在四川政府采购网向社会公示3个工作日以上，征求潜在供应商和社会公众的意见：□</w:t>
      </w:r>
    </w:p>
    <w:p>
      <w:pPr>
        <w:spacing w:line="560" w:lineRule="exact"/>
        <w:ind w:firstLine="120" w:firstLineChars="50"/>
        <w:rPr>
          <w:rFonts w:ascii="宋体" w:hAnsi="宋体"/>
          <w:szCs w:val="24"/>
        </w:rPr>
      </w:pPr>
      <w:r>
        <w:rPr>
          <w:rFonts w:hint="eastAsia" w:ascii="宋体" w:hAnsi="宋体"/>
          <w:szCs w:val="24"/>
        </w:rPr>
        <w:t>六、论证地点：</w:t>
      </w:r>
      <w:r>
        <w:rPr>
          <w:rFonts w:hint="eastAsia" w:ascii="宋体" w:hAnsi="宋体"/>
          <w:szCs w:val="24"/>
          <w:u w:val="single"/>
        </w:rPr>
        <w:t>雅安市名山区</w:t>
      </w:r>
    </w:p>
    <w:p>
      <w:pPr>
        <w:spacing w:line="560" w:lineRule="exact"/>
        <w:ind w:firstLine="120" w:firstLineChars="50"/>
        <w:rPr>
          <w:rFonts w:ascii="宋体" w:hAnsi="宋体"/>
          <w:szCs w:val="24"/>
        </w:rPr>
      </w:pPr>
      <w:r>
        <w:rPr>
          <w:rFonts w:hint="eastAsia" w:ascii="宋体" w:hAnsi="宋体"/>
          <w:szCs w:val="24"/>
        </w:rPr>
        <w:t>七、论证专家组名单：</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3260"/>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pStyle w:val="62"/>
              <w:spacing w:line="560" w:lineRule="exact"/>
              <w:jc w:val="center"/>
              <w:rPr>
                <w:rFonts w:cs="Times New Roman"/>
              </w:rPr>
            </w:pPr>
            <w:r>
              <w:rPr>
                <w:rFonts w:hint="eastAsia" w:cs="Times New Roman"/>
              </w:rPr>
              <w:t>姓名</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62"/>
              <w:spacing w:line="560" w:lineRule="exact"/>
              <w:jc w:val="center"/>
              <w:rPr>
                <w:rFonts w:cs="Times New Roman"/>
              </w:rPr>
            </w:pPr>
            <w:r>
              <w:rPr>
                <w:rFonts w:hint="eastAsia" w:cs="Times New Roman"/>
              </w:rPr>
              <w:t>专业或专家证号</w:t>
            </w:r>
          </w:p>
        </w:tc>
        <w:tc>
          <w:tcPr>
            <w:tcW w:w="4000" w:type="dxa"/>
            <w:tcBorders>
              <w:top w:val="single" w:color="000000" w:sz="4" w:space="0"/>
              <w:left w:val="single" w:color="000000" w:sz="4" w:space="0"/>
              <w:bottom w:val="single" w:color="000000" w:sz="4" w:space="0"/>
              <w:right w:val="single" w:color="000000" w:sz="4" w:space="0"/>
            </w:tcBorders>
            <w:vAlign w:val="center"/>
          </w:tcPr>
          <w:p>
            <w:pPr>
              <w:pStyle w:val="62"/>
              <w:spacing w:line="560" w:lineRule="exact"/>
              <w:jc w:val="center"/>
              <w:rPr>
                <w:rFonts w:cs="Times New Roman"/>
              </w:rPr>
            </w:pPr>
            <w:r>
              <w:rPr>
                <w:rFonts w:hint="eastAsia" w:cs="Times New Roman"/>
              </w:rPr>
              <w:t>工作单位地域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Cs w:val="24"/>
              </w:rPr>
            </w:pP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Cs w:val="24"/>
              </w:rPr>
            </w:pPr>
          </w:p>
        </w:tc>
        <w:tc>
          <w:tcPr>
            <w:tcW w:w="4000" w:type="dxa"/>
            <w:tcBorders>
              <w:top w:val="single" w:color="000000" w:sz="4" w:space="0"/>
              <w:left w:val="single" w:color="000000" w:sz="4" w:space="0"/>
              <w:bottom w:val="single" w:color="000000" w:sz="4" w:space="0"/>
              <w:right w:val="single" w:color="000000" w:sz="4" w:space="0"/>
            </w:tcBorders>
            <w:vAlign w:val="center"/>
          </w:tcPr>
          <w:p>
            <w:pPr>
              <w:pStyle w:val="62"/>
              <w:spacing w:line="560" w:lineRule="exact"/>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Cs w:val="24"/>
              </w:rPr>
            </w:pP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Cs w:val="24"/>
              </w:rPr>
            </w:pPr>
          </w:p>
        </w:tc>
        <w:tc>
          <w:tcPr>
            <w:tcW w:w="4000" w:type="dxa"/>
            <w:tcBorders>
              <w:top w:val="single" w:color="000000" w:sz="4" w:space="0"/>
              <w:left w:val="single" w:color="000000" w:sz="4" w:space="0"/>
              <w:bottom w:val="single" w:color="000000" w:sz="4" w:space="0"/>
              <w:right w:val="single" w:color="000000" w:sz="4" w:space="0"/>
            </w:tcBorders>
            <w:vAlign w:val="center"/>
          </w:tcPr>
          <w:p>
            <w:pPr>
              <w:pStyle w:val="62"/>
              <w:spacing w:line="560" w:lineRule="exact"/>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Cs w:val="24"/>
              </w:rPr>
            </w:pP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Cs w:val="24"/>
              </w:rPr>
            </w:pPr>
          </w:p>
        </w:tc>
        <w:tc>
          <w:tcPr>
            <w:tcW w:w="4000" w:type="dxa"/>
            <w:tcBorders>
              <w:top w:val="single" w:color="000000" w:sz="4" w:space="0"/>
              <w:left w:val="single" w:color="000000" w:sz="4" w:space="0"/>
              <w:bottom w:val="single" w:color="000000" w:sz="4" w:space="0"/>
              <w:right w:val="single" w:color="000000" w:sz="4" w:space="0"/>
            </w:tcBorders>
            <w:vAlign w:val="center"/>
          </w:tcPr>
          <w:p>
            <w:pPr>
              <w:pStyle w:val="62"/>
              <w:spacing w:line="560" w:lineRule="exact"/>
              <w:jc w:val="center"/>
              <w:rPr>
                <w:rFonts w:cs="Times New Roman"/>
              </w:rPr>
            </w:pPr>
          </w:p>
        </w:tc>
      </w:tr>
    </w:tbl>
    <w:p>
      <w:pPr>
        <w:pStyle w:val="62"/>
        <w:spacing w:line="360" w:lineRule="auto"/>
        <w:ind w:firstLine="240" w:firstLineChars="100"/>
        <w:rPr>
          <w:rFonts w:cs="Times New Roman"/>
        </w:rPr>
      </w:pPr>
      <w:r>
        <w:rPr>
          <w:rFonts w:hint="eastAsia" w:cs="Times New Roman"/>
        </w:rPr>
        <w:t>八、专家组论证意见：</w:t>
      </w:r>
    </w:p>
    <w:p>
      <w:pPr>
        <w:pStyle w:val="62"/>
        <w:spacing w:line="360" w:lineRule="auto"/>
        <w:ind w:firstLine="240" w:firstLineChars="100"/>
        <w:rPr>
          <w:rFonts w:cs="Times New Roman"/>
        </w:rPr>
      </w:pPr>
      <w:r>
        <w:rPr>
          <w:rFonts w:hint="eastAsia" w:cs="Times New Roman"/>
        </w:rPr>
        <w:t>（一）属于政府采购政策扶持范围：</w:t>
      </w:r>
    </w:p>
    <w:p>
      <w:pPr>
        <w:pStyle w:val="71"/>
        <w:spacing w:line="360" w:lineRule="auto"/>
        <w:ind w:firstLine="480" w:firstLineChars="200"/>
        <w:rPr>
          <w:rFonts w:cs="Times New Roman"/>
        </w:rPr>
      </w:pPr>
      <w:r>
        <w:rPr>
          <w:rFonts w:hint="eastAsia" w:cs="Times New Roman"/>
        </w:rPr>
        <w:t>1.落实扶持中小企业政策：</w:t>
      </w:r>
    </w:p>
    <w:p>
      <w:pPr>
        <w:pStyle w:val="62"/>
        <w:spacing w:line="360" w:lineRule="auto"/>
        <w:ind w:firstLine="480" w:firstLineChars="200"/>
        <w:rPr>
          <w:rFonts w:cs="Times New Roman"/>
        </w:rPr>
      </w:pPr>
      <w:r>
        <w:rPr>
          <w:rFonts w:hint="eastAsia" w:cs="Times New Roman"/>
        </w:rPr>
        <w:t>2.落实扶持节能环保产品政策：本项目不涉及。</w:t>
      </w:r>
    </w:p>
    <w:p>
      <w:pPr>
        <w:pStyle w:val="62"/>
        <w:spacing w:line="360" w:lineRule="auto"/>
        <w:ind w:firstLine="480" w:firstLineChars="200"/>
        <w:rPr>
          <w:rFonts w:cs="Times New Roman"/>
        </w:rPr>
      </w:pPr>
      <w:r>
        <w:rPr>
          <w:rFonts w:hint="eastAsia" w:cs="Times New Roman"/>
        </w:rPr>
        <w:t>3.属于其他政府采购政策扶持范围：监狱企业、残疾人企业视同为中小企业。</w:t>
      </w:r>
    </w:p>
    <w:p>
      <w:pPr>
        <w:pStyle w:val="62"/>
        <w:spacing w:line="360" w:lineRule="auto"/>
        <w:ind w:firstLine="480" w:firstLineChars="200"/>
        <w:rPr>
          <w:rFonts w:cs="Times New Roman"/>
        </w:rPr>
      </w:pPr>
      <w:r>
        <w:rPr>
          <w:rFonts w:hint="eastAsia" w:cs="Times New Roman"/>
        </w:rPr>
        <w:t>4.扶持不发达地区和少数民族地区，评审报价相同的情况下排名优先。</w:t>
      </w:r>
    </w:p>
    <w:p>
      <w:pPr>
        <w:pStyle w:val="62"/>
        <w:spacing w:line="360" w:lineRule="auto"/>
        <w:ind w:firstLine="240" w:firstLineChars="100"/>
        <w:rPr>
          <w:rFonts w:cs="Times New Roman"/>
        </w:rPr>
      </w:pPr>
      <w:r>
        <w:rPr>
          <w:rFonts w:hint="eastAsia" w:cs="Times New Roman"/>
        </w:rPr>
        <w:t>（二）采购数量、采购标的功能标准、性能标准、材质标准、安全标准、服务标准以及是否有法律法规规定的强制性标准。</w:t>
      </w:r>
    </w:p>
    <w:p>
      <w:pPr>
        <w:pStyle w:val="62"/>
        <w:spacing w:line="360" w:lineRule="auto"/>
        <w:ind w:firstLine="482" w:firstLineChars="200"/>
        <w:rPr>
          <w:rFonts w:cs="Times New Roman"/>
          <w:b/>
          <w:bCs/>
        </w:rPr>
      </w:pPr>
      <w:r>
        <w:rPr>
          <w:rFonts w:hint="eastAsia" w:cs="Times New Roman"/>
          <w:b/>
          <w:bCs/>
        </w:rPr>
        <w:t>备注：项目概况、服务内容及要求、综合能力要求、服务方案及商务要求详见附件1。</w:t>
      </w:r>
    </w:p>
    <w:p>
      <w:pPr>
        <w:pStyle w:val="62"/>
        <w:spacing w:line="360" w:lineRule="auto"/>
        <w:ind w:firstLine="240" w:firstLineChars="100"/>
        <w:rPr>
          <w:rFonts w:cs="Times New Roman"/>
        </w:rPr>
      </w:pPr>
      <w:r>
        <w:rPr>
          <w:rFonts w:cs="Times New Roman"/>
        </w:rPr>
        <w:t>（三）拟采用的</w:t>
      </w:r>
      <w:r>
        <w:rPr>
          <w:rFonts w:hint="eastAsia" w:cs="Times New Roman"/>
        </w:rPr>
        <w:t>采购人形</w:t>
      </w:r>
      <w:r>
        <w:rPr>
          <w:rFonts w:cs="Times New Roman"/>
        </w:rPr>
        <w:t>式、评审方法和评审标准：</w:t>
      </w:r>
    </w:p>
    <w:p>
      <w:pPr>
        <w:pStyle w:val="62"/>
        <w:spacing w:line="360" w:lineRule="auto"/>
        <w:ind w:firstLine="480" w:firstLineChars="200"/>
        <w:rPr>
          <w:rFonts w:cs="Times New Roman"/>
        </w:rPr>
      </w:pPr>
      <w:r>
        <w:rPr>
          <w:rFonts w:hint="eastAsia" w:cs="Times New Roman"/>
        </w:rPr>
        <w:t>采购人</w:t>
      </w:r>
      <w:r>
        <w:rPr>
          <w:rFonts w:cs="Times New Roman"/>
        </w:rPr>
        <w:t>式：</w:t>
      </w:r>
      <w:r>
        <w:rPr>
          <w:rFonts w:hint="eastAsia" w:cs="Times New Roman"/>
        </w:rPr>
        <w:t>竞争性谈判</w:t>
      </w:r>
    </w:p>
    <w:p>
      <w:pPr>
        <w:pStyle w:val="62"/>
        <w:spacing w:line="360" w:lineRule="auto"/>
        <w:ind w:firstLine="480" w:firstLineChars="200"/>
        <w:rPr>
          <w:rFonts w:cs="Times New Roman"/>
        </w:rPr>
      </w:pPr>
      <w:r>
        <w:rPr>
          <w:rFonts w:cs="Times New Roman"/>
        </w:rPr>
        <w:t>评审方法：</w:t>
      </w:r>
      <w:r>
        <w:rPr>
          <w:rFonts w:hint="eastAsia" w:cs="Times New Roman"/>
        </w:rPr>
        <w:t>最低价评审法</w:t>
      </w:r>
    </w:p>
    <w:p>
      <w:pPr>
        <w:pStyle w:val="62"/>
        <w:spacing w:line="360" w:lineRule="auto"/>
        <w:ind w:firstLine="482" w:firstLineChars="200"/>
        <w:rPr>
          <w:rFonts w:cs="Times New Roman"/>
        </w:rPr>
      </w:pPr>
      <w:r>
        <w:rPr>
          <w:rFonts w:hint="eastAsia" w:cs="Times New Roman"/>
          <w:b/>
          <w:bCs/>
        </w:rPr>
        <w:t>备注：综合评分明细表详见附件2。</w:t>
      </w:r>
    </w:p>
    <w:p>
      <w:pPr>
        <w:pStyle w:val="62"/>
        <w:spacing w:line="360" w:lineRule="auto"/>
        <w:ind w:firstLine="240" w:firstLineChars="100"/>
        <w:rPr>
          <w:rFonts w:cs="Times New Roman"/>
        </w:rPr>
      </w:pPr>
      <w:r>
        <w:rPr>
          <w:rFonts w:hint="eastAsia" w:cs="Times New Roman"/>
        </w:rPr>
        <w:t>（四）拟确定的供应商参加采购活动的资格条件：</w:t>
      </w:r>
    </w:p>
    <w:p>
      <w:pPr>
        <w:pStyle w:val="62"/>
        <w:spacing w:line="360" w:lineRule="auto"/>
        <w:ind w:firstLine="480" w:firstLineChars="200"/>
        <w:rPr>
          <w:rFonts w:cs="Times New Roman"/>
        </w:rPr>
      </w:pPr>
      <w:r>
        <w:rPr>
          <w:rFonts w:hint="eastAsia" w:cs="Times New Roman"/>
        </w:rPr>
        <w:t>1.具有独立承担民事责任的能力；</w:t>
      </w:r>
    </w:p>
    <w:p>
      <w:pPr>
        <w:pStyle w:val="62"/>
        <w:spacing w:line="360" w:lineRule="auto"/>
        <w:ind w:firstLine="480" w:firstLineChars="200"/>
        <w:rPr>
          <w:rFonts w:cs="Times New Roman"/>
        </w:rPr>
      </w:pPr>
      <w:r>
        <w:rPr>
          <w:rFonts w:hint="eastAsia" w:cs="Times New Roman"/>
        </w:rPr>
        <w:t>2.具有良好的商业信誉和健全的财务会计制度；</w:t>
      </w:r>
    </w:p>
    <w:p>
      <w:pPr>
        <w:pStyle w:val="62"/>
        <w:spacing w:line="360" w:lineRule="auto"/>
        <w:ind w:firstLine="480" w:firstLineChars="200"/>
        <w:rPr>
          <w:rFonts w:cs="Times New Roman"/>
        </w:rPr>
      </w:pPr>
      <w:r>
        <w:rPr>
          <w:rFonts w:hint="eastAsia" w:cs="Times New Roman"/>
        </w:rPr>
        <w:t>3.具有履行合同所必需的设备和专业技术能力；</w:t>
      </w:r>
    </w:p>
    <w:p>
      <w:pPr>
        <w:pStyle w:val="62"/>
        <w:spacing w:line="360" w:lineRule="auto"/>
        <w:ind w:firstLine="480" w:firstLineChars="200"/>
        <w:rPr>
          <w:rFonts w:cs="Times New Roman"/>
        </w:rPr>
      </w:pPr>
      <w:r>
        <w:rPr>
          <w:rFonts w:hint="eastAsia" w:cs="Times New Roman"/>
        </w:rPr>
        <w:t>4.有依法缴纳税收和社会保障资金的良好记录；</w:t>
      </w:r>
    </w:p>
    <w:p>
      <w:pPr>
        <w:pStyle w:val="62"/>
        <w:spacing w:line="360" w:lineRule="auto"/>
        <w:ind w:firstLine="480" w:firstLineChars="200"/>
        <w:rPr>
          <w:rFonts w:cs="Times New Roman"/>
        </w:rPr>
      </w:pPr>
      <w:r>
        <w:rPr>
          <w:rFonts w:hint="eastAsia" w:cs="Times New Roman"/>
        </w:rPr>
        <w:t>5.参加政府采购活动前三年内，在经营活动中没有重大违法记录；</w:t>
      </w:r>
    </w:p>
    <w:p>
      <w:pPr>
        <w:pStyle w:val="62"/>
        <w:spacing w:line="360" w:lineRule="auto"/>
        <w:ind w:firstLine="480" w:firstLineChars="200"/>
        <w:rPr>
          <w:rFonts w:cs="Times New Roman"/>
        </w:rPr>
      </w:pPr>
      <w:r>
        <w:rPr>
          <w:rFonts w:hint="eastAsia" w:cs="Times New Roman"/>
        </w:rPr>
        <w:t>6.法律、行政法规规定的其他条件；</w:t>
      </w:r>
    </w:p>
    <w:p>
      <w:pPr>
        <w:pStyle w:val="62"/>
        <w:spacing w:line="360" w:lineRule="auto"/>
        <w:ind w:firstLine="480" w:firstLineChars="200"/>
        <w:rPr>
          <w:rFonts w:cs="Times New Roman"/>
        </w:rPr>
      </w:pPr>
      <w:r>
        <w:rPr>
          <w:rFonts w:hint="eastAsia" w:cs="Times New Roman"/>
        </w:rPr>
        <w:t>7.根据项目特殊要求设置的特定条件：无</w:t>
      </w:r>
    </w:p>
    <w:p>
      <w:pPr>
        <w:pStyle w:val="62"/>
        <w:spacing w:line="360" w:lineRule="auto"/>
        <w:ind w:firstLine="240" w:firstLineChars="100"/>
        <w:rPr>
          <w:rFonts w:cs="Times New Roman"/>
        </w:rPr>
      </w:pPr>
      <w:r>
        <w:rPr>
          <w:rFonts w:hint="eastAsia" w:cs="Times New Roman"/>
        </w:rPr>
        <w:t>（五）政府采购项目的实质性要求，政府采购项目履约时间和方式、验收方法和标准及其他合同实质性条款。</w:t>
      </w:r>
    </w:p>
    <w:p>
      <w:pPr>
        <w:spacing w:line="560" w:lineRule="exact"/>
        <w:ind w:firstLine="482" w:firstLineChars="200"/>
        <w:jc w:val="left"/>
        <w:rPr>
          <w:rFonts w:ascii="宋体" w:hAnsi="宋体"/>
          <w:b/>
          <w:bCs/>
          <w:szCs w:val="24"/>
        </w:rPr>
      </w:pPr>
      <w:r>
        <w:rPr>
          <w:rFonts w:hint="eastAsia" w:ascii="宋体" w:hAnsi="宋体"/>
          <w:b/>
          <w:bCs/>
          <w:szCs w:val="24"/>
        </w:rPr>
        <w:t>备注：政府采购合同主要条款详见附件3。</w:t>
      </w:r>
    </w:p>
    <w:p>
      <w:pPr>
        <w:spacing w:line="560" w:lineRule="exact"/>
        <w:ind w:firstLine="240" w:firstLineChars="100"/>
        <w:jc w:val="left"/>
        <w:rPr>
          <w:rFonts w:ascii="宋体" w:hAnsi="宋体"/>
          <w:szCs w:val="24"/>
        </w:rPr>
      </w:pPr>
      <w:r>
        <w:rPr>
          <w:rFonts w:hint="eastAsia"/>
          <w:szCs w:val="24"/>
        </w:rPr>
        <w:t>（六）其他需要论证的事项：无</w:t>
      </w:r>
    </w:p>
    <w:p>
      <w:pPr>
        <w:spacing w:line="560" w:lineRule="exact"/>
        <w:ind w:firstLine="480" w:firstLineChars="200"/>
        <w:jc w:val="left"/>
        <w:rPr>
          <w:rFonts w:ascii="宋体" w:hAnsi="宋体"/>
          <w:szCs w:val="24"/>
        </w:rPr>
      </w:pPr>
      <w:r>
        <w:rPr>
          <w:rFonts w:hint="eastAsia" w:ascii="宋体" w:hAnsi="宋体"/>
          <w:szCs w:val="24"/>
        </w:rPr>
        <w:t>九、专家组意见：</w:t>
      </w:r>
    </w:p>
    <w:p>
      <w:pPr>
        <w:spacing w:line="560" w:lineRule="exact"/>
        <w:ind w:firstLine="480" w:firstLineChars="200"/>
        <w:jc w:val="left"/>
        <w:rPr>
          <w:rFonts w:ascii="宋体" w:hAnsi="宋体"/>
          <w:szCs w:val="24"/>
        </w:rPr>
      </w:pPr>
    </w:p>
    <w:p>
      <w:pPr>
        <w:spacing w:line="560" w:lineRule="exact"/>
        <w:ind w:firstLine="480" w:firstLineChars="200"/>
        <w:jc w:val="left"/>
        <w:rPr>
          <w:rFonts w:ascii="宋体" w:hAnsi="宋体"/>
          <w:szCs w:val="24"/>
        </w:rPr>
      </w:pPr>
      <w:r>
        <w:rPr>
          <w:rFonts w:hint="eastAsia" w:ascii="宋体" w:hAnsi="宋体"/>
          <w:szCs w:val="24"/>
        </w:rPr>
        <w:t>专家组成员签字：</w:t>
      </w:r>
    </w:p>
    <w:p>
      <w:pPr>
        <w:pStyle w:val="5"/>
        <w:ind w:firstLine="480"/>
      </w:pPr>
    </w:p>
    <w:p>
      <w:pPr>
        <w:pStyle w:val="5"/>
        <w:ind w:firstLine="480"/>
      </w:pPr>
    </w:p>
    <w:p>
      <w:pPr>
        <w:spacing w:line="560" w:lineRule="exact"/>
        <w:ind w:firstLine="480" w:firstLineChars="200"/>
        <w:jc w:val="left"/>
        <w:rPr>
          <w:rFonts w:ascii="宋体" w:hAnsi="宋体"/>
          <w:szCs w:val="24"/>
        </w:rPr>
      </w:pPr>
      <w:r>
        <w:rPr>
          <w:rFonts w:hint="eastAsia" w:ascii="宋体" w:hAnsi="宋体"/>
          <w:szCs w:val="24"/>
        </w:rPr>
        <w:t>十、采购人意见：</w:t>
      </w:r>
    </w:p>
    <w:p>
      <w:pPr>
        <w:spacing w:line="560" w:lineRule="exact"/>
        <w:ind w:right="560" w:firstLine="480" w:firstLineChars="200"/>
        <w:jc w:val="center"/>
        <w:rPr>
          <w:rFonts w:ascii="宋体" w:hAnsi="宋体"/>
          <w:szCs w:val="24"/>
        </w:rPr>
      </w:pPr>
    </w:p>
    <w:p>
      <w:pPr>
        <w:spacing w:line="560" w:lineRule="exact"/>
        <w:ind w:right="560" w:firstLine="480" w:firstLineChars="200"/>
        <w:jc w:val="center"/>
        <w:rPr>
          <w:rFonts w:ascii="宋体" w:hAnsi="宋体"/>
          <w:szCs w:val="24"/>
        </w:rPr>
      </w:pPr>
    </w:p>
    <w:p>
      <w:pPr>
        <w:spacing w:line="560" w:lineRule="exact"/>
        <w:ind w:right="560" w:firstLine="480" w:firstLineChars="200"/>
        <w:jc w:val="center"/>
        <w:rPr>
          <w:rFonts w:ascii="宋体" w:hAnsi="宋体"/>
          <w:szCs w:val="24"/>
        </w:rPr>
      </w:pPr>
    </w:p>
    <w:p>
      <w:pPr>
        <w:spacing w:line="560" w:lineRule="exact"/>
        <w:ind w:right="560" w:firstLine="480" w:firstLineChars="200"/>
        <w:jc w:val="center"/>
        <w:rPr>
          <w:rFonts w:ascii="宋体" w:hAnsi="宋体"/>
          <w:szCs w:val="24"/>
        </w:rPr>
      </w:pPr>
      <w:r>
        <w:rPr>
          <w:rFonts w:hint="eastAsia" w:ascii="宋体" w:hAnsi="宋体"/>
          <w:szCs w:val="24"/>
        </w:rPr>
        <w:t xml:space="preserve">                        采购人签章：          </w:t>
      </w:r>
    </w:p>
    <w:p>
      <w:pPr>
        <w:spacing w:line="560" w:lineRule="exact"/>
        <w:ind w:right="560" w:firstLine="480" w:firstLineChars="200"/>
        <w:jc w:val="center"/>
        <w:rPr>
          <w:rFonts w:ascii="宋体" w:hAnsi="宋体"/>
          <w:szCs w:val="24"/>
        </w:rPr>
      </w:pPr>
      <w:r>
        <w:rPr>
          <w:rFonts w:hint="eastAsia" w:ascii="宋体" w:hAnsi="宋体"/>
          <w:szCs w:val="24"/>
        </w:rPr>
        <w:t xml:space="preserve">                                      时  间：    年    月   日</w:t>
      </w:r>
    </w:p>
    <w:p>
      <w:pPr>
        <w:pStyle w:val="2"/>
        <w:spacing w:before="0" w:after="0" w:line="360" w:lineRule="auto"/>
        <w:jc w:val="center"/>
        <w:rPr>
          <w:rFonts w:ascii="宋体" w:hAnsi="宋体" w:eastAsia="宋体"/>
          <w:sz w:val="28"/>
          <w:szCs w:val="28"/>
        </w:rPr>
      </w:pPr>
      <w:r>
        <w:rPr>
          <w:rFonts w:ascii="宋体" w:hAnsi="宋体"/>
        </w:rPr>
        <w:br w:type="page"/>
      </w:r>
      <w:r>
        <w:rPr>
          <w:rFonts w:hint="eastAsia" w:ascii="宋体" w:hAnsi="宋体" w:eastAsia="宋体"/>
          <w:sz w:val="30"/>
          <w:szCs w:val="30"/>
        </w:rPr>
        <w:t>附件1：项目概况、服务内容及要求、综合能力要求、服务方案及商务要求</w:t>
      </w:r>
    </w:p>
    <w:p>
      <w:pPr>
        <w:widowControl/>
        <w:adjustRightInd w:val="0"/>
        <w:snapToGrid w:val="0"/>
        <w:spacing w:line="560" w:lineRule="exact"/>
        <w:ind w:firstLine="590" w:firstLineChars="245"/>
        <w:outlineLvl w:val="1"/>
        <w:rPr>
          <w:rFonts w:ascii="宋体" w:hAnsi="宋体" w:cs="宋体"/>
          <w:b/>
          <w:bCs/>
        </w:rPr>
      </w:pPr>
      <w:r>
        <w:rPr>
          <w:rFonts w:hint="eastAsia" w:ascii="宋体" w:hAnsi="宋体" w:cs="宋体"/>
          <w:b/>
          <w:bCs/>
        </w:rPr>
        <w:t>一、项目概况</w:t>
      </w:r>
    </w:p>
    <w:p>
      <w:pPr>
        <w:pStyle w:val="7"/>
        <w:spacing w:line="560" w:lineRule="exact"/>
        <w:ind w:firstLine="480" w:firstLineChars="200"/>
        <w:rPr>
          <w:rFonts w:cs="Calibri"/>
          <w:sz w:val="24"/>
          <w:szCs w:val="24"/>
        </w:rPr>
      </w:pPr>
      <w:r>
        <w:rPr>
          <w:rFonts w:hint="eastAsia" w:cs="Calibri"/>
          <w:sz w:val="24"/>
          <w:szCs w:val="24"/>
        </w:rPr>
        <w:t>本项目为雅安市名山区红军百丈关战役烈士纪念园公共管理服务，项目服务区域位于名山区百丈镇千尺村。红军百丈关战役烈士纪念园总用地面积 53994㎡（约合81亩），规划总建筑面积4570㎡（其中红军百丈关战役烈士纪念馆建筑面积4263㎡、服务用房建筑面积207㎡、指挥部（碉楼）建筑面积100㎡）；广场面积6320㎡；道路面积6663㎡；停车场面积2280㎡；绿地面积26897㎡；配套建设烈士墓穴7851㎡；连接道路50m，人行步道1870m，人行桥1座，观景平台150㎡。</w:t>
      </w:r>
    </w:p>
    <w:p>
      <w:pPr>
        <w:pStyle w:val="7"/>
        <w:spacing w:line="560" w:lineRule="exact"/>
        <w:ind w:firstLine="480" w:firstLineChars="200"/>
        <w:rPr>
          <w:rFonts w:ascii="宋体" w:hAnsi="宋体" w:cs="宋体"/>
          <w:sz w:val="24"/>
          <w:szCs w:val="24"/>
        </w:rPr>
      </w:pPr>
      <w:r>
        <w:rPr>
          <w:rFonts w:hint="eastAsia" w:cs="Calibri"/>
          <w:sz w:val="24"/>
          <w:szCs w:val="24"/>
        </w:rPr>
        <w:t>项目服务范围为雅安市名山区红军百丈关战役烈士纪念园全部区域的环境维护、消杀（含设备设施和维护耗材）、馆场整理、秩序维护、园区巡查、停车指引、电梯运行管理、消防设备维护保养、监控室24小时值班、绿化维护、垃圾收集分类转运，完成园区其他指令性任务等。</w:t>
      </w:r>
    </w:p>
    <w:p>
      <w:pPr>
        <w:widowControl/>
        <w:numPr>
          <w:ilvl w:val="0"/>
          <w:numId w:val="5"/>
        </w:numPr>
        <w:adjustRightInd w:val="0"/>
        <w:snapToGrid w:val="0"/>
        <w:spacing w:line="560" w:lineRule="exact"/>
        <w:ind w:firstLine="472" w:firstLineChars="196"/>
        <w:outlineLvl w:val="1"/>
        <w:rPr>
          <w:rFonts w:ascii="宋体" w:hAnsi="宋体" w:cs="宋体"/>
          <w:b/>
          <w:bCs/>
        </w:rPr>
      </w:pPr>
      <w:bookmarkStart w:id="0" w:name="_Toc8943"/>
      <w:r>
        <w:rPr>
          <w:rFonts w:hint="eastAsia" w:ascii="宋体" w:hAnsi="宋体" w:cs="宋体"/>
          <w:b/>
          <w:bCs/>
        </w:rPr>
        <w:t>采购内容</w:t>
      </w:r>
    </w:p>
    <w:p/>
    <w:tbl>
      <w:tblPr>
        <w:tblStyle w:val="20"/>
        <w:tblW w:w="931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3886"/>
        <w:gridCol w:w="903"/>
        <w:gridCol w:w="1035"/>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5" w:type="dxa"/>
            <w:vAlign w:val="center"/>
          </w:tcPr>
          <w:p>
            <w:pPr>
              <w:spacing w:line="560" w:lineRule="exact"/>
              <w:jc w:val="center"/>
              <w:rPr>
                <w:rFonts w:ascii="宋体" w:hAnsi="宋体" w:cs="宋体"/>
              </w:rPr>
            </w:pPr>
            <w:r>
              <w:rPr>
                <w:rFonts w:hint="eastAsia" w:ascii="宋体" w:hAnsi="宋体" w:cs="宋体"/>
              </w:rPr>
              <w:t>序号</w:t>
            </w:r>
          </w:p>
        </w:tc>
        <w:tc>
          <w:tcPr>
            <w:tcW w:w="3886" w:type="dxa"/>
            <w:vAlign w:val="center"/>
          </w:tcPr>
          <w:p>
            <w:pPr>
              <w:spacing w:line="560" w:lineRule="exact"/>
              <w:jc w:val="center"/>
              <w:rPr>
                <w:rFonts w:ascii="宋体" w:hAnsi="宋体" w:cs="宋体"/>
              </w:rPr>
            </w:pPr>
            <w:r>
              <w:rPr>
                <w:rFonts w:hint="eastAsia" w:ascii="宋体" w:hAnsi="宋体" w:cs="宋体"/>
              </w:rPr>
              <w:t>服务名称</w:t>
            </w:r>
          </w:p>
        </w:tc>
        <w:tc>
          <w:tcPr>
            <w:tcW w:w="903" w:type="dxa"/>
            <w:vAlign w:val="center"/>
          </w:tcPr>
          <w:p>
            <w:pPr>
              <w:spacing w:line="560" w:lineRule="exact"/>
              <w:jc w:val="center"/>
              <w:rPr>
                <w:rFonts w:ascii="宋体" w:hAnsi="宋体" w:cs="宋体"/>
              </w:rPr>
            </w:pPr>
            <w:r>
              <w:rPr>
                <w:rFonts w:hint="eastAsia" w:ascii="宋体" w:hAnsi="宋体" w:cs="宋体"/>
              </w:rPr>
              <w:t>数量</w:t>
            </w:r>
          </w:p>
        </w:tc>
        <w:tc>
          <w:tcPr>
            <w:tcW w:w="1035" w:type="dxa"/>
            <w:vAlign w:val="center"/>
          </w:tcPr>
          <w:p>
            <w:pPr>
              <w:spacing w:line="560" w:lineRule="exact"/>
              <w:jc w:val="center"/>
              <w:rPr>
                <w:rFonts w:ascii="宋体" w:hAnsi="宋体" w:cs="宋体"/>
              </w:rPr>
            </w:pPr>
            <w:r>
              <w:rPr>
                <w:rFonts w:hint="eastAsia" w:ascii="宋体" w:hAnsi="宋体" w:cs="宋体"/>
              </w:rPr>
              <w:t>单位</w:t>
            </w:r>
          </w:p>
        </w:tc>
        <w:tc>
          <w:tcPr>
            <w:tcW w:w="1294" w:type="dxa"/>
            <w:vAlign w:val="center"/>
          </w:tcPr>
          <w:p>
            <w:pPr>
              <w:spacing w:line="560" w:lineRule="exact"/>
              <w:jc w:val="center"/>
              <w:rPr>
                <w:rFonts w:ascii="宋体" w:hAnsi="宋体" w:cs="宋体"/>
              </w:rPr>
            </w:pPr>
            <w:r>
              <w:rPr>
                <w:rFonts w:hint="eastAsia" w:ascii="宋体" w:hAnsi="宋体" w:cs="宋体"/>
              </w:rPr>
              <w:t>所属行业</w:t>
            </w:r>
          </w:p>
        </w:tc>
        <w:tc>
          <w:tcPr>
            <w:tcW w:w="1294" w:type="dxa"/>
            <w:vAlign w:val="center"/>
          </w:tcPr>
          <w:p>
            <w:pPr>
              <w:spacing w:line="56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05" w:type="dxa"/>
            <w:shd w:val="clear" w:color="auto" w:fill="auto"/>
            <w:vAlign w:val="center"/>
          </w:tcPr>
          <w:p>
            <w:pPr>
              <w:spacing w:line="560" w:lineRule="exact"/>
              <w:jc w:val="center"/>
              <w:rPr>
                <w:rFonts w:ascii="宋体" w:hAnsi="宋体" w:cs="宋体"/>
              </w:rPr>
            </w:pPr>
            <w:r>
              <w:rPr>
                <w:rFonts w:hint="eastAsia" w:ascii="宋体" w:hAnsi="宋体" w:cs="宋体"/>
              </w:rPr>
              <w:t>1</w:t>
            </w:r>
          </w:p>
        </w:tc>
        <w:tc>
          <w:tcPr>
            <w:tcW w:w="3886" w:type="dxa"/>
            <w:shd w:val="clear" w:color="auto" w:fill="auto"/>
            <w:vAlign w:val="center"/>
          </w:tcPr>
          <w:p>
            <w:pPr>
              <w:spacing w:line="560" w:lineRule="exact"/>
              <w:jc w:val="center"/>
              <w:rPr>
                <w:rFonts w:ascii="宋体" w:hAnsi="宋体" w:cs="宋体"/>
              </w:rPr>
            </w:pPr>
            <w:r>
              <w:rPr>
                <w:rFonts w:hint="eastAsia" w:ascii="宋体" w:hAnsi="宋体" w:cs="宋体"/>
                <w:szCs w:val="24"/>
                <w:shd w:val="clear" w:color="auto" w:fill="FFFFFF"/>
              </w:rPr>
              <w:t>秩序维护及公共服务能力提升项目</w:t>
            </w:r>
          </w:p>
        </w:tc>
        <w:tc>
          <w:tcPr>
            <w:tcW w:w="903" w:type="dxa"/>
            <w:shd w:val="clear" w:color="auto" w:fill="auto"/>
            <w:vAlign w:val="center"/>
          </w:tcPr>
          <w:p>
            <w:pPr>
              <w:spacing w:line="560" w:lineRule="exact"/>
              <w:jc w:val="center"/>
              <w:rPr>
                <w:rFonts w:ascii="宋体" w:hAnsi="宋体" w:cs="宋体"/>
              </w:rPr>
            </w:pPr>
            <w:r>
              <w:rPr>
                <w:rFonts w:hint="eastAsia" w:ascii="宋体" w:hAnsi="宋体" w:cs="宋体"/>
              </w:rPr>
              <w:t>1</w:t>
            </w:r>
          </w:p>
        </w:tc>
        <w:tc>
          <w:tcPr>
            <w:tcW w:w="1035" w:type="dxa"/>
            <w:shd w:val="clear" w:color="auto" w:fill="auto"/>
            <w:vAlign w:val="center"/>
          </w:tcPr>
          <w:p>
            <w:pPr>
              <w:spacing w:line="560" w:lineRule="exact"/>
              <w:jc w:val="center"/>
              <w:rPr>
                <w:rFonts w:ascii="宋体" w:hAnsi="宋体" w:cs="宋体"/>
              </w:rPr>
            </w:pPr>
            <w:r>
              <w:rPr>
                <w:rFonts w:hint="eastAsia" w:ascii="宋体" w:hAnsi="宋体" w:cs="宋体"/>
              </w:rPr>
              <w:t>年</w:t>
            </w:r>
          </w:p>
        </w:tc>
        <w:tc>
          <w:tcPr>
            <w:tcW w:w="1294" w:type="dxa"/>
            <w:shd w:val="clear" w:color="auto" w:fill="auto"/>
            <w:vAlign w:val="center"/>
          </w:tcPr>
          <w:p>
            <w:pPr>
              <w:spacing w:line="560" w:lineRule="exact"/>
              <w:rPr>
                <w:rFonts w:ascii="宋体" w:hAnsi="宋体" w:cs="宋体"/>
              </w:rPr>
            </w:pPr>
            <w:r>
              <w:rPr>
                <w:rFonts w:hint="eastAsia" w:ascii="宋体" w:hAnsi="宋体" w:cs="宋体"/>
              </w:rPr>
              <w:t>物业管理</w:t>
            </w:r>
          </w:p>
        </w:tc>
        <w:tc>
          <w:tcPr>
            <w:tcW w:w="1294" w:type="dxa"/>
            <w:shd w:val="clear" w:color="auto" w:fill="auto"/>
            <w:vAlign w:val="center"/>
          </w:tcPr>
          <w:p>
            <w:pPr>
              <w:spacing w:line="560" w:lineRule="exact"/>
              <w:rPr>
                <w:rFonts w:ascii="宋体" w:hAnsi="宋体" w:cs="宋体"/>
              </w:rPr>
            </w:pPr>
          </w:p>
        </w:tc>
      </w:tr>
    </w:tbl>
    <w:p>
      <w:pPr>
        <w:widowControl/>
        <w:adjustRightInd w:val="0"/>
        <w:snapToGrid w:val="0"/>
        <w:spacing w:line="560" w:lineRule="exact"/>
        <w:ind w:firstLine="590" w:firstLineChars="245"/>
        <w:outlineLvl w:val="1"/>
        <w:rPr>
          <w:rFonts w:ascii="宋体" w:hAnsi="宋体" w:cs="宋体"/>
          <w:b/>
          <w:bCs/>
        </w:rPr>
      </w:pPr>
      <w:r>
        <w:rPr>
          <w:rFonts w:hint="eastAsia" w:ascii="宋体" w:hAnsi="宋体" w:cs="宋体"/>
          <w:b/>
          <w:bCs/>
        </w:rPr>
        <w:t>三、项目服务要求</w:t>
      </w:r>
    </w:p>
    <w:p>
      <w:pPr>
        <w:widowControl/>
        <w:adjustRightInd w:val="0"/>
        <w:snapToGrid w:val="0"/>
        <w:spacing w:line="560" w:lineRule="exact"/>
        <w:ind w:firstLine="354" w:firstLineChars="147"/>
        <w:outlineLvl w:val="1"/>
        <w:rPr>
          <w:rFonts w:ascii="宋体" w:hAnsi="宋体" w:cs="宋体"/>
          <w:b/>
          <w:bCs/>
        </w:rPr>
      </w:pPr>
      <w:r>
        <w:rPr>
          <w:rFonts w:hint="eastAsia" w:ascii="宋体" w:hAnsi="宋体" w:cs="宋体"/>
          <w:b/>
          <w:bCs/>
        </w:rPr>
        <w:t>（一）总体要求</w:t>
      </w:r>
    </w:p>
    <w:p>
      <w:pPr>
        <w:pStyle w:val="7"/>
        <w:spacing w:line="560" w:lineRule="exact"/>
        <w:ind w:firstLine="480" w:firstLineChars="200"/>
        <w:rPr>
          <w:rFonts w:cs="Calibri"/>
          <w:sz w:val="24"/>
          <w:szCs w:val="24"/>
        </w:rPr>
      </w:pPr>
      <w:r>
        <w:rPr>
          <w:rFonts w:hint="eastAsia" w:cs="Calibri"/>
          <w:sz w:val="24"/>
          <w:szCs w:val="24"/>
        </w:rPr>
        <w:t>1.遵守园区的各项规章制度，服从管理，听从安排，全面完成工作任务。</w:t>
      </w:r>
    </w:p>
    <w:p>
      <w:pPr>
        <w:pStyle w:val="7"/>
        <w:spacing w:line="560" w:lineRule="exact"/>
        <w:ind w:firstLine="480" w:firstLineChars="200"/>
        <w:rPr>
          <w:rFonts w:cs="Calibri"/>
          <w:sz w:val="24"/>
          <w:szCs w:val="24"/>
        </w:rPr>
      </w:pPr>
      <w:r>
        <w:rPr>
          <w:rFonts w:hint="eastAsia" w:cs="Calibri"/>
          <w:sz w:val="24"/>
          <w:szCs w:val="24"/>
        </w:rPr>
        <w:t>2.本项目服务人员工作期间的疾病和人身安全、安全责任事故、人事关系、劳务纠纷等都由供应商自行负责，采购人不负任何直接或间接责任。</w:t>
      </w:r>
    </w:p>
    <w:p>
      <w:pPr>
        <w:pStyle w:val="7"/>
        <w:spacing w:line="560" w:lineRule="exact"/>
        <w:ind w:firstLine="480" w:firstLineChars="200"/>
        <w:rPr>
          <w:rFonts w:cs="Calibri"/>
          <w:sz w:val="24"/>
          <w:szCs w:val="24"/>
        </w:rPr>
      </w:pPr>
      <w:r>
        <w:rPr>
          <w:rFonts w:hint="eastAsia" w:cs="Calibri"/>
          <w:sz w:val="24"/>
          <w:szCs w:val="24"/>
        </w:rPr>
        <w:t>3.对于供应商配置的主管、服务人员，不能胜任岗位工作要求的，采购人有权要求成交供应商调整人员。供应商需接到采购人通知5个工作日内更换资质相对应人员。</w:t>
      </w:r>
    </w:p>
    <w:p>
      <w:pPr>
        <w:pStyle w:val="7"/>
        <w:spacing w:line="560" w:lineRule="exact"/>
        <w:ind w:firstLine="480" w:firstLineChars="200"/>
        <w:rPr>
          <w:rFonts w:cs="Calibri"/>
          <w:sz w:val="24"/>
          <w:szCs w:val="24"/>
        </w:rPr>
      </w:pPr>
      <w:r>
        <w:rPr>
          <w:rFonts w:hint="eastAsia" w:cs="Calibri"/>
          <w:sz w:val="24"/>
          <w:szCs w:val="24"/>
        </w:rPr>
        <w:t>4.供应商应具备服务人员派遣能力，并建立合法的劳资关系，保障园区服务现场用人所需。</w:t>
      </w:r>
    </w:p>
    <w:p>
      <w:pPr>
        <w:pStyle w:val="7"/>
        <w:spacing w:line="560" w:lineRule="exact"/>
        <w:ind w:firstLine="480" w:firstLineChars="200"/>
        <w:rPr>
          <w:rFonts w:cs="Calibri"/>
          <w:sz w:val="24"/>
          <w:szCs w:val="24"/>
        </w:rPr>
      </w:pPr>
      <w:r>
        <w:rPr>
          <w:rFonts w:hint="eastAsia" w:cs="Calibri"/>
          <w:sz w:val="24"/>
          <w:szCs w:val="24"/>
        </w:rPr>
        <w:t>5.供应商对本项目服务人员做好职业健康关爱工作，建立职业病防治责任体系，所有进场服务人员必须持有二级甲等及以上医院当年的体检合格证明，并每年针对全部员工进行一次健康体检，建立健康档案。</w:t>
      </w:r>
    </w:p>
    <w:p>
      <w:pPr>
        <w:pStyle w:val="7"/>
        <w:spacing w:line="560" w:lineRule="exact"/>
        <w:ind w:firstLine="480" w:firstLineChars="200"/>
        <w:rPr>
          <w:rFonts w:cs="Calibri"/>
          <w:sz w:val="24"/>
          <w:szCs w:val="24"/>
        </w:rPr>
      </w:pPr>
      <w:r>
        <w:rPr>
          <w:rFonts w:hint="eastAsia" w:cs="Calibri"/>
          <w:sz w:val="24"/>
          <w:szCs w:val="24"/>
        </w:rPr>
        <w:t>6.纪念园提供一个办公室和库房，不提供员工宿舍，供应商自行解决员工住宿问题。</w:t>
      </w:r>
    </w:p>
    <w:p>
      <w:pPr>
        <w:widowControl/>
        <w:adjustRightInd w:val="0"/>
        <w:snapToGrid w:val="0"/>
        <w:spacing w:line="560" w:lineRule="exact"/>
        <w:ind w:firstLine="354" w:firstLineChars="147"/>
        <w:outlineLvl w:val="1"/>
        <w:rPr>
          <w:rFonts w:ascii="宋体" w:hAnsi="宋体" w:cs="宋体"/>
          <w:b/>
          <w:bCs/>
        </w:rPr>
      </w:pPr>
      <w:r>
        <w:rPr>
          <w:rFonts w:hint="eastAsia" w:ascii="宋体" w:hAnsi="宋体" w:cs="宋体"/>
          <w:b/>
          <w:bCs/>
        </w:rPr>
        <w:t>（二）服务人员构成、设备配置等相关要求（实质性要求）</w:t>
      </w:r>
    </w:p>
    <w:p>
      <w:pPr>
        <w:tabs>
          <w:tab w:val="left" w:pos="0"/>
        </w:tabs>
        <w:adjustRightInd w:val="0"/>
        <w:snapToGrid w:val="0"/>
        <w:spacing w:line="560" w:lineRule="exact"/>
        <w:ind w:firstLine="482" w:firstLineChars="200"/>
        <w:jc w:val="left"/>
        <w:rPr>
          <w:rFonts w:ascii="宋体" w:hAnsi="宋体"/>
        </w:rPr>
      </w:pPr>
      <w:r>
        <w:rPr>
          <w:rFonts w:hint="eastAsia" w:ascii="宋体" w:hAnsi="宋体" w:cs="宋体"/>
          <w:b/>
        </w:rPr>
        <w:t>1、最低人员配置要求</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3170"/>
        <w:gridCol w:w="298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60" w:type="dxa"/>
          </w:tcPr>
          <w:p>
            <w:pPr>
              <w:pStyle w:val="7"/>
              <w:spacing w:line="560" w:lineRule="exact"/>
              <w:jc w:val="center"/>
              <w:rPr>
                <w:rFonts w:cs="Calibri"/>
                <w:sz w:val="24"/>
                <w:szCs w:val="24"/>
              </w:rPr>
            </w:pPr>
            <w:r>
              <w:rPr>
                <w:rFonts w:hint="eastAsia" w:cs="Calibri"/>
                <w:sz w:val="24"/>
                <w:szCs w:val="24"/>
              </w:rPr>
              <w:t>类别</w:t>
            </w:r>
          </w:p>
        </w:tc>
        <w:tc>
          <w:tcPr>
            <w:tcW w:w="3170" w:type="dxa"/>
          </w:tcPr>
          <w:p>
            <w:pPr>
              <w:pStyle w:val="7"/>
              <w:spacing w:line="560" w:lineRule="exact"/>
              <w:jc w:val="center"/>
              <w:rPr>
                <w:rFonts w:cs="Calibri"/>
                <w:sz w:val="24"/>
                <w:szCs w:val="24"/>
              </w:rPr>
            </w:pPr>
            <w:r>
              <w:rPr>
                <w:rFonts w:hint="eastAsia" w:cs="Calibri"/>
                <w:sz w:val="24"/>
                <w:szCs w:val="24"/>
              </w:rPr>
              <w:t>岗位名称</w:t>
            </w:r>
          </w:p>
        </w:tc>
        <w:tc>
          <w:tcPr>
            <w:tcW w:w="2980" w:type="dxa"/>
          </w:tcPr>
          <w:p>
            <w:pPr>
              <w:pStyle w:val="7"/>
              <w:spacing w:line="560" w:lineRule="exact"/>
              <w:rPr>
                <w:rFonts w:cs="Calibri"/>
                <w:sz w:val="24"/>
                <w:szCs w:val="24"/>
              </w:rPr>
            </w:pPr>
            <w:r>
              <w:rPr>
                <w:rFonts w:hint="eastAsia" w:cs="Calibri"/>
                <w:sz w:val="24"/>
                <w:szCs w:val="24"/>
              </w:rPr>
              <w:t>人数（人）</w:t>
            </w:r>
          </w:p>
        </w:tc>
        <w:tc>
          <w:tcPr>
            <w:tcW w:w="752" w:type="dxa"/>
          </w:tcPr>
          <w:p>
            <w:pPr>
              <w:pStyle w:val="7"/>
              <w:spacing w:line="560" w:lineRule="exact"/>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860" w:type="dxa"/>
            <w:vAlign w:val="center"/>
          </w:tcPr>
          <w:p>
            <w:pPr>
              <w:pStyle w:val="7"/>
              <w:spacing w:line="560" w:lineRule="exact"/>
              <w:jc w:val="center"/>
              <w:rPr>
                <w:rFonts w:cs="Calibri"/>
                <w:sz w:val="24"/>
                <w:szCs w:val="24"/>
              </w:rPr>
            </w:pPr>
            <w:r>
              <w:rPr>
                <w:rFonts w:hint="eastAsia" w:cs="Calibri"/>
                <w:sz w:val="24"/>
                <w:szCs w:val="24"/>
              </w:rPr>
              <w:t>项目负责</w:t>
            </w:r>
          </w:p>
        </w:tc>
        <w:tc>
          <w:tcPr>
            <w:tcW w:w="3170" w:type="dxa"/>
          </w:tcPr>
          <w:p>
            <w:pPr>
              <w:pStyle w:val="7"/>
              <w:spacing w:line="560" w:lineRule="exact"/>
              <w:jc w:val="center"/>
              <w:rPr>
                <w:rFonts w:cs="Calibri"/>
                <w:sz w:val="24"/>
                <w:szCs w:val="24"/>
              </w:rPr>
            </w:pPr>
            <w:r>
              <w:rPr>
                <w:rFonts w:hint="eastAsia" w:cs="Calibri"/>
                <w:sz w:val="24"/>
                <w:szCs w:val="24"/>
              </w:rPr>
              <w:t>项目经理</w:t>
            </w:r>
          </w:p>
        </w:tc>
        <w:tc>
          <w:tcPr>
            <w:tcW w:w="2980" w:type="dxa"/>
          </w:tcPr>
          <w:p>
            <w:pPr>
              <w:pStyle w:val="7"/>
              <w:spacing w:line="560" w:lineRule="exact"/>
              <w:ind w:firstLine="480" w:firstLineChars="200"/>
              <w:rPr>
                <w:rFonts w:cs="Calibri"/>
                <w:sz w:val="24"/>
                <w:szCs w:val="24"/>
              </w:rPr>
            </w:pPr>
            <w:r>
              <w:rPr>
                <w:rFonts w:hint="eastAsia" w:cs="Calibri"/>
                <w:sz w:val="24"/>
                <w:szCs w:val="24"/>
              </w:rPr>
              <w:t>1</w:t>
            </w:r>
          </w:p>
        </w:tc>
        <w:tc>
          <w:tcPr>
            <w:tcW w:w="752" w:type="dxa"/>
          </w:tcPr>
          <w:p>
            <w:pPr>
              <w:pStyle w:val="7"/>
              <w:spacing w:line="560" w:lineRule="exact"/>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60" w:type="dxa"/>
            <w:vMerge w:val="restart"/>
            <w:vAlign w:val="center"/>
          </w:tcPr>
          <w:p>
            <w:pPr>
              <w:pStyle w:val="7"/>
              <w:spacing w:line="560" w:lineRule="exact"/>
              <w:jc w:val="center"/>
              <w:rPr>
                <w:rFonts w:cs="Calibri"/>
                <w:sz w:val="24"/>
                <w:szCs w:val="24"/>
              </w:rPr>
            </w:pPr>
            <w:r>
              <w:rPr>
                <w:rFonts w:hint="eastAsia" w:cs="Calibri"/>
                <w:sz w:val="24"/>
                <w:szCs w:val="24"/>
              </w:rPr>
              <w:t>项目管理</w:t>
            </w:r>
          </w:p>
        </w:tc>
        <w:tc>
          <w:tcPr>
            <w:tcW w:w="3170" w:type="dxa"/>
          </w:tcPr>
          <w:p>
            <w:pPr>
              <w:pStyle w:val="7"/>
              <w:spacing w:line="560" w:lineRule="exact"/>
              <w:jc w:val="center"/>
              <w:rPr>
                <w:rFonts w:cs="Calibri"/>
                <w:sz w:val="24"/>
                <w:szCs w:val="24"/>
              </w:rPr>
            </w:pPr>
            <w:r>
              <w:rPr>
                <w:rFonts w:hint="eastAsia" w:cs="Calibri"/>
                <w:sz w:val="24"/>
                <w:szCs w:val="24"/>
              </w:rPr>
              <w:t>秩序主管</w:t>
            </w:r>
          </w:p>
        </w:tc>
        <w:tc>
          <w:tcPr>
            <w:tcW w:w="2980" w:type="dxa"/>
          </w:tcPr>
          <w:p>
            <w:pPr>
              <w:pStyle w:val="7"/>
              <w:spacing w:line="560" w:lineRule="exact"/>
              <w:ind w:firstLine="480" w:firstLineChars="200"/>
              <w:rPr>
                <w:rFonts w:cs="Calibri"/>
                <w:sz w:val="24"/>
                <w:szCs w:val="24"/>
              </w:rPr>
            </w:pPr>
            <w:r>
              <w:rPr>
                <w:rFonts w:hint="eastAsia" w:cs="Calibri"/>
                <w:sz w:val="24"/>
                <w:szCs w:val="24"/>
              </w:rPr>
              <w:t>1</w:t>
            </w:r>
          </w:p>
        </w:tc>
        <w:tc>
          <w:tcPr>
            <w:tcW w:w="752" w:type="dxa"/>
          </w:tcPr>
          <w:p>
            <w:pPr>
              <w:pStyle w:val="7"/>
              <w:spacing w:line="560" w:lineRule="exact"/>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Merge w:val="continue"/>
            <w:vAlign w:val="center"/>
          </w:tcPr>
          <w:p>
            <w:pPr>
              <w:pStyle w:val="7"/>
              <w:spacing w:line="560" w:lineRule="exact"/>
              <w:ind w:firstLine="480" w:firstLineChars="200"/>
              <w:jc w:val="center"/>
              <w:rPr>
                <w:rFonts w:cs="Calibri"/>
                <w:sz w:val="24"/>
                <w:szCs w:val="24"/>
              </w:rPr>
            </w:pPr>
          </w:p>
        </w:tc>
        <w:tc>
          <w:tcPr>
            <w:tcW w:w="3170" w:type="dxa"/>
          </w:tcPr>
          <w:p>
            <w:pPr>
              <w:pStyle w:val="7"/>
              <w:spacing w:line="560" w:lineRule="exact"/>
              <w:jc w:val="center"/>
              <w:rPr>
                <w:rFonts w:cs="Calibri"/>
                <w:sz w:val="24"/>
                <w:szCs w:val="24"/>
              </w:rPr>
            </w:pPr>
            <w:r>
              <w:rPr>
                <w:rFonts w:hint="eastAsia" w:cs="Calibri"/>
                <w:sz w:val="24"/>
                <w:szCs w:val="24"/>
              </w:rPr>
              <w:t>环境主管</w:t>
            </w:r>
          </w:p>
        </w:tc>
        <w:tc>
          <w:tcPr>
            <w:tcW w:w="2980" w:type="dxa"/>
          </w:tcPr>
          <w:p>
            <w:pPr>
              <w:pStyle w:val="7"/>
              <w:spacing w:line="560" w:lineRule="exact"/>
              <w:ind w:firstLine="480" w:firstLineChars="200"/>
              <w:rPr>
                <w:rFonts w:cs="Calibri"/>
                <w:sz w:val="24"/>
                <w:szCs w:val="24"/>
              </w:rPr>
            </w:pPr>
            <w:r>
              <w:rPr>
                <w:rFonts w:hint="eastAsia" w:cs="Calibri"/>
                <w:sz w:val="24"/>
                <w:szCs w:val="24"/>
              </w:rPr>
              <w:t>1</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Align w:val="center"/>
          </w:tcPr>
          <w:p>
            <w:pPr>
              <w:pStyle w:val="7"/>
              <w:spacing w:line="560" w:lineRule="exact"/>
              <w:jc w:val="center"/>
              <w:rPr>
                <w:rFonts w:cs="Calibri"/>
                <w:sz w:val="24"/>
                <w:szCs w:val="24"/>
              </w:rPr>
            </w:pPr>
            <w:r>
              <w:rPr>
                <w:rFonts w:hint="eastAsia" w:cs="Calibri"/>
                <w:sz w:val="24"/>
                <w:szCs w:val="24"/>
              </w:rPr>
              <w:t>环   境</w:t>
            </w:r>
          </w:p>
        </w:tc>
        <w:tc>
          <w:tcPr>
            <w:tcW w:w="3170" w:type="dxa"/>
          </w:tcPr>
          <w:p>
            <w:pPr>
              <w:pStyle w:val="7"/>
              <w:spacing w:line="560" w:lineRule="exact"/>
              <w:jc w:val="center"/>
              <w:rPr>
                <w:rFonts w:cs="Calibri"/>
                <w:sz w:val="24"/>
                <w:szCs w:val="24"/>
              </w:rPr>
            </w:pPr>
            <w:r>
              <w:rPr>
                <w:rFonts w:hint="eastAsia" w:cs="Calibri"/>
                <w:sz w:val="24"/>
                <w:szCs w:val="24"/>
              </w:rPr>
              <w:t>消杀维护人员</w:t>
            </w:r>
          </w:p>
        </w:tc>
        <w:tc>
          <w:tcPr>
            <w:tcW w:w="2980" w:type="dxa"/>
          </w:tcPr>
          <w:p>
            <w:pPr>
              <w:pStyle w:val="7"/>
              <w:spacing w:line="560" w:lineRule="exact"/>
              <w:ind w:firstLine="480" w:firstLineChars="200"/>
              <w:rPr>
                <w:rFonts w:cs="Calibri"/>
                <w:sz w:val="24"/>
                <w:szCs w:val="24"/>
              </w:rPr>
            </w:pPr>
            <w:r>
              <w:rPr>
                <w:rFonts w:hint="eastAsia" w:cs="Calibri"/>
                <w:sz w:val="24"/>
                <w:szCs w:val="24"/>
              </w:rPr>
              <w:t>6</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Merge w:val="restart"/>
            <w:vAlign w:val="center"/>
          </w:tcPr>
          <w:p>
            <w:pPr>
              <w:pStyle w:val="7"/>
              <w:spacing w:line="560" w:lineRule="exact"/>
              <w:jc w:val="center"/>
              <w:rPr>
                <w:rFonts w:cs="Calibri"/>
                <w:sz w:val="24"/>
                <w:szCs w:val="24"/>
              </w:rPr>
            </w:pPr>
            <w:r>
              <w:rPr>
                <w:rFonts w:hint="eastAsia" w:cs="Calibri"/>
                <w:sz w:val="24"/>
                <w:szCs w:val="24"/>
              </w:rPr>
              <w:t>秩   序</w:t>
            </w:r>
          </w:p>
        </w:tc>
        <w:tc>
          <w:tcPr>
            <w:tcW w:w="3170" w:type="dxa"/>
          </w:tcPr>
          <w:p>
            <w:pPr>
              <w:pStyle w:val="7"/>
              <w:spacing w:line="560" w:lineRule="exact"/>
              <w:jc w:val="center"/>
              <w:rPr>
                <w:rFonts w:cs="Calibri"/>
                <w:sz w:val="24"/>
                <w:szCs w:val="24"/>
              </w:rPr>
            </w:pPr>
            <w:r>
              <w:rPr>
                <w:rFonts w:hint="eastAsia" w:cs="Calibri"/>
                <w:sz w:val="24"/>
                <w:szCs w:val="24"/>
              </w:rPr>
              <w:t>停车场指引</w:t>
            </w:r>
          </w:p>
        </w:tc>
        <w:tc>
          <w:tcPr>
            <w:tcW w:w="2980" w:type="dxa"/>
          </w:tcPr>
          <w:p>
            <w:pPr>
              <w:pStyle w:val="7"/>
              <w:spacing w:line="560" w:lineRule="exact"/>
              <w:ind w:firstLine="480" w:firstLineChars="200"/>
              <w:rPr>
                <w:rFonts w:cs="Calibri"/>
                <w:sz w:val="24"/>
                <w:szCs w:val="24"/>
              </w:rPr>
            </w:pPr>
            <w:r>
              <w:rPr>
                <w:rFonts w:hint="eastAsia" w:cs="Calibri"/>
                <w:sz w:val="24"/>
                <w:szCs w:val="24"/>
              </w:rPr>
              <w:t>1</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Merge w:val="continue"/>
            <w:vAlign w:val="center"/>
          </w:tcPr>
          <w:p>
            <w:pPr>
              <w:pStyle w:val="7"/>
              <w:spacing w:line="560" w:lineRule="exact"/>
              <w:ind w:firstLine="480" w:firstLineChars="200"/>
              <w:jc w:val="center"/>
              <w:rPr>
                <w:rFonts w:cs="Calibri"/>
                <w:sz w:val="24"/>
                <w:szCs w:val="24"/>
              </w:rPr>
            </w:pPr>
          </w:p>
        </w:tc>
        <w:tc>
          <w:tcPr>
            <w:tcW w:w="3170" w:type="dxa"/>
          </w:tcPr>
          <w:p>
            <w:pPr>
              <w:pStyle w:val="7"/>
              <w:spacing w:line="560" w:lineRule="exact"/>
              <w:jc w:val="center"/>
              <w:rPr>
                <w:rFonts w:cs="Calibri"/>
                <w:sz w:val="24"/>
                <w:szCs w:val="24"/>
              </w:rPr>
            </w:pPr>
            <w:r>
              <w:rPr>
                <w:rFonts w:hint="eastAsia" w:cs="Calibri"/>
                <w:sz w:val="24"/>
                <w:szCs w:val="24"/>
              </w:rPr>
              <w:t>园区巡逻值守</w:t>
            </w:r>
          </w:p>
        </w:tc>
        <w:tc>
          <w:tcPr>
            <w:tcW w:w="2980" w:type="dxa"/>
          </w:tcPr>
          <w:p>
            <w:pPr>
              <w:pStyle w:val="7"/>
              <w:spacing w:line="560" w:lineRule="exact"/>
              <w:ind w:firstLine="480" w:firstLineChars="200"/>
              <w:rPr>
                <w:rFonts w:cs="Calibri"/>
                <w:sz w:val="24"/>
                <w:szCs w:val="24"/>
              </w:rPr>
            </w:pPr>
            <w:r>
              <w:rPr>
                <w:rFonts w:hint="eastAsia" w:cs="Calibri"/>
                <w:sz w:val="24"/>
                <w:szCs w:val="24"/>
              </w:rPr>
              <w:t>3</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Merge w:val="continue"/>
            <w:vAlign w:val="center"/>
          </w:tcPr>
          <w:p>
            <w:pPr>
              <w:pStyle w:val="7"/>
              <w:spacing w:line="560" w:lineRule="exact"/>
              <w:ind w:firstLine="480" w:firstLineChars="200"/>
              <w:jc w:val="center"/>
              <w:rPr>
                <w:rFonts w:cs="Calibri"/>
                <w:sz w:val="24"/>
                <w:szCs w:val="24"/>
              </w:rPr>
            </w:pPr>
          </w:p>
        </w:tc>
        <w:tc>
          <w:tcPr>
            <w:tcW w:w="3170" w:type="dxa"/>
          </w:tcPr>
          <w:p>
            <w:pPr>
              <w:pStyle w:val="7"/>
              <w:spacing w:line="560" w:lineRule="exact"/>
              <w:ind w:firstLine="720" w:firstLineChars="300"/>
              <w:rPr>
                <w:rFonts w:cs="Calibri"/>
                <w:sz w:val="24"/>
                <w:szCs w:val="24"/>
              </w:rPr>
            </w:pPr>
            <w:r>
              <w:rPr>
                <w:rFonts w:hint="eastAsia" w:cs="Calibri"/>
                <w:sz w:val="24"/>
                <w:szCs w:val="24"/>
              </w:rPr>
              <w:t>消防、电梯安全管理</w:t>
            </w:r>
          </w:p>
        </w:tc>
        <w:tc>
          <w:tcPr>
            <w:tcW w:w="2980" w:type="dxa"/>
          </w:tcPr>
          <w:p>
            <w:pPr>
              <w:pStyle w:val="7"/>
              <w:spacing w:line="560" w:lineRule="exact"/>
              <w:ind w:firstLine="480" w:firstLineChars="200"/>
              <w:rPr>
                <w:rFonts w:cs="Calibri"/>
                <w:sz w:val="24"/>
                <w:szCs w:val="24"/>
              </w:rPr>
            </w:pPr>
            <w:r>
              <w:rPr>
                <w:rFonts w:hint="eastAsia" w:cs="Calibri"/>
                <w:sz w:val="24"/>
                <w:szCs w:val="24"/>
              </w:rPr>
              <w:t>2</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Align w:val="center"/>
          </w:tcPr>
          <w:p>
            <w:pPr>
              <w:pStyle w:val="7"/>
              <w:spacing w:line="560" w:lineRule="exact"/>
              <w:jc w:val="center"/>
              <w:rPr>
                <w:rFonts w:cs="Calibri"/>
                <w:sz w:val="24"/>
                <w:szCs w:val="24"/>
              </w:rPr>
            </w:pPr>
            <w:r>
              <w:rPr>
                <w:rFonts w:hint="eastAsia" w:cs="Calibri"/>
                <w:sz w:val="24"/>
                <w:szCs w:val="24"/>
              </w:rPr>
              <w:t>园林绿化维护</w:t>
            </w:r>
          </w:p>
        </w:tc>
        <w:tc>
          <w:tcPr>
            <w:tcW w:w="3170" w:type="dxa"/>
          </w:tcPr>
          <w:p>
            <w:pPr>
              <w:pStyle w:val="7"/>
              <w:spacing w:line="560" w:lineRule="exact"/>
              <w:jc w:val="center"/>
              <w:rPr>
                <w:rFonts w:cs="Calibri"/>
                <w:sz w:val="24"/>
                <w:szCs w:val="24"/>
              </w:rPr>
            </w:pPr>
            <w:r>
              <w:rPr>
                <w:rFonts w:hint="eastAsia" w:cs="Calibri"/>
                <w:sz w:val="24"/>
                <w:szCs w:val="24"/>
              </w:rPr>
              <w:t>维护人员</w:t>
            </w:r>
          </w:p>
        </w:tc>
        <w:tc>
          <w:tcPr>
            <w:tcW w:w="2980" w:type="dxa"/>
          </w:tcPr>
          <w:p>
            <w:pPr>
              <w:pStyle w:val="7"/>
              <w:spacing w:line="560" w:lineRule="exact"/>
              <w:ind w:firstLine="480" w:firstLineChars="200"/>
              <w:rPr>
                <w:rFonts w:cs="Calibri"/>
                <w:sz w:val="24"/>
                <w:szCs w:val="24"/>
              </w:rPr>
            </w:pPr>
            <w:r>
              <w:rPr>
                <w:rFonts w:hint="eastAsia" w:cs="Calibri"/>
                <w:sz w:val="24"/>
                <w:szCs w:val="24"/>
              </w:rPr>
              <w:t>4</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vAlign w:val="center"/>
          </w:tcPr>
          <w:p>
            <w:pPr>
              <w:pStyle w:val="7"/>
              <w:spacing w:line="560" w:lineRule="exact"/>
              <w:ind w:firstLine="480" w:firstLineChars="200"/>
              <w:jc w:val="center"/>
              <w:rPr>
                <w:rFonts w:cs="Calibri"/>
                <w:sz w:val="24"/>
                <w:szCs w:val="24"/>
              </w:rPr>
            </w:pPr>
            <w:r>
              <w:rPr>
                <w:rFonts w:hint="eastAsia" w:cs="Calibri"/>
                <w:sz w:val="24"/>
                <w:szCs w:val="24"/>
              </w:rPr>
              <w:t>设备</w:t>
            </w:r>
          </w:p>
        </w:tc>
        <w:tc>
          <w:tcPr>
            <w:tcW w:w="3170" w:type="dxa"/>
          </w:tcPr>
          <w:p>
            <w:pPr>
              <w:pStyle w:val="7"/>
              <w:spacing w:line="560" w:lineRule="exact"/>
              <w:jc w:val="center"/>
              <w:rPr>
                <w:rFonts w:cs="Calibri"/>
                <w:sz w:val="24"/>
                <w:szCs w:val="24"/>
              </w:rPr>
            </w:pPr>
            <w:r>
              <w:rPr>
                <w:rFonts w:hint="eastAsia" w:cs="Calibri"/>
                <w:sz w:val="24"/>
                <w:szCs w:val="24"/>
              </w:rPr>
              <w:t>维护、保养人员</w:t>
            </w:r>
          </w:p>
        </w:tc>
        <w:tc>
          <w:tcPr>
            <w:tcW w:w="2980" w:type="dxa"/>
          </w:tcPr>
          <w:p>
            <w:pPr>
              <w:pStyle w:val="7"/>
              <w:spacing w:line="560" w:lineRule="exact"/>
              <w:ind w:firstLine="480" w:firstLineChars="200"/>
              <w:rPr>
                <w:rFonts w:cs="Calibri"/>
                <w:sz w:val="24"/>
                <w:szCs w:val="24"/>
              </w:rPr>
            </w:pPr>
            <w:r>
              <w:rPr>
                <w:rFonts w:hint="eastAsia" w:cs="Calibri"/>
                <w:sz w:val="24"/>
                <w:szCs w:val="24"/>
              </w:rPr>
              <w:t>1</w:t>
            </w:r>
          </w:p>
        </w:tc>
        <w:tc>
          <w:tcPr>
            <w:tcW w:w="752"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2" w:type="dxa"/>
            <w:gridSpan w:val="4"/>
          </w:tcPr>
          <w:p>
            <w:pPr>
              <w:pStyle w:val="7"/>
              <w:spacing w:line="560" w:lineRule="exact"/>
              <w:ind w:firstLine="480" w:firstLineChars="200"/>
              <w:jc w:val="center"/>
              <w:rPr>
                <w:rFonts w:cs="Calibri"/>
                <w:sz w:val="24"/>
                <w:szCs w:val="24"/>
              </w:rPr>
            </w:pPr>
            <w:r>
              <w:rPr>
                <w:rFonts w:hint="eastAsia" w:cs="Calibri"/>
                <w:sz w:val="24"/>
                <w:szCs w:val="24"/>
              </w:rPr>
              <w:t>合计：20人</w:t>
            </w:r>
          </w:p>
        </w:tc>
      </w:tr>
    </w:tbl>
    <w:tbl>
      <w:tblPr>
        <w:tblStyle w:val="21"/>
        <w:tblpPr w:leftFromText="180" w:rightFromText="180" w:vertAnchor="text" w:tblpX="10540" w:tblpY="-27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628" w:type="dxa"/>
          </w:tcPr>
          <w:p>
            <w:pPr>
              <w:pStyle w:val="7"/>
              <w:spacing w:line="560" w:lineRule="exact"/>
              <w:rPr>
                <w:rFonts w:cs="Calibri"/>
              </w:rPr>
            </w:pPr>
          </w:p>
        </w:tc>
      </w:tr>
    </w:tbl>
    <w:tbl>
      <w:tblPr>
        <w:tblStyle w:val="21"/>
        <w:tblpPr w:leftFromText="180" w:rightFromText="180" w:vertAnchor="text" w:tblpX="10540" w:tblpY="-8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948" w:type="dxa"/>
          </w:tcPr>
          <w:p>
            <w:pPr>
              <w:pStyle w:val="7"/>
              <w:spacing w:line="560" w:lineRule="exact"/>
              <w:rPr>
                <w:rFonts w:cs="Calibri"/>
              </w:rPr>
            </w:pPr>
          </w:p>
        </w:tc>
      </w:tr>
    </w:tbl>
    <w:p>
      <w:pPr>
        <w:widowControl/>
        <w:adjustRightInd w:val="0"/>
        <w:snapToGrid w:val="0"/>
        <w:spacing w:line="560" w:lineRule="exact"/>
        <w:ind w:firstLine="352" w:firstLineChars="147"/>
        <w:rPr>
          <w:rFonts w:cs="Calibri"/>
        </w:rPr>
      </w:pPr>
      <w:r>
        <w:rPr>
          <w:rFonts w:hint="eastAsia" w:cs="Calibri"/>
        </w:rPr>
        <w:t>注：以上岗位编制人员数量为最低人数，供应商根据现场踏勘，具体安排每个地方和每个岗位的服务人数，在总人员数必须大于或等于最低人数情况下由成交人自行安排，在满足所有秩序、公共服务提升需求基础上，遇纪念园重大活动、大型检查或其他创建工作时需要</w:t>
      </w:r>
      <w:r>
        <w:rPr>
          <w:rFonts w:hint="eastAsia" w:cs="Calibri"/>
          <w:lang w:eastAsia="zh-CN"/>
        </w:rPr>
        <w:t>拟定</w:t>
      </w:r>
      <w:r>
        <w:rPr>
          <w:rFonts w:hint="eastAsia" w:cs="Calibri"/>
        </w:rPr>
        <w:t>方案，临时增派人员协助，以满足本项目服务要求。</w:t>
      </w:r>
    </w:p>
    <w:p>
      <w:pPr>
        <w:pStyle w:val="7"/>
        <w:spacing w:line="560" w:lineRule="exact"/>
        <w:rPr>
          <w:rFonts w:cs="Calibri"/>
          <w:b/>
          <w:bCs/>
        </w:rPr>
      </w:pPr>
      <w:r>
        <w:rPr>
          <w:rFonts w:hint="eastAsia" w:cs="Calibri"/>
          <w:b/>
          <w:bCs/>
        </w:rPr>
        <w:t>2、人员基本要求</w:t>
      </w:r>
    </w:p>
    <w:p>
      <w:pPr>
        <w:pStyle w:val="7"/>
        <w:spacing w:line="408" w:lineRule="auto"/>
        <w:ind w:firstLine="482" w:firstLineChars="200"/>
        <w:rPr>
          <w:rFonts w:cs="Calibri"/>
          <w:b/>
          <w:bCs/>
          <w:sz w:val="24"/>
          <w:szCs w:val="24"/>
        </w:rPr>
      </w:pPr>
      <w:r>
        <w:rPr>
          <w:rFonts w:hint="eastAsia" w:cs="Calibri"/>
          <w:b/>
          <w:bCs/>
          <w:sz w:val="24"/>
          <w:szCs w:val="24"/>
        </w:rPr>
        <w:t>2.1项目经理</w:t>
      </w:r>
    </w:p>
    <w:p>
      <w:pPr>
        <w:pStyle w:val="75"/>
        <w:shd w:val="clear"/>
        <w:ind w:left="28" w:firstLine="240" w:firstLineChars="100"/>
        <w:jc w:val="left"/>
        <w:rPr>
          <w:rFonts w:cs="Calibri"/>
          <w:sz w:val="24"/>
          <w:szCs w:val="24"/>
        </w:rPr>
      </w:pPr>
      <w:r>
        <w:rPr>
          <w:rFonts w:hint="eastAsia" w:cs="Calibri"/>
          <w:sz w:val="24"/>
          <w:szCs w:val="24"/>
        </w:rPr>
        <w:t>（1）男、女不限，具备</w:t>
      </w:r>
      <w:r>
        <w:rPr>
          <w:rFonts w:hint="eastAsia" w:cs="Calibri"/>
          <w:sz w:val="24"/>
          <w:szCs w:val="24"/>
          <w:lang w:val="en-US" w:eastAsia="zh-CN"/>
        </w:rPr>
        <w:t>大专</w:t>
      </w:r>
      <w:r>
        <w:rPr>
          <w:rFonts w:hint="eastAsia" w:cs="Calibri"/>
          <w:sz w:val="24"/>
          <w:szCs w:val="24"/>
        </w:rPr>
        <w:t>及以上学历，50周岁（含）以下，</w:t>
      </w:r>
      <w:r>
        <w:rPr>
          <w:rFonts w:hint="eastAsia" w:ascii="宋体" w:hAnsi="宋体"/>
          <w:szCs w:val="24"/>
        </w:rPr>
        <w:t>具有类似项目管理（非住宅类）三年及以上工作经验</w:t>
      </w:r>
      <w:r>
        <w:rPr>
          <w:rFonts w:hint="eastAsia" w:cs="Calibri"/>
          <w:sz w:val="24"/>
          <w:szCs w:val="24"/>
        </w:rPr>
        <w:t>；</w:t>
      </w:r>
    </w:p>
    <w:p>
      <w:pPr>
        <w:pStyle w:val="7"/>
        <w:shd w:val="clear"/>
        <w:spacing w:line="408" w:lineRule="auto"/>
        <w:ind w:firstLine="480" w:firstLineChars="200"/>
        <w:rPr>
          <w:rFonts w:cs="Calibri"/>
          <w:sz w:val="24"/>
          <w:szCs w:val="24"/>
        </w:rPr>
      </w:pPr>
      <w:r>
        <w:rPr>
          <w:rFonts w:hint="eastAsia" w:cs="Calibri"/>
          <w:sz w:val="24"/>
          <w:szCs w:val="24"/>
        </w:rPr>
        <w:t>（2）品行良好，身体健康，仪表端庄，工作认真负责；</w:t>
      </w:r>
    </w:p>
    <w:p>
      <w:pPr>
        <w:pStyle w:val="7"/>
        <w:shd w:val="clear"/>
        <w:spacing w:line="408" w:lineRule="auto"/>
        <w:ind w:firstLine="480" w:firstLineChars="200"/>
        <w:rPr>
          <w:rFonts w:cs="Calibri"/>
          <w:sz w:val="24"/>
          <w:szCs w:val="24"/>
        </w:rPr>
      </w:pPr>
      <w:r>
        <w:rPr>
          <w:rFonts w:hint="eastAsia" w:cs="Calibri"/>
          <w:sz w:val="24"/>
          <w:szCs w:val="24"/>
        </w:rPr>
        <w:t>（3）具有相应的管理组织协调能力。</w:t>
      </w:r>
    </w:p>
    <w:p>
      <w:pPr>
        <w:pStyle w:val="8"/>
        <w:ind w:firstLine="482" w:firstLineChars="200"/>
        <w:jc w:val="both"/>
        <w:outlineLvl w:val="9"/>
        <w:rPr>
          <w:rFonts w:cs="Calibri"/>
          <w:sz w:val="24"/>
          <w:szCs w:val="24"/>
        </w:rPr>
      </w:pPr>
      <w:r>
        <w:rPr>
          <w:rFonts w:hint="eastAsia" w:cs="Calibri"/>
          <w:sz w:val="24"/>
          <w:szCs w:val="24"/>
        </w:rPr>
        <w:t>2.2项目主管（环境、秩序）</w:t>
      </w:r>
    </w:p>
    <w:p>
      <w:pPr>
        <w:pStyle w:val="7"/>
        <w:numPr>
          <w:ilvl w:val="0"/>
          <w:numId w:val="0"/>
        </w:numPr>
        <w:shd w:val="clear"/>
        <w:spacing w:line="408" w:lineRule="auto"/>
        <w:ind w:firstLine="480" w:firstLineChars="200"/>
        <w:rPr>
          <w:rFonts w:cs="Calibri"/>
          <w:sz w:val="24"/>
          <w:szCs w:val="24"/>
        </w:rPr>
      </w:pPr>
      <w:r>
        <w:rPr>
          <w:rFonts w:hint="eastAsia" w:cs="Calibri"/>
          <w:sz w:val="24"/>
          <w:szCs w:val="24"/>
          <w:lang w:eastAsia="zh-CN"/>
        </w:rPr>
        <w:t>（</w:t>
      </w:r>
      <w:r>
        <w:rPr>
          <w:rFonts w:hint="eastAsia" w:cs="Calibri"/>
          <w:sz w:val="24"/>
          <w:szCs w:val="24"/>
          <w:lang w:val="en-US" w:eastAsia="zh-CN"/>
        </w:rPr>
        <w:t>1</w:t>
      </w:r>
      <w:r>
        <w:rPr>
          <w:rFonts w:hint="eastAsia" w:cs="Calibri"/>
          <w:sz w:val="24"/>
          <w:szCs w:val="24"/>
          <w:lang w:eastAsia="zh-CN"/>
        </w:rPr>
        <w:t>）</w:t>
      </w:r>
      <w:r>
        <w:rPr>
          <w:rFonts w:hint="eastAsia" w:cs="Calibri"/>
          <w:sz w:val="24"/>
          <w:szCs w:val="24"/>
          <w:lang w:val="en-US" w:eastAsia="zh-CN"/>
        </w:rPr>
        <w:t>环境主管：</w:t>
      </w:r>
      <w:r>
        <w:rPr>
          <w:rFonts w:hint="eastAsia" w:cs="Calibri"/>
          <w:sz w:val="24"/>
          <w:szCs w:val="24"/>
        </w:rPr>
        <w:t>男、女不限，50周岁以下，具备高中及以上学历</w:t>
      </w:r>
      <w:r>
        <w:rPr>
          <w:rFonts w:hint="eastAsia" w:cs="Calibri"/>
          <w:sz w:val="24"/>
          <w:szCs w:val="24"/>
          <w:lang w:eastAsia="zh-CN"/>
        </w:rPr>
        <w:t>，</w:t>
      </w:r>
      <w:r>
        <w:rPr>
          <w:rFonts w:hint="eastAsia" w:ascii="Calibri" w:hAnsi="Calibri"/>
          <w:kern w:val="0"/>
          <w:sz w:val="24"/>
          <w:szCs w:val="24"/>
          <w:highlight w:val="none"/>
        </w:rPr>
        <w:t>持</w:t>
      </w:r>
      <w:r>
        <w:rPr>
          <w:rFonts w:hint="eastAsia" w:ascii="宋体" w:hAnsi="宋体"/>
          <w:sz w:val="24"/>
          <w:szCs w:val="24"/>
          <w:highlight w:val="none"/>
        </w:rPr>
        <w:t>有</w:t>
      </w:r>
      <w:r>
        <w:rPr>
          <w:rFonts w:hint="eastAsia" w:ascii="宋体" w:hAnsi="宋体"/>
          <w:sz w:val="24"/>
          <w:szCs w:val="24"/>
          <w:highlight w:val="none"/>
          <w:lang w:val="en-US" w:eastAsia="zh-CN"/>
        </w:rPr>
        <w:t>国家行政</w:t>
      </w:r>
      <w:r>
        <w:rPr>
          <w:rFonts w:hint="eastAsia" w:ascii="宋体" w:hAnsi="宋体"/>
          <w:sz w:val="24"/>
          <w:szCs w:val="24"/>
          <w:highlight w:val="none"/>
        </w:rPr>
        <w:t>部门颁发的人力资源服务从业人员培训证书</w:t>
      </w:r>
      <w:r>
        <w:rPr>
          <w:rFonts w:hint="eastAsia" w:cs="Calibri"/>
          <w:sz w:val="24"/>
          <w:szCs w:val="24"/>
        </w:rPr>
        <w:t>；</w:t>
      </w:r>
    </w:p>
    <w:p>
      <w:pPr>
        <w:pStyle w:val="7"/>
        <w:shd w:val="clear"/>
        <w:spacing w:line="408" w:lineRule="auto"/>
        <w:ind w:firstLine="480" w:firstLineChars="200"/>
        <w:rPr>
          <w:rFonts w:hint="eastAsia" w:eastAsia="宋体" w:cs="Calibri"/>
          <w:sz w:val="24"/>
          <w:szCs w:val="24"/>
          <w:lang w:val="en-US" w:eastAsia="zh-CN"/>
        </w:rPr>
      </w:pPr>
      <w:r>
        <w:rPr>
          <w:rFonts w:hint="eastAsia" w:cs="Calibri"/>
          <w:sz w:val="24"/>
          <w:szCs w:val="24"/>
        </w:rPr>
        <w:t>（2）</w:t>
      </w:r>
      <w:r>
        <w:rPr>
          <w:rFonts w:hint="eastAsia" w:cs="Calibri"/>
          <w:sz w:val="24"/>
          <w:szCs w:val="24"/>
          <w:lang w:val="en-US" w:eastAsia="zh-CN"/>
        </w:rPr>
        <w:t>秩序主管：</w:t>
      </w:r>
      <w:r>
        <w:rPr>
          <w:rFonts w:hint="eastAsia" w:cs="Calibri"/>
          <w:sz w:val="24"/>
          <w:szCs w:val="24"/>
        </w:rPr>
        <w:t>男、女不限，50周岁以下，具备高中及以上学历</w:t>
      </w:r>
      <w:r>
        <w:rPr>
          <w:rFonts w:hint="eastAsia" w:ascii="宋体" w:hAnsi="宋体"/>
          <w:szCs w:val="24"/>
          <w:highlight w:val="none"/>
        </w:rPr>
        <w:t>，</w:t>
      </w:r>
      <w:r>
        <w:rPr>
          <w:rFonts w:hint="eastAsia" w:ascii="宋体" w:hAnsi="宋体"/>
          <w:sz w:val="24"/>
          <w:szCs w:val="24"/>
          <w:highlight w:val="none"/>
        </w:rPr>
        <w:t>持</w:t>
      </w:r>
      <w:r>
        <w:rPr>
          <w:rFonts w:hint="eastAsia" w:ascii="宋体" w:hAnsi="宋体"/>
          <w:sz w:val="24"/>
          <w:szCs w:val="24"/>
          <w:highlight w:val="none"/>
          <w:lang w:val="en-US" w:eastAsia="zh-CN"/>
        </w:rPr>
        <w:t>国家行政</w:t>
      </w:r>
      <w:r>
        <w:rPr>
          <w:rFonts w:hint="eastAsia" w:ascii="宋体" w:hAnsi="宋体"/>
          <w:sz w:val="24"/>
          <w:szCs w:val="24"/>
          <w:highlight w:val="none"/>
        </w:rPr>
        <w:t>部门颁发的</w:t>
      </w:r>
      <w:r>
        <w:rPr>
          <w:rFonts w:hint="eastAsia" w:ascii="宋体" w:hAnsi="宋体"/>
          <w:sz w:val="24"/>
          <w:szCs w:val="24"/>
          <w:highlight w:val="none"/>
          <w:lang w:val="en-US" w:eastAsia="zh-CN"/>
        </w:rPr>
        <w:t>高级</w:t>
      </w:r>
      <w:r>
        <w:rPr>
          <w:rFonts w:hint="eastAsia" w:ascii="宋体" w:hAnsi="宋体"/>
          <w:sz w:val="24"/>
          <w:szCs w:val="24"/>
          <w:highlight w:val="none"/>
        </w:rPr>
        <w:t>保安员国家职业资格证书</w:t>
      </w:r>
      <w:r>
        <w:rPr>
          <w:rFonts w:hint="eastAsia" w:ascii="宋体" w:hAnsi="宋体"/>
          <w:sz w:val="24"/>
          <w:szCs w:val="24"/>
          <w:highlight w:val="none"/>
          <w:lang w:eastAsia="zh-CN"/>
        </w:rPr>
        <w:t>；</w:t>
      </w:r>
    </w:p>
    <w:p>
      <w:pPr>
        <w:pStyle w:val="7"/>
        <w:shd w:val="clear"/>
        <w:spacing w:line="408" w:lineRule="auto"/>
        <w:ind w:firstLine="480" w:firstLineChars="200"/>
        <w:rPr>
          <w:rFonts w:cs="Calibri"/>
          <w:sz w:val="24"/>
          <w:szCs w:val="24"/>
        </w:rPr>
      </w:pPr>
      <w:r>
        <w:rPr>
          <w:rFonts w:hint="eastAsia" w:cs="Calibri"/>
          <w:sz w:val="24"/>
          <w:szCs w:val="24"/>
        </w:rPr>
        <w:t>（3）服从安排，职业素养良好，仪表端庄，工作认真负责；</w:t>
      </w:r>
    </w:p>
    <w:p>
      <w:pPr>
        <w:pStyle w:val="7"/>
        <w:shd w:val="clear"/>
        <w:spacing w:line="408" w:lineRule="auto"/>
        <w:ind w:firstLine="480" w:firstLineChars="200"/>
      </w:pPr>
      <w:r>
        <w:rPr>
          <w:rFonts w:hint="eastAsia" w:cs="Calibri"/>
          <w:sz w:val="24"/>
          <w:szCs w:val="24"/>
          <w:lang w:eastAsia="zh-CN"/>
        </w:rPr>
        <w:t>（</w:t>
      </w:r>
      <w:r>
        <w:rPr>
          <w:rFonts w:hint="eastAsia" w:cs="Calibri"/>
          <w:sz w:val="24"/>
          <w:szCs w:val="24"/>
          <w:lang w:val="en-US" w:eastAsia="zh-CN"/>
        </w:rPr>
        <w:t>4</w:t>
      </w:r>
      <w:r>
        <w:rPr>
          <w:rFonts w:hint="eastAsia" w:cs="Calibri"/>
          <w:sz w:val="24"/>
          <w:szCs w:val="24"/>
          <w:lang w:eastAsia="zh-CN"/>
        </w:rPr>
        <w:t>）</w:t>
      </w:r>
      <w:r>
        <w:rPr>
          <w:rFonts w:hint="eastAsia" w:cs="Calibri"/>
          <w:sz w:val="24"/>
          <w:szCs w:val="24"/>
        </w:rPr>
        <w:t>具有相应的管理组织协调能力。</w:t>
      </w:r>
    </w:p>
    <w:p>
      <w:pPr>
        <w:pStyle w:val="7"/>
        <w:spacing w:line="408" w:lineRule="auto"/>
        <w:ind w:firstLine="480" w:firstLineChars="200"/>
        <w:rPr>
          <w:rFonts w:cs="Calibri"/>
          <w:sz w:val="24"/>
          <w:szCs w:val="24"/>
        </w:rPr>
      </w:pPr>
      <w:r>
        <w:rPr>
          <w:rFonts w:hint="eastAsia" w:cs="Calibri"/>
          <w:sz w:val="24"/>
          <w:szCs w:val="24"/>
        </w:rPr>
        <w:t>2.3秩序维护人员</w:t>
      </w:r>
    </w:p>
    <w:p>
      <w:pPr>
        <w:pStyle w:val="7"/>
        <w:spacing w:line="408" w:lineRule="auto"/>
        <w:ind w:firstLine="480" w:firstLineChars="200"/>
        <w:rPr>
          <w:rFonts w:cs="Calibri"/>
          <w:sz w:val="24"/>
          <w:szCs w:val="24"/>
        </w:rPr>
      </w:pPr>
      <w:r>
        <w:rPr>
          <w:rFonts w:hint="eastAsia" w:cs="Calibri"/>
          <w:sz w:val="24"/>
          <w:szCs w:val="24"/>
        </w:rPr>
        <w:t>（1）男、女不限。男性55周岁以下，女性50周岁以下具</w:t>
      </w:r>
      <w:r>
        <w:rPr>
          <w:rFonts w:hint="eastAsia" w:cs="Calibri"/>
          <w:sz w:val="24"/>
          <w:szCs w:val="24"/>
          <w:shd w:val="clear"/>
        </w:rPr>
        <w:t>有</w:t>
      </w:r>
      <w:r>
        <w:rPr>
          <w:rFonts w:hint="eastAsia" w:cs="Calibri"/>
          <w:sz w:val="24"/>
          <w:szCs w:val="24"/>
          <w:shd w:val="clear"/>
          <w:lang w:val="en-US" w:eastAsia="zh-CN"/>
        </w:rPr>
        <w:t>一定的</w:t>
      </w:r>
      <w:r>
        <w:rPr>
          <w:rFonts w:hint="eastAsia" w:cs="Calibri"/>
          <w:sz w:val="24"/>
          <w:szCs w:val="24"/>
          <w:shd w:val="clear"/>
        </w:rPr>
        <w:t>从业经</w:t>
      </w:r>
      <w:r>
        <w:rPr>
          <w:rFonts w:hint="eastAsia" w:cs="Calibri"/>
          <w:sz w:val="24"/>
          <w:szCs w:val="24"/>
        </w:rPr>
        <w:t>验；</w:t>
      </w:r>
    </w:p>
    <w:p>
      <w:pPr>
        <w:pStyle w:val="7"/>
        <w:spacing w:line="408" w:lineRule="auto"/>
        <w:ind w:firstLine="480" w:firstLineChars="200"/>
        <w:rPr>
          <w:rFonts w:cs="Calibri"/>
          <w:sz w:val="24"/>
          <w:szCs w:val="24"/>
        </w:rPr>
      </w:pPr>
      <w:r>
        <w:rPr>
          <w:rFonts w:hint="eastAsia" w:cs="Calibri"/>
          <w:sz w:val="24"/>
          <w:szCs w:val="24"/>
        </w:rPr>
        <w:t>（2）身体健康，热爱安全保障工作；</w:t>
      </w:r>
    </w:p>
    <w:p>
      <w:pPr>
        <w:pStyle w:val="7"/>
        <w:spacing w:line="408" w:lineRule="auto"/>
        <w:ind w:firstLine="480" w:firstLineChars="200"/>
        <w:rPr>
          <w:rFonts w:cs="Calibri"/>
          <w:sz w:val="24"/>
          <w:szCs w:val="24"/>
        </w:rPr>
      </w:pPr>
      <w:r>
        <w:rPr>
          <w:rFonts w:hint="eastAsia" w:cs="Calibri"/>
          <w:sz w:val="24"/>
          <w:szCs w:val="24"/>
        </w:rPr>
        <w:t>（3）思想品德好，无违法犯罪记录；</w:t>
      </w:r>
    </w:p>
    <w:p>
      <w:pPr>
        <w:pStyle w:val="7"/>
        <w:spacing w:line="408" w:lineRule="auto"/>
        <w:ind w:firstLine="480" w:firstLineChars="200"/>
        <w:rPr>
          <w:rFonts w:cs="Calibri"/>
          <w:sz w:val="24"/>
          <w:szCs w:val="24"/>
        </w:rPr>
      </w:pPr>
      <w:r>
        <w:rPr>
          <w:rFonts w:hint="eastAsia" w:cs="Calibri"/>
          <w:sz w:val="24"/>
          <w:szCs w:val="24"/>
        </w:rPr>
        <w:t>（4）思维敏捷，处事果断、执行力强；</w:t>
      </w:r>
    </w:p>
    <w:p>
      <w:pPr>
        <w:pStyle w:val="7"/>
        <w:spacing w:line="408" w:lineRule="auto"/>
        <w:ind w:firstLine="480" w:firstLineChars="200"/>
        <w:rPr>
          <w:rFonts w:cs="Calibri"/>
          <w:sz w:val="24"/>
          <w:szCs w:val="24"/>
        </w:rPr>
      </w:pPr>
      <w:r>
        <w:rPr>
          <w:rFonts w:hint="eastAsia" w:cs="Calibri"/>
          <w:sz w:val="24"/>
          <w:szCs w:val="24"/>
        </w:rPr>
        <w:t>（5）着装规范整洁，精神饱满，说话文明，做事有礼有节；</w:t>
      </w:r>
    </w:p>
    <w:p>
      <w:pPr>
        <w:pStyle w:val="8"/>
        <w:jc w:val="both"/>
        <w:outlineLvl w:val="9"/>
      </w:pPr>
      <w:r>
        <w:rPr>
          <w:rFonts w:hint="eastAsia" w:cs="Calibri"/>
          <w:sz w:val="24"/>
          <w:szCs w:val="24"/>
        </w:rPr>
        <w:t>2.4消防、电梯安全管理人员</w:t>
      </w:r>
    </w:p>
    <w:p>
      <w:pPr>
        <w:pStyle w:val="7"/>
        <w:spacing w:line="408" w:lineRule="auto"/>
        <w:ind w:firstLine="480" w:firstLineChars="200"/>
        <w:rPr>
          <w:rFonts w:cs="Calibri"/>
          <w:sz w:val="24"/>
          <w:szCs w:val="24"/>
        </w:rPr>
      </w:pPr>
      <w:r>
        <w:rPr>
          <w:rFonts w:hint="eastAsia" w:cs="Calibri"/>
          <w:sz w:val="24"/>
          <w:szCs w:val="24"/>
        </w:rPr>
        <w:t>（1）男、女不限，男性55周岁以下，女性50周岁以下具有</w:t>
      </w:r>
      <w:r>
        <w:rPr>
          <w:rFonts w:hint="eastAsia" w:cs="Calibri"/>
          <w:sz w:val="24"/>
          <w:szCs w:val="24"/>
          <w:lang w:val="en-US" w:eastAsia="zh-CN"/>
        </w:rPr>
        <w:t>一定的</w:t>
      </w:r>
      <w:r>
        <w:rPr>
          <w:rFonts w:hint="eastAsia" w:cs="Calibri"/>
          <w:sz w:val="24"/>
          <w:szCs w:val="24"/>
        </w:rPr>
        <w:t>从业经验；</w:t>
      </w:r>
    </w:p>
    <w:p>
      <w:pPr>
        <w:pStyle w:val="7"/>
        <w:spacing w:line="408" w:lineRule="auto"/>
        <w:ind w:firstLine="480" w:firstLineChars="200"/>
        <w:rPr>
          <w:rFonts w:cs="Calibri"/>
          <w:sz w:val="24"/>
          <w:szCs w:val="24"/>
        </w:rPr>
      </w:pPr>
      <w:r>
        <w:rPr>
          <w:rFonts w:hint="eastAsia" w:cs="Calibri"/>
          <w:sz w:val="24"/>
          <w:szCs w:val="24"/>
        </w:rPr>
        <w:t>（2）身体健康，热爱消防安全工作；</w:t>
      </w:r>
    </w:p>
    <w:p>
      <w:pPr>
        <w:pStyle w:val="7"/>
        <w:spacing w:line="408" w:lineRule="auto"/>
        <w:ind w:firstLine="480" w:firstLineChars="200"/>
        <w:rPr>
          <w:rFonts w:hint="eastAsia" w:eastAsia="宋体" w:cs="Calibri"/>
          <w:sz w:val="24"/>
          <w:szCs w:val="24"/>
          <w:lang w:eastAsia="zh-CN"/>
        </w:rPr>
      </w:pPr>
      <w:r>
        <w:rPr>
          <w:rFonts w:hint="eastAsia" w:cs="Calibri"/>
          <w:sz w:val="24"/>
          <w:szCs w:val="24"/>
        </w:rPr>
        <w:t>（3）思想品德好，无违法犯罪记录</w:t>
      </w:r>
      <w:r>
        <w:rPr>
          <w:rFonts w:hint="eastAsia" w:cs="Calibri"/>
          <w:sz w:val="24"/>
          <w:szCs w:val="24"/>
          <w:lang w:eastAsia="zh-CN"/>
        </w:rPr>
        <w:t>；</w:t>
      </w:r>
    </w:p>
    <w:p>
      <w:pPr>
        <w:pStyle w:val="7"/>
        <w:spacing w:line="320" w:lineRule="exact"/>
        <w:ind w:firstLine="480" w:firstLineChars="200"/>
        <w:rPr>
          <w:rFonts w:cs="Calibri"/>
          <w:sz w:val="24"/>
          <w:szCs w:val="24"/>
        </w:rPr>
      </w:pPr>
      <w:r>
        <w:rPr>
          <w:rFonts w:hint="eastAsia" w:cs="Calibri"/>
          <w:sz w:val="24"/>
          <w:szCs w:val="24"/>
        </w:rPr>
        <w:t>（4）思维敏捷，处事果断、执行力强；</w:t>
      </w:r>
    </w:p>
    <w:p>
      <w:pPr>
        <w:pStyle w:val="8"/>
        <w:spacing w:line="320" w:lineRule="exact"/>
        <w:jc w:val="both"/>
        <w:outlineLvl w:val="9"/>
        <w:rPr>
          <w:rFonts w:cs="Calibri"/>
          <w:b w:val="0"/>
          <w:bCs w:val="0"/>
          <w:sz w:val="24"/>
          <w:szCs w:val="24"/>
          <w:shd w:val="clear" w:fill="FF0000"/>
        </w:rPr>
      </w:pPr>
      <w:r>
        <w:rPr>
          <w:rFonts w:hint="eastAsia" w:cs="Calibri"/>
          <w:sz w:val="24"/>
          <w:szCs w:val="24"/>
        </w:rPr>
        <w:t xml:space="preserve"> </w:t>
      </w:r>
      <w:r>
        <w:rPr>
          <w:rFonts w:hint="eastAsia" w:ascii="Times New Roman" w:hAnsi="Times New Roman" w:eastAsia="宋体" w:cs="Calibri"/>
          <w:b w:val="0"/>
          <w:bCs w:val="0"/>
          <w:kern w:val="2"/>
          <w:sz w:val="24"/>
          <w:szCs w:val="24"/>
          <w:lang w:val="en-US" w:eastAsia="zh-CN" w:bidi="ar-SA"/>
        </w:rPr>
        <w:t xml:space="preserve">   </w:t>
      </w:r>
      <w:r>
        <w:rPr>
          <w:rFonts w:hint="eastAsia" w:ascii="Times New Roman" w:hAnsi="Times New Roman" w:eastAsia="宋体" w:cs="Calibri"/>
          <w:b w:val="0"/>
          <w:bCs w:val="0"/>
          <w:kern w:val="2"/>
          <w:sz w:val="24"/>
          <w:szCs w:val="24"/>
          <w:shd w:val="clear"/>
          <w:lang w:val="en-US" w:eastAsia="zh-CN" w:bidi="ar-SA"/>
        </w:rPr>
        <w:t>（5）具有国家行政部门颁发的中级及以上建构筑物消防员或消防设施操作员国家职业资格证书。其中1人还需同时持有国家行政部门颁发的特种设备安全管理证书（代码A）。</w:t>
      </w:r>
    </w:p>
    <w:p>
      <w:pPr>
        <w:pStyle w:val="7"/>
        <w:spacing w:line="408" w:lineRule="auto"/>
        <w:ind w:firstLine="482" w:firstLineChars="200"/>
        <w:rPr>
          <w:rFonts w:cs="Calibri"/>
          <w:b/>
          <w:bCs/>
          <w:sz w:val="24"/>
          <w:szCs w:val="24"/>
        </w:rPr>
      </w:pPr>
      <w:r>
        <w:rPr>
          <w:rFonts w:hint="eastAsia" w:cs="Calibri"/>
          <w:b/>
          <w:bCs/>
          <w:sz w:val="24"/>
          <w:szCs w:val="24"/>
        </w:rPr>
        <w:t>2.5环境维护消杀人员</w:t>
      </w:r>
    </w:p>
    <w:p>
      <w:pPr>
        <w:pStyle w:val="7"/>
        <w:spacing w:line="408" w:lineRule="auto"/>
        <w:ind w:firstLine="480" w:firstLineChars="200"/>
        <w:rPr>
          <w:rFonts w:cs="Calibri"/>
          <w:sz w:val="24"/>
          <w:szCs w:val="24"/>
        </w:rPr>
      </w:pPr>
      <w:r>
        <w:rPr>
          <w:rFonts w:hint="eastAsia" w:cs="Calibri"/>
          <w:sz w:val="24"/>
          <w:szCs w:val="24"/>
        </w:rPr>
        <w:t>（1）男、女不限，女性年龄在50（含）岁以下，男性55周岁以下，熟练掌握环境提升技术；</w:t>
      </w:r>
    </w:p>
    <w:p>
      <w:pPr>
        <w:pStyle w:val="7"/>
        <w:spacing w:line="408" w:lineRule="auto"/>
        <w:ind w:firstLine="480" w:firstLineChars="200"/>
        <w:rPr>
          <w:rFonts w:cs="Calibri"/>
          <w:sz w:val="24"/>
          <w:szCs w:val="24"/>
        </w:rPr>
      </w:pPr>
      <w:r>
        <w:rPr>
          <w:rFonts w:hint="eastAsia" w:cs="Calibri"/>
          <w:sz w:val="24"/>
          <w:szCs w:val="24"/>
        </w:rPr>
        <w:t>（2）身体健康，能吃苦耐劳，工作勤奋，做事踏实热爱工作；</w:t>
      </w:r>
    </w:p>
    <w:p>
      <w:pPr>
        <w:pStyle w:val="7"/>
        <w:spacing w:line="408" w:lineRule="auto"/>
        <w:ind w:firstLine="480" w:firstLineChars="200"/>
        <w:rPr>
          <w:rFonts w:cs="Calibri"/>
          <w:sz w:val="24"/>
          <w:szCs w:val="24"/>
        </w:rPr>
      </w:pPr>
      <w:r>
        <w:rPr>
          <w:rFonts w:hint="eastAsia" w:cs="Calibri"/>
          <w:sz w:val="24"/>
          <w:szCs w:val="24"/>
        </w:rPr>
        <w:t>（3）着装规范整洁，精神饱满，说话文明，做事有礼有节。</w:t>
      </w:r>
    </w:p>
    <w:p>
      <w:pPr>
        <w:pStyle w:val="19"/>
        <w:ind w:firstLine="482"/>
        <w:rPr>
          <w:rFonts w:cs="Calibri"/>
          <w:b/>
          <w:bCs/>
          <w:sz w:val="24"/>
          <w:szCs w:val="24"/>
        </w:rPr>
      </w:pPr>
      <w:r>
        <w:rPr>
          <w:rFonts w:hint="eastAsia" w:cs="Calibri"/>
          <w:b/>
          <w:bCs/>
          <w:sz w:val="24"/>
          <w:szCs w:val="24"/>
        </w:rPr>
        <w:t>2.6设施设备维护人员</w:t>
      </w:r>
    </w:p>
    <w:p>
      <w:pPr>
        <w:pStyle w:val="7"/>
        <w:spacing w:line="408" w:lineRule="auto"/>
        <w:ind w:left="960" w:leftChars="200" w:hanging="480" w:hangingChars="200"/>
        <w:rPr>
          <w:rFonts w:cs="Calibri"/>
          <w:sz w:val="24"/>
          <w:szCs w:val="24"/>
        </w:rPr>
      </w:pPr>
      <w:r>
        <w:rPr>
          <w:rFonts w:hint="eastAsia" w:cs="Calibri"/>
          <w:sz w:val="24"/>
          <w:szCs w:val="24"/>
        </w:rPr>
        <w:t>（1）男、女不限，男性年龄在55（含）岁以下，女性50周岁以下，熟练掌握机电设备维护保养技术；</w:t>
      </w:r>
    </w:p>
    <w:p>
      <w:pPr>
        <w:pStyle w:val="7"/>
        <w:spacing w:line="408" w:lineRule="auto"/>
        <w:ind w:firstLine="480" w:firstLineChars="200"/>
        <w:rPr>
          <w:rFonts w:cs="Calibri"/>
          <w:sz w:val="24"/>
          <w:szCs w:val="24"/>
        </w:rPr>
      </w:pPr>
      <w:r>
        <w:rPr>
          <w:rFonts w:hint="eastAsia" w:cs="Calibri"/>
          <w:sz w:val="24"/>
          <w:szCs w:val="24"/>
        </w:rPr>
        <w:t>（2）身体健康，能吃苦耐劳，工作勤奋，做事踏实热爱工作；</w:t>
      </w:r>
    </w:p>
    <w:p>
      <w:pPr>
        <w:pStyle w:val="7"/>
        <w:spacing w:line="408" w:lineRule="auto"/>
        <w:ind w:firstLine="480" w:firstLineChars="200"/>
        <w:rPr>
          <w:rFonts w:cs="Calibri"/>
          <w:sz w:val="24"/>
          <w:szCs w:val="24"/>
        </w:rPr>
      </w:pPr>
      <w:r>
        <w:rPr>
          <w:rFonts w:hint="eastAsia" w:cs="Calibri"/>
          <w:sz w:val="24"/>
          <w:szCs w:val="24"/>
        </w:rPr>
        <w:t>（3）着装规范整洁，精神饱满，说话文明，做事有礼有节。</w:t>
      </w:r>
    </w:p>
    <w:p>
      <w:pPr>
        <w:pStyle w:val="19"/>
        <w:shd w:val="clear"/>
        <w:ind w:firstLine="480"/>
        <w:rPr>
          <w:rFonts w:hint="eastAsia" w:ascii="Times New Roman" w:hAnsi="Times New Roman" w:eastAsia="宋体" w:cs="Calibri"/>
          <w:kern w:val="2"/>
          <w:sz w:val="24"/>
          <w:szCs w:val="24"/>
          <w:lang w:val="en-US" w:eastAsia="zh-CN" w:bidi="ar-SA"/>
        </w:rPr>
      </w:pPr>
      <w:r>
        <w:rPr>
          <w:rFonts w:hint="eastAsia" w:ascii="Times New Roman" w:hAnsi="Times New Roman" w:eastAsia="宋体" w:cs="Calibri"/>
          <w:kern w:val="2"/>
          <w:sz w:val="24"/>
          <w:szCs w:val="24"/>
          <w:lang w:val="en-US" w:eastAsia="zh-CN" w:bidi="ar-SA"/>
        </w:rPr>
        <w:t>（4）具有国家行政部门颁发的初级及以上机电或电气类职称证书和国家行政部门颁发的电工证书。</w:t>
      </w:r>
    </w:p>
    <w:p>
      <w:pPr>
        <w:pStyle w:val="19"/>
        <w:ind w:firstLine="480" w:firstLineChars="0"/>
        <w:rPr>
          <w:rFonts w:cs="Calibri"/>
          <w:b/>
          <w:bCs/>
          <w:sz w:val="24"/>
          <w:szCs w:val="24"/>
        </w:rPr>
      </w:pPr>
      <w:r>
        <w:rPr>
          <w:rFonts w:hint="eastAsia" w:cs="Calibri"/>
          <w:b/>
          <w:bCs/>
          <w:sz w:val="24"/>
          <w:szCs w:val="24"/>
        </w:rPr>
        <w:t>2.7园林绿化维护人员</w:t>
      </w:r>
    </w:p>
    <w:p>
      <w:pPr>
        <w:pStyle w:val="7"/>
        <w:spacing w:line="408" w:lineRule="auto"/>
        <w:ind w:firstLine="480" w:firstLineChars="200"/>
        <w:rPr>
          <w:rFonts w:cs="Calibri"/>
          <w:sz w:val="24"/>
          <w:szCs w:val="24"/>
        </w:rPr>
      </w:pPr>
      <w:r>
        <w:rPr>
          <w:rFonts w:hint="eastAsia" w:cs="Calibri"/>
          <w:sz w:val="24"/>
          <w:szCs w:val="24"/>
        </w:rPr>
        <w:t>（1）男、女不限，男性年龄在55岁以下，女性50周岁以下，熟练掌握环境绿化养护技术；</w:t>
      </w:r>
    </w:p>
    <w:p>
      <w:pPr>
        <w:pStyle w:val="7"/>
        <w:spacing w:line="408" w:lineRule="auto"/>
        <w:ind w:firstLine="480" w:firstLineChars="200"/>
        <w:rPr>
          <w:rFonts w:cs="Calibri"/>
          <w:sz w:val="24"/>
          <w:szCs w:val="24"/>
        </w:rPr>
      </w:pPr>
      <w:r>
        <w:rPr>
          <w:rFonts w:hint="eastAsia" w:cs="Calibri"/>
          <w:sz w:val="24"/>
          <w:szCs w:val="24"/>
        </w:rPr>
        <w:t>（2）身体健康，能吃苦耐劳，工作勤奋，做事踏实热爱工作；</w:t>
      </w:r>
    </w:p>
    <w:p>
      <w:pPr>
        <w:pStyle w:val="7"/>
        <w:spacing w:line="408" w:lineRule="auto"/>
        <w:ind w:firstLine="480" w:firstLineChars="200"/>
        <w:rPr>
          <w:rFonts w:cs="Calibri"/>
          <w:sz w:val="24"/>
          <w:szCs w:val="24"/>
        </w:rPr>
      </w:pPr>
      <w:r>
        <w:rPr>
          <w:rFonts w:hint="eastAsia" w:cs="Calibri"/>
          <w:sz w:val="24"/>
          <w:szCs w:val="24"/>
        </w:rPr>
        <w:t>（3）着装规范整洁，精神饱满，说话文明，做事有礼有节；</w:t>
      </w:r>
    </w:p>
    <w:p>
      <w:pPr>
        <w:pStyle w:val="7"/>
        <w:shd w:val="clear"/>
        <w:spacing w:line="408" w:lineRule="auto"/>
        <w:ind w:firstLine="480" w:firstLineChars="200"/>
        <w:rPr>
          <w:rFonts w:hint="eastAsia" w:cs="Calibri"/>
          <w:sz w:val="24"/>
          <w:szCs w:val="24"/>
        </w:rPr>
      </w:pPr>
      <w:r>
        <w:rPr>
          <w:rFonts w:hint="eastAsia" w:cs="Calibri"/>
          <w:sz w:val="24"/>
          <w:szCs w:val="24"/>
        </w:rPr>
        <w:t>（4）</w:t>
      </w:r>
      <w:r>
        <w:rPr>
          <w:rFonts w:hint="eastAsia" w:cs="Calibri"/>
          <w:sz w:val="24"/>
          <w:szCs w:val="24"/>
          <w:lang w:val="en-US" w:eastAsia="zh-CN"/>
        </w:rPr>
        <w:t>具备国家行政主管部门颁发的初级及以上园林绿化类职称证书</w:t>
      </w:r>
      <w:r>
        <w:rPr>
          <w:rFonts w:hint="eastAsia" w:cs="Calibri"/>
          <w:sz w:val="24"/>
          <w:szCs w:val="24"/>
        </w:rPr>
        <w:t>。</w:t>
      </w:r>
    </w:p>
    <w:p>
      <w:pPr>
        <w:pStyle w:val="7"/>
        <w:ind w:firstLine="320" w:firstLineChars="200"/>
        <w:rPr>
          <w:rFonts w:ascii="宋体" w:hAnsi="宋体" w:cs="宋体"/>
          <w:kern w:val="0"/>
          <w:sz w:val="16"/>
          <w:szCs w:val="16"/>
        </w:rPr>
      </w:pPr>
      <w:r>
        <w:rPr>
          <w:rFonts w:hint="eastAsia" w:ascii="宋体" w:hAnsi="宋体"/>
          <w:sz w:val="16"/>
          <w:szCs w:val="16"/>
        </w:rPr>
        <w:t>注：</w:t>
      </w:r>
      <w:r>
        <w:rPr>
          <w:rFonts w:hint="eastAsia"/>
          <w:kern w:val="0"/>
          <w:sz w:val="16"/>
          <w:szCs w:val="16"/>
        </w:rPr>
        <w:t>①</w:t>
      </w:r>
      <w:r>
        <w:rPr>
          <w:rFonts w:hint="eastAsia" w:ascii="宋体" w:hAnsi="宋体"/>
          <w:sz w:val="16"/>
          <w:szCs w:val="16"/>
        </w:rPr>
        <w:t>项目经理</w:t>
      </w:r>
      <w:r>
        <w:rPr>
          <w:rFonts w:hint="eastAsia" w:ascii="宋体" w:hAnsi="宋体" w:cs="宋体"/>
          <w:kern w:val="0"/>
          <w:sz w:val="16"/>
          <w:szCs w:val="16"/>
        </w:rPr>
        <w:t>工作经验证明</w:t>
      </w:r>
      <w:r>
        <w:rPr>
          <w:rFonts w:hint="eastAsia" w:ascii="宋体" w:hAnsi="宋体" w:cs="宋体"/>
          <w:kern w:val="0"/>
          <w:sz w:val="16"/>
          <w:szCs w:val="16"/>
          <w:lang w:eastAsia="zh-CN"/>
        </w:rPr>
        <w:t>需要</w:t>
      </w:r>
      <w:r>
        <w:rPr>
          <w:rFonts w:hint="eastAsia" w:ascii="宋体" w:hAnsi="宋体" w:cs="宋体"/>
          <w:kern w:val="0"/>
          <w:sz w:val="16"/>
          <w:szCs w:val="16"/>
        </w:rPr>
        <w:t>提供加盖业主单位公章的证明材料复印件，内容应当明确拟任人员姓名、身份证号、服务的项目名称、任职岗位、在该岗位服务的起止时间及投标人与业主单位签订的服务合同。</w:t>
      </w:r>
    </w:p>
    <w:p>
      <w:pPr>
        <w:pStyle w:val="7"/>
        <w:rPr>
          <w:sz w:val="36"/>
          <w:szCs w:val="22"/>
        </w:rPr>
      </w:pPr>
      <w:r>
        <w:rPr>
          <w:rFonts w:hint="eastAsia" w:ascii="宋体" w:hAnsi="宋体" w:cs="宋体"/>
          <w:kern w:val="0"/>
          <w:sz w:val="16"/>
          <w:szCs w:val="16"/>
        </w:rPr>
        <w:t xml:space="preserve">    </w:t>
      </w:r>
      <w:r>
        <w:rPr>
          <w:rFonts w:hint="eastAsia"/>
          <w:kern w:val="0"/>
          <w:sz w:val="16"/>
          <w:szCs w:val="16"/>
        </w:rPr>
        <w:t>②</w:t>
      </w:r>
      <w:r>
        <w:rPr>
          <w:rFonts w:hint="eastAsia" w:ascii="宋体" w:hAnsi="宋体" w:cs="宋体"/>
          <w:kern w:val="0"/>
          <w:sz w:val="16"/>
          <w:szCs w:val="16"/>
        </w:rPr>
        <w:t xml:space="preserve"> 上述要求配置人员提供人员身份证、学历证、证书扫描件。</w:t>
      </w:r>
    </w:p>
    <w:p>
      <w:pPr>
        <w:spacing w:line="360" w:lineRule="auto"/>
        <w:ind w:firstLine="482" w:firstLineChars="200"/>
        <w:rPr>
          <w:rFonts w:ascii="宋体" w:hAnsi="宋体"/>
          <w:b/>
          <w:szCs w:val="24"/>
        </w:rPr>
      </w:pPr>
      <w:r>
        <w:rPr>
          <w:rFonts w:hint="eastAsia" w:ascii="宋体" w:hAnsi="宋体"/>
          <w:b/>
          <w:szCs w:val="24"/>
        </w:rPr>
        <w:t>3、人员岗位职责</w:t>
      </w:r>
    </w:p>
    <w:p>
      <w:pPr>
        <w:spacing w:line="360" w:lineRule="auto"/>
        <w:ind w:firstLine="482" w:firstLineChars="200"/>
        <w:rPr>
          <w:rFonts w:hint="eastAsia" w:ascii="宋体" w:hAnsi="宋体"/>
          <w:b/>
          <w:szCs w:val="24"/>
        </w:rPr>
      </w:pPr>
      <w:r>
        <w:rPr>
          <w:rFonts w:hint="eastAsia" w:ascii="宋体" w:hAnsi="宋体"/>
          <w:b/>
          <w:szCs w:val="24"/>
        </w:rPr>
        <w:t>3.1项目经理岗位职责</w:t>
      </w:r>
    </w:p>
    <w:p>
      <w:pPr>
        <w:spacing w:line="360" w:lineRule="auto"/>
        <w:ind w:firstLine="480" w:firstLineChars="200"/>
        <w:rPr>
          <w:rFonts w:ascii="宋体" w:hAnsi="宋体"/>
          <w:bCs/>
          <w:szCs w:val="24"/>
        </w:rPr>
      </w:pPr>
      <w:r>
        <w:rPr>
          <w:rFonts w:hint="eastAsia" w:ascii="宋体" w:hAnsi="宋体"/>
          <w:bCs/>
          <w:szCs w:val="24"/>
          <w:lang w:eastAsia="zh-CN"/>
        </w:rPr>
        <w:t>（</w:t>
      </w:r>
      <w:r>
        <w:rPr>
          <w:rFonts w:hint="eastAsia" w:ascii="宋体" w:hAnsi="宋体"/>
          <w:bCs/>
          <w:szCs w:val="24"/>
          <w:lang w:val="en-US" w:eastAsia="zh-CN"/>
        </w:rPr>
        <w:t>1</w:t>
      </w:r>
      <w:r>
        <w:rPr>
          <w:rFonts w:hint="eastAsia" w:ascii="宋体" w:hAnsi="宋体"/>
          <w:bCs/>
          <w:szCs w:val="24"/>
          <w:lang w:eastAsia="zh-CN"/>
        </w:rPr>
        <w:t>）</w:t>
      </w:r>
      <w:r>
        <w:rPr>
          <w:rFonts w:hint="eastAsia" w:ascii="宋体" w:hAnsi="宋体"/>
          <w:bCs/>
          <w:szCs w:val="24"/>
        </w:rPr>
        <w:t>负责本项目的全面管理，贯彻执行公司的各项决议和决定，主持项目工作总结，评估工作效果。</w:t>
      </w:r>
    </w:p>
    <w:p>
      <w:pPr>
        <w:numPr>
          <w:ilvl w:val="0"/>
          <w:numId w:val="6"/>
        </w:numPr>
        <w:spacing w:line="360" w:lineRule="auto"/>
        <w:rPr>
          <w:rFonts w:ascii="宋体" w:hAnsi="宋体"/>
          <w:bCs/>
          <w:szCs w:val="24"/>
        </w:rPr>
      </w:pPr>
      <w:r>
        <w:rPr>
          <w:rFonts w:hint="eastAsia" w:ascii="宋体" w:hAnsi="宋体"/>
          <w:bCs/>
          <w:szCs w:val="24"/>
        </w:rPr>
        <w:t>组织制定并执行项目各项规章制度和服务操作规程，确保实施效果符合公司要求。</w:t>
      </w:r>
    </w:p>
    <w:p>
      <w:pPr>
        <w:numPr>
          <w:ilvl w:val="0"/>
          <w:numId w:val="6"/>
        </w:numPr>
        <w:spacing w:line="360" w:lineRule="auto"/>
        <w:rPr>
          <w:rFonts w:ascii="宋体" w:hAnsi="宋体"/>
          <w:bCs/>
          <w:szCs w:val="24"/>
        </w:rPr>
      </w:pPr>
      <w:r>
        <w:rPr>
          <w:rFonts w:hint="eastAsia" w:ascii="宋体" w:hAnsi="宋体"/>
          <w:bCs/>
          <w:szCs w:val="24"/>
        </w:rPr>
        <w:t>合理分配各岗位人员的工作，加强员工培训，增强员工服务意识和业务技能。</w:t>
      </w:r>
    </w:p>
    <w:p>
      <w:pPr>
        <w:numPr>
          <w:ilvl w:val="0"/>
          <w:numId w:val="6"/>
        </w:numPr>
        <w:spacing w:line="360" w:lineRule="auto"/>
        <w:rPr>
          <w:rFonts w:ascii="宋体" w:hAnsi="宋体"/>
          <w:bCs/>
          <w:szCs w:val="24"/>
        </w:rPr>
      </w:pPr>
      <w:r>
        <w:rPr>
          <w:rFonts w:hint="eastAsia" w:ascii="宋体" w:hAnsi="宋体"/>
          <w:bCs/>
          <w:szCs w:val="24"/>
        </w:rPr>
        <w:t>审核和控制项目的财务预算和支出，确保项目财务状况良好。</w:t>
      </w:r>
    </w:p>
    <w:p>
      <w:pPr>
        <w:numPr>
          <w:ilvl w:val="0"/>
          <w:numId w:val="6"/>
        </w:numPr>
        <w:spacing w:line="360" w:lineRule="auto"/>
        <w:rPr>
          <w:rFonts w:ascii="宋体" w:hAnsi="宋体"/>
          <w:bCs/>
          <w:szCs w:val="24"/>
        </w:rPr>
      </w:pPr>
      <w:r>
        <w:rPr>
          <w:rFonts w:hint="eastAsia" w:ascii="宋体" w:hAnsi="宋体"/>
          <w:bCs/>
          <w:szCs w:val="24"/>
        </w:rPr>
        <w:t>组织开展项目内部沟通和协调工作，及时解决各类问题，确保项目运营稳定。</w:t>
      </w:r>
    </w:p>
    <w:p>
      <w:pPr>
        <w:numPr>
          <w:ilvl w:val="0"/>
          <w:numId w:val="6"/>
        </w:numPr>
        <w:spacing w:line="360" w:lineRule="auto"/>
        <w:rPr>
          <w:rFonts w:ascii="宋体" w:hAnsi="宋体"/>
          <w:bCs/>
          <w:szCs w:val="24"/>
        </w:rPr>
      </w:pPr>
      <w:r>
        <w:rPr>
          <w:rFonts w:hint="eastAsia" w:ascii="宋体" w:hAnsi="宋体"/>
          <w:bCs/>
          <w:szCs w:val="24"/>
        </w:rPr>
        <w:t>负责与相关政府部门、客户和社区保持良好关系，确保项目运营顺利。</w:t>
      </w:r>
    </w:p>
    <w:p>
      <w:pPr>
        <w:spacing w:line="360" w:lineRule="auto"/>
        <w:rPr>
          <w:rFonts w:ascii="宋体" w:hAnsi="宋体"/>
          <w:b/>
          <w:szCs w:val="24"/>
        </w:rPr>
      </w:pPr>
      <w:r>
        <w:rPr>
          <w:rFonts w:hint="eastAsia" w:ascii="宋体" w:hAnsi="宋体"/>
          <w:b/>
          <w:szCs w:val="24"/>
        </w:rPr>
        <w:t>3.2、秩序维护主管岗位职责</w:t>
      </w:r>
    </w:p>
    <w:p>
      <w:pPr>
        <w:numPr>
          <w:ilvl w:val="0"/>
          <w:numId w:val="7"/>
        </w:numPr>
        <w:spacing w:line="360" w:lineRule="auto"/>
        <w:rPr>
          <w:rFonts w:ascii="宋体" w:hAnsi="宋体"/>
          <w:bCs/>
          <w:szCs w:val="24"/>
        </w:rPr>
      </w:pPr>
      <w:r>
        <w:rPr>
          <w:rFonts w:hint="eastAsia" w:ascii="宋体" w:hAnsi="宋体"/>
          <w:bCs/>
          <w:szCs w:val="24"/>
        </w:rPr>
        <w:t>负责制定和执行秩序维护计划，确保本项目安全秩序。</w:t>
      </w:r>
    </w:p>
    <w:p>
      <w:pPr>
        <w:numPr>
          <w:ilvl w:val="0"/>
          <w:numId w:val="7"/>
        </w:numPr>
        <w:spacing w:line="360" w:lineRule="auto"/>
        <w:rPr>
          <w:rFonts w:ascii="宋体" w:hAnsi="宋体"/>
          <w:bCs/>
          <w:szCs w:val="24"/>
        </w:rPr>
      </w:pPr>
      <w:r>
        <w:rPr>
          <w:rFonts w:hint="eastAsia" w:ascii="宋体" w:hAnsi="宋体"/>
          <w:bCs/>
          <w:szCs w:val="24"/>
        </w:rPr>
        <w:t>安排秩序维护员的工作，进行排班和考勤管理。</w:t>
      </w:r>
    </w:p>
    <w:p>
      <w:pPr>
        <w:numPr>
          <w:ilvl w:val="0"/>
          <w:numId w:val="7"/>
        </w:numPr>
        <w:spacing w:line="360" w:lineRule="auto"/>
        <w:rPr>
          <w:rFonts w:ascii="宋体" w:hAnsi="宋体"/>
          <w:bCs/>
          <w:szCs w:val="24"/>
        </w:rPr>
      </w:pPr>
      <w:r>
        <w:rPr>
          <w:rFonts w:hint="eastAsia" w:ascii="宋体" w:hAnsi="宋体"/>
          <w:bCs/>
          <w:szCs w:val="24"/>
        </w:rPr>
        <w:t>对秩序维护员进行业务培训和考核，提高秩序维护水平。</w:t>
      </w:r>
    </w:p>
    <w:p>
      <w:pPr>
        <w:numPr>
          <w:ilvl w:val="0"/>
          <w:numId w:val="7"/>
        </w:numPr>
        <w:spacing w:line="360" w:lineRule="auto"/>
        <w:rPr>
          <w:rFonts w:ascii="宋体" w:hAnsi="宋体"/>
          <w:bCs/>
          <w:szCs w:val="24"/>
        </w:rPr>
      </w:pPr>
      <w:r>
        <w:rPr>
          <w:rFonts w:hint="eastAsia" w:ascii="宋体" w:hAnsi="宋体"/>
          <w:bCs/>
          <w:szCs w:val="24"/>
        </w:rPr>
        <w:t>及时处理本项目内的各类安全问题，协调解决纠纷。</w:t>
      </w:r>
    </w:p>
    <w:p>
      <w:pPr>
        <w:numPr>
          <w:ilvl w:val="0"/>
          <w:numId w:val="7"/>
        </w:numPr>
        <w:spacing w:line="360" w:lineRule="auto"/>
        <w:rPr>
          <w:rFonts w:ascii="宋体" w:hAnsi="宋体"/>
          <w:bCs/>
          <w:szCs w:val="24"/>
        </w:rPr>
      </w:pPr>
      <w:r>
        <w:rPr>
          <w:rFonts w:hint="eastAsia" w:ascii="宋体" w:hAnsi="宋体"/>
          <w:bCs/>
          <w:szCs w:val="24"/>
        </w:rPr>
        <w:t>与公安、消防等相关部门保持良好关系，配合处理各类突发事件。</w:t>
      </w:r>
    </w:p>
    <w:p>
      <w:pPr>
        <w:spacing w:line="360" w:lineRule="auto"/>
        <w:rPr>
          <w:rFonts w:ascii="宋体" w:hAnsi="宋体"/>
          <w:b/>
          <w:szCs w:val="24"/>
        </w:rPr>
      </w:pPr>
      <w:r>
        <w:rPr>
          <w:rFonts w:hint="eastAsia" w:ascii="宋体" w:hAnsi="宋体"/>
          <w:b/>
          <w:szCs w:val="24"/>
        </w:rPr>
        <w:t>3.3、环境维护主管岗位职责</w:t>
      </w:r>
    </w:p>
    <w:p>
      <w:pPr>
        <w:numPr>
          <w:ilvl w:val="0"/>
          <w:numId w:val="8"/>
        </w:numPr>
        <w:spacing w:line="360" w:lineRule="auto"/>
        <w:rPr>
          <w:rFonts w:ascii="宋体" w:hAnsi="宋体"/>
          <w:bCs/>
          <w:szCs w:val="24"/>
        </w:rPr>
      </w:pPr>
      <w:r>
        <w:rPr>
          <w:rFonts w:hint="eastAsia" w:ascii="宋体" w:hAnsi="宋体"/>
          <w:bCs/>
          <w:szCs w:val="24"/>
        </w:rPr>
        <w:t>负责制定和执行环境维护工作计划，确保本项目环境卫生。</w:t>
      </w:r>
    </w:p>
    <w:p>
      <w:pPr>
        <w:numPr>
          <w:ilvl w:val="0"/>
          <w:numId w:val="8"/>
        </w:numPr>
        <w:spacing w:line="360" w:lineRule="auto"/>
        <w:rPr>
          <w:rFonts w:ascii="宋体" w:hAnsi="宋体"/>
          <w:bCs/>
          <w:szCs w:val="24"/>
        </w:rPr>
      </w:pPr>
      <w:r>
        <w:rPr>
          <w:rFonts w:hint="eastAsia" w:ascii="宋体" w:hAnsi="宋体"/>
          <w:bCs/>
          <w:szCs w:val="24"/>
        </w:rPr>
        <w:t>安排环境维护员的工作，进行排班和考勤管理。</w:t>
      </w:r>
    </w:p>
    <w:p>
      <w:pPr>
        <w:numPr>
          <w:ilvl w:val="0"/>
          <w:numId w:val="8"/>
        </w:numPr>
        <w:spacing w:line="360" w:lineRule="auto"/>
        <w:rPr>
          <w:rFonts w:ascii="宋体" w:hAnsi="宋体"/>
          <w:bCs/>
          <w:szCs w:val="24"/>
        </w:rPr>
      </w:pPr>
      <w:r>
        <w:rPr>
          <w:rFonts w:hint="eastAsia" w:ascii="宋体" w:hAnsi="宋体"/>
          <w:bCs/>
          <w:szCs w:val="24"/>
        </w:rPr>
        <w:t>对环境维护员进行业务培训和考核，提高环境维护水平。</w:t>
      </w:r>
    </w:p>
    <w:p>
      <w:pPr>
        <w:numPr>
          <w:ilvl w:val="0"/>
          <w:numId w:val="8"/>
        </w:numPr>
        <w:spacing w:line="360" w:lineRule="auto"/>
        <w:rPr>
          <w:rFonts w:ascii="宋体" w:hAnsi="宋体"/>
          <w:bCs/>
          <w:szCs w:val="24"/>
        </w:rPr>
      </w:pPr>
      <w:r>
        <w:rPr>
          <w:rFonts w:hint="eastAsia" w:ascii="宋体" w:hAnsi="宋体"/>
          <w:bCs/>
          <w:szCs w:val="24"/>
        </w:rPr>
        <w:t>监督环境维护员的工作质量，及时处理环境卫生问题。</w:t>
      </w:r>
    </w:p>
    <w:p>
      <w:pPr>
        <w:numPr>
          <w:ilvl w:val="0"/>
          <w:numId w:val="8"/>
        </w:numPr>
        <w:spacing w:line="360" w:lineRule="auto"/>
        <w:rPr>
          <w:rFonts w:ascii="宋体" w:hAnsi="宋体"/>
          <w:bCs/>
          <w:szCs w:val="24"/>
        </w:rPr>
      </w:pPr>
      <w:r>
        <w:rPr>
          <w:rFonts w:hint="eastAsia" w:ascii="宋体" w:hAnsi="宋体"/>
          <w:bCs/>
          <w:szCs w:val="24"/>
        </w:rPr>
        <w:t>合理控制环境维护用品的消耗。</w:t>
      </w:r>
    </w:p>
    <w:p>
      <w:pPr>
        <w:spacing w:line="360" w:lineRule="auto"/>
        <w:rPr>
          <w:rFonts w:ascii="宋体" w:hAnsi="宋体"/>
          <w:b/>
          <w:szCs w:val="24"/>
        </w:rPr>
      </w:pPr>
      <w:r>
        <w:rPr>
          <w:rFonts w:hint="eastAsia" w:ascii="宋体" w:hAnsi="宋体"/>
          <w:b/>
          <w:szCs w:val="24"/>
        </w:rPr>
        <w:t>3.4、秩序维护员岗位职责</w:t>
      </w:r>
    </w:p>
    <w:p>
      <w:pPr>
        <w:numPr>
          <w:ilvl w:val="0"/>
          <w:numId w:val="9"/>
        </w:numPr>
        <w:spacing w:line="360" w:lineRule="auto"/>
        <w:rPr>
          <w:rFonts w:ascii="宋体" w:hAnsi="宋体"/>
          <w:bCs/>
          <w:szCs w:val="24"/>
        </w:rPr>
      </w:pPr>
      <w:r>
        <w:rPr>
          <w:rFonts w:hint="eastAsia" w:ascii="宋体" w:hAnsi="宋体"/>
          <w:bCs/>
          <w:szCs w:val="24"/>
        </w:rPr>
        <w:t>按照秩序维护主管的安排，负责本项目的安全秩序维护工作。</w:t>
      </w:r>
    </w:p>
    <w:p>
      <w:pPr>
        <w:numPr>
          <w:ilvl w:val="0"/>
          <w:numId w:val="9"/>
        </w:numPr>
        <w:spacing w:line="360" w:lineRule="auto"/>
        <w:rPr>
          <w:rFonts w:ascii="宋体" w:hAnsi="宋体"/>
          <w:bCs/>
          <w:szCs w:val="24"/>
        </w:rPr>
      </w:pPr>
      <w:r>
        <w:rPr>
          <w:rFonts w:hint="eastAsia" w:ascii="宋体" w:hAnsi="宋体"/>
          <w:bCs/>
          <w:szCs w:val="24"/>
        </w:rPr>
        <w:t>对本项目进行巡逻，及时发现和处理各类安全问题。</w:t>
      </w:r>
    </w:p>
    <w:p>
      <w:pPr>
        <w:numPr>
          <w:ilvl w:val="0"/>
          <w:numId w:val="9"/>
        </w:numPr>
        <w:spacing w:line="360" w:lineRule="auto"/>
        <w:rPr>
          <w:rFonts w:ascii="宋体" w:hAnsi="宋体"/>
          <w:bCs/>
          <w:szCs w:val="24"/>
        </w:rPr>
      </w:pPr>
      <w:r>
        <w:rPr>
          <w:rFonts w:hint="eastAsia" w:ascii="宋体" w:hAnsi="宋体"/>
          <w:bCs/>
          <w:szCs w:val="24"/>
        </w:rPr>
        <w:t>协助处理本项目内的纠纷和投诉。</w:t>
      </w:r>
    </w:p>
    <w:p>
      <w:pPr>
        <w:numPr>
          <w:ilvl w:val="0"/>
          <w:numId w:val="9"/>
        </w:numPr>
        <w:spacing w:line="360" w:lineRule="auto"/>
        <w:rPr>
          <w:rFonts w:ascii="宋体" w:hAnsi="宋体"/>
          <w:bCs/>
          <w:szCs w:val="24"/>
        </w:rPr>
      </w:pPr>
      <w:r>
        <w:rPr>
          <w:rFonts w:hint="eastAsia" w:ascii="宋体" w:hAnsi="宋体"/>
          <w:bCs/>
          <w:szCs w:val="24"/>
        </w:rPr>
        <w:t>向秩序维护主管汇报工作情况，提出改进建议。</w:t>
      </w:r>
    </w:p>
    <w:p>
      <w:pPr>
        <w:spacing w:line="360" w:lineRule="auto"/>
        <w:rPr>
          <w:rFonts w:ascii="宋体" w:hAnsi="宋体"/>
          <w:b/>
          <w:szCs w:val="24"/>
        </w:rPr>
      </w:pPr>
      <w:r>
        <w:rPr>
          <w:rFonts w:hint="eastAsia" w:ascii="宋体" w:hAnsi="宋体"/>
          <w:b/>
          <w:szCs w:val="24"/>
        </w:rPr>
        <w:t>3.5、安全管理员岗位职责</w:t>
      </w:r>
    </w:p>
    <w:p>
      <w:pPr>
        <w:numPr>
          <w:ilvl w:val="0"/>
          <w:numId w:val="10"/>
        </w:numPr>
        <w:spacing w:line="360" w:lineRule="auto"/>
        <w:rPr>
          <w:rFonts w:ascii="宋体" w:hAnsi="宋体"/>
          <w:bCs/>
          <w:szCs w:val="24"/>
        </w:rPr>
      </w:pPr>
      <w:r>
        <w:rPr>
          <w:rFonts w:hint="eastAsia" w:ascii="宋体" w:hAnsi="宋体"/>
          <w:bCs/>
          <w:szCs w:val="24"/>
        </w:rPr>
        <w:t>负责制定和执行消防、电梯安全工作计划，确保本项目消防、电梯安全。</w:t>
      </w:r>
    </w:p>
    <w:p>
      <w:pPr>
        <w:numPr>
          <w:ilvl w:val="0"/>
          <w:numId w:val="10"/>
        </w:numPr>
        <w:spacing w:line="360" w:lineRule="auto"/>
        <w:rPr>
          <w:rFonts w:ascii="宋体" w:hAnsi="宋体"/>
          <w:bCs/>
          <w:szCs w:val="24"/>
        </w:rPr>
      </w:pPr>
      <w:r>
        <w:rPr>
          <w:rFonts w:hint="eastAsia" w:ascii="宋体" w:hAnsi="宋体"/>
          <w:bCs/>
          <w:szCs w:val="24"/>
        </w:rPr>
        <w:t>定期检查消防设施和器材，定时检查电梯确保其完好有效。</w:t>
      </w:r>
    </w:p>
    <w:p>
      <w:pPr>
        <w:numPr>
          <w:ilvl w:val="0"/>
          <w:numId w:val="10"/>
        </w:numPr>
        <w:spacing w:line="360" w:lineRule="auto"/>
        <w:rPr>
          <w:rFonts w:ascii="宋体" w:hAnsi="宋体"/>
          <w:bCs/>
          <w:szCs w:val="24"/>
        </w:rPr>
      </w:pPr>
      <w:r>
        <w:rPr>
          <w:rFonts w:hint="eastAsia" w:ascii="宋体" w:hAnsi="宋体"/>
          <w:bCs/>
          <w:szCs w:val="24"/>
        </w:rPr>
        <w:t>对消防设施和器材进行定期维护和保养，及时报修损坏的设施和器材。</w:t>
      </w:r>
    </w:p>
    <w:p>
      <w:pPr>
        <w:numPr>
          <w:ilvl w:val="0"/>
          <w:numId w:val="10"/>
        </w:numPr>
        <w:spacing w:line="360" w:lineRule="auto"/>
        <w:rPr>
          <w:rFonts w:ascii="宋体" w:hAnsi="宋体"/>
          <w:bCs/>
          <w:szCs w:val="24"/>
        </w:rPr>
      </w:pPr>
      <w:r>
        <w:rPr>
          <w:rFonts w:hint="eastAsia" w:ascii="宋体" w:hAnsi="宋体"/>
          <w:bCs/>
          <w:szCs w:val="24"/>
        </w:rPr>
        <w:t>进行消防宣传和教育，增强员工和业主的消防安全意识。</w:t>
      </w:r>
    </w:p>
    <w:p>
      <w:pPr>
        <w:numPr>
          <w:ilvl w:val="0"/>
          <w:numId w:val="10"/>
        </w:numPr>
        <w:spacing w:line="360" w:lineRule="auto"/>
        <w:rPr>
          <w:rFonts w:ascii="宋体" w:hAnsi="宋体"/>
          <w:bCs/>
          <w:szCs w:val="24"/>
        </w:rPr>
      </w:pPr>
      <w:r>
        <w:rPr>
          <w:rFonts w:hint="eastAsia" w:ascii="宋体" w:hAnsi="宋体"/>
          <w:bCs/>
          <w:szCs w:val="24"/>
        </w:rPr>
        <w:t xml:space="preserve"> 配合消防部门进行火灾应急演练和处理。</w:t>
      </w:r>
    </w:p>
    <w:p>
      <w:pPr>
        <w:numPr>
          <w:ilvl w:val="0"/>
          <w:numId w:val="10"/>
        </w:numPr>
        <w:spacing w:line="360" w:lineRule="auto"/>
        <w:rPr>
          <w:rFonts w:ascii="宋体" w:hAnsi="宋体"/>
          <w:bCs/>
          <w:szCs w:val="24"/>
        </w:rPr>
      </w:pPr>
      <w:r>
        <w:rPr>
          <w:rFonts w:hint="eastAsia" w:ascii="宋体" w:hAnsi="宋体"/>
          <w:bCs/>
          <w:szCs w:val="24"/>
        </w:rPr>
        <w:t>配合电梯维保单位做好电梯困人救援应急演练</w:t>
      </w:r>
    </w:p>
    <w:p>
      <w:pPr>
        <w:spacing w:line="360" w:lineRule="auto"/>
        <w:rPr>
          <w:rFonts w:ascii="宋体" w:hAnsi="宋体"/>
          <w:b/>
          <w:szCs w:val="24"/>
        </w:rPr>
      </w:pPr>
      <w:r>
        <w:rPr>
          <w:rFonts w:hint="eastAsia" w:ascii="宋体" w:hAnsi="宋体"/>
          <w:b/>
          <w:szCs w:val="24"/>
        </w:rPr>
        <w:t>3.6、环境维护员岗位职责</w:t>
      </w:r>
    </w:p>
    <w:p>
      <w:pPr>
        <w:numPr>
          <w:ilvl w:val="0"/>
          <w:numId w:val="11"/>
        </w:numPr>
        <w:spacing w:line="360" w:lineRule="auto"/>
        <w:rPr>
          <w:rFonts w:ascii="宋体" w:hAnsi="宋体"/>
          <w:bCs/>
          <w:szCs w:val="24"/>
        </w:rPr>
      </w:pPr>
      <w:r>
        <w:rPr>
          <w:rFonts w:hint="eastAsia" w:ascii="宋体" w:hAnsi="宋体"/>
          <w:bCs/>
          <w:szCs w:val="24"/>
        </w:rPr>
        <w:t>按照环境维护主管的安排，负责本项目的环境卫生清洁工作。</w:t>
      </w:r>
    </w:p>
    <w:p>
      <w:pPr>
        <w:numPr>
          <w:ilvl w:val="0"/>
          <w:numId w:val="11"/>
        </w:numPr>
        <w:spacing w:line="360" w:lineRule="auto"/>
        <w:rPr>
          <w:rFonts w:ascii="宋体" w:hAnsi="宋体"/>
          <w:bCs/>
          <w:szCs w:val="24"/>
        </w:rPr>
      </w:pPr>
      <w:r>
        <w:rPr>
          <w:rFonts w:hint="eastAsia" w:ascii="宋体" w:hAnsi="宋体"/>
          <w:bCs/>
          <w:szCs w:val="24"/>
        </w:rPr>
        <w:t>对本项目公共区域、楼道、卫生间等进行定期清洁。</w:t>
      </w:r>
    </w:p>
    <w:p>
      <w:pPr>
        <w:numPr>
          <w:ilvl w:val="0"/>
          <w:numId w:val="11"/>
        </w:numPr>
        <w:spacing w:line="360" w:lineRule="auto"/>
        <w:rPr>
          <w:rFonts w:ascii="宋体" w:hAnsi="宋体"/>
          <w:bCs/>
          <w:szCs w:val="24"/>
        </w:rPr>
      </w:pPr>
      <w:r>
        <w:rPr>
          <w:rFonts w:hint="eastAsia" w:ascii="宋体" w:hAnsi="宋体"/>
          <w:bCs/>
          <w:szCs w:val="24"/>
        </w:rPr>
        <w:t>及时清理垃圾，保持环境整洁。</w:t>
      </w:r>
    </w:p>
    <w:p>
      <w:pPr>
        <w:numPr>
          <w:ilvl w:val="0"/>
          <w:numId w:val="11"/>
        </w:numPr>
        <w:spacing w:line="360" w:lineRule="auto"/>
        <w:rPr>
          <w:rFonts w:ascii="宋体" w:hAnsi="宋体"/>
          <w:bCs/>
          <w:szCs w:val="24"/>
        </w:rPr>
      </w:pPr>
      <w:r>
        <w:rPr>
          <w:rFonts w:hint="eastAsia" w:ascii="宋体" w:hAnsi="宋体"/>
          <w:bCs/>
          <w:szCs w:val="24"/>
        </w:rPr>
        <w:t>协助主管处理环境卫生问题，向其汇报工作情况。</w:t>
      </w:r>
    </w:p>
    <w:p>
      <w:pPr>
        <w:numPr>
          <w:ilvl w:val="0"/>
          <w:numId w:val="11"/>
        </w:numPr>
        <w:spacing w:line="360" w:lineRule="auto"/>
        <w:rPr>
          <w:rFonts w:ascii="宋体" w:hAnsi="宋体"/>
          <w:bCs/>
          <w:szCs w:val="24"/>
        </w:rPr>
      </w:pPr>
      <w:r>
        <w:rPr>
          <w:rFonts w:hint="eastAsia" w:ascii="宋体" w:hAnsi="宋体"/>
          <w:bCs/>
          <w:szCs w:val="24"/>
        </w:rPr>
        <w:t>节约使用环境维护用品。</w:t>
      </w:r>
    </w:p>
    <w:p>
      <w:pPr>
        <w:spacing w:line="360" w:lineRule="auto"/>
        <w:rPr>
          <w:rFonts w:ascii="宋体" w:hAnsi="宋体"/>
          <w:b/>
          <w:szCs w:val="24"/>
        </w:rPr>
      </w:pPr>
      <w:r>
        <w:rPr>
          <w:rFonts w:hint="eastAsia" w:ascii="宋体" w:hAnsi="宋体"/>
          <w:b/>
          <w:szCs w:val="24"/>
        </w:rPr>
        <w:t>3.7、设施设备维护员岗位职责</w:t>
      </w:r>
    </w:p>
    <w:p>
      <w:pPr>
        <w:numPr>
          <w:ilvl w:val="0"/>
          <w:numId w:val="12"/>
        </w:numPr>
        <w:spacing w:line="360" w:lineRule="auto"/>
        <w:rPr>
          <w:rFonts w:ascii="宋体" w:hAnsi="宋体"/>
          <w:bCs/>
          <w:szCs w:val="24"/>
        </w:rPr>
      </w:pPr>
      <w:r>
        <w:rPr>
          <w:rFonts w:hint="eastAsia" w:ascii="宋体" w:hAnsi="宋体"/>
          <w:bCs/>
          <w:szCs w:val="24"/>
        </w:rPr>
        <w:t>负责本项目设施设备的日常维护和保养工作。</w:t>
      </w:r>
    </w:p>
    <w:p>
      <w:pPr>
        <w:numPr>
          <w:ilvl w:val="0"/>
          <w:numId w:val="12"/>
        </w:numPr>
        <w:spacing w:line="360" w:lineRule="auto"/>
        <w:rPr>
          <w:rFonts w:ascii="宋体" w:hAnsi="宋体"/>
          <w:bCs/>
          <w:szCs w:val="24"/>
        </w:rPr>
      </w:pPr>
      <w:r>
        <w:rPr>
          <w:rFonts w:hint="eastAsia" w:ascii="宋体" w:hAnsi="宋体"/>
          <w:bCs/>
          <w:szCs w:val="24"/>
        </w:rPr>
        <w:t>对设施设备进行定期检查，发现损坏及时报修。</w:t>
      </w:r>
    </w:p>
    <w:p>
      <w:pPr>
        <w:numPr>
          <w:ilvl w:val="0"/>
          <w:numId w:val="12"/>
        </w:numPr>
        <w:spacing w:line="360" w:lineRule="auto"/>
        <w:rPr>
          <w:rFonts w:ascii="宋体" w:hAnsi="宋体"/>
          <w:bCs/>
          <w:szCs w:val="24"/>
        </w:rPr>
      </w:pPr>
      <w:r>
        <w:rPr>
          <w:rFonts w:hint="eastAsia" w:ascii="宋体" w:hAnsi="宋体"/>
          <w:bCs/>
          <w:szCs w:val="24"/>
        </w:rPr>
        <w:t>协助项目经理制定设施设备的维修保养计划。</w:t>
      </w:r>
    </w:p>
    <w:p>
      <w:pPr>
        <w:numPr>
          <w:ilvl w:val="0"/>
          <w:numId w:val="12"/>
        </w:numPr>
        <w:spacing w:line="360" w:lineRule="auto"/>
        <w:rPr>
          <w:rFonts w:ascii="宋体" w:hAnsi="宋体"/>
          <w:bCs/>
          <w:szCs w:val="24"/>
        </w:rPr>
      </w:pPr>
      <w:r>
        <w:rPr>
          <w:rFonts w:hint="eastAsia" w:ascii="宋体" w:hAnsi="宋体"/>
          <w:bCs/>
          <w:szCs w:val="24"/>
        </w:rPr>
        <w:t>对设施设备维护人员进行业务培训和考核。</w:t>
      </w:r>
    </w:p>
    <w:p>
      <w:pPr>
        <w:numPr>
          <w:ilvl w:val="0"/>
          <w:numId w:val="12"/>
        </w:numPr>
        <w:spacing w:line="360" w:lineRule="auto"/>
        <w:rPr>
          <w:rFonts w:ascii="宋体" w:hAnsi="宋体"/>
          <w:bCs/>
          <w:szCs w:val="24"/>
        </w:rPr>
      </w:pPr>
      <w:r>
        <w:rPr>
          <w:rFonts w:hint="eastAsia" w:ascii="宋体" w:hAnsi="宋体"/>
          <w:bCs/>
          <w:szCs w:val="24"/>
        </w:rPr>
        <w:t>与供应商保持良好关系，确保维修配件的供应。</w:t>
      </w:r>
    </w:p>
    <w:p>
      <w:pPr>
        <w:spacing w:line="360" w:lineRule="auto"/>
        <w:rPr>
          <w:rFonts w:ascii="宋体" w:hAnsi="宋体"/>
          <w:b/>
          <w:szCs w:val="24"/>
        </w:rPr>
      </w:pPr>
      <w:r>
        <w:rPr>
          <w:rFonts w:hint="eastAsia" w:ascii="宋体" w:hAnsi="宋体"/>
          <w:b/>
          <w:szCs w:val="24"/>
        </w:rPr>
        <w:t>3.8、园林绿化维护员岗位职责</w:t>
      </w:r>
    </w:p>
    <w:p>
      <w:pPr>
        <w:numPr>
          <w:ilvl w:val="0"/>
          <w:numId w:val="13"/>
        </w:numPr>
        <w:spacing w:line="360" w:lineRule="auto"/>
        <w:rPr>
          <w:rFonts w:ascii="宋体" w:hAnsi="宋体"/>
          <w:bCs/>
          <w:szCs w:val="24"/>
        </w:rPr>
      </w:pPr>
      <w:r>
        <w:rPr>
          <w:rFonts w:hint="eastAsia" w:ascii="宋体" w:hAnsi="宋体"/>
          <w:bCs/>
          <w:szCs w:val="24"/>
        </w:rPr>
        <w:t>负责本项目园林绿化的日常维护和保养工作。</w:t>
      </w:r>
    </w:p>
    <w:p>
      <w:pPr>
        <w:numPr>
          <w:ilvl w:val="0"/>
          <w:numId w:val="13"/>
        </w:numPr>
        <w:spacing w:line="360" w:lineRule="auto"/>
        <w:rPr>
          <w:rFonts w:ascii="宋体" w:hAnsi="宋体"/>
          <w:bCs/>
          <w:szCs w:val="24"/>
        </w:rPr>
      </w:pPr>
      <w:r>
        <w:rPr>
          <w:rFonts w:hint="eastAsia" w:ascii="宋体" w:hAnsi="宋体"/>
          <w:bCs/>
          <w:szCs w:val="24"/>
        </w:rPr>
        <w:t>定期修剪草坪、树木，保证绿化效果。</w:t>
      </w:r>
    </w:p>
    <w:p>
      <w:pPr>
        <w:numPr>
          <w:ilvl w:val="0"/>
          <w:numId w:val="13"/>
        </w:numPr>
        <w:spacing w:line="360" w:lineRule="auto"/>
        <w:rPr>
          <w:rFonts w:ascii="宋体" w:hAnsi="宋体"/>
          <w:bCs/>
          <w:szCs w:val="24"/>
        </w:rPr>
      </w:pPr>
      <w:r>
        <w:rPr>
          <w:rFonts w:hint="eastAsia" w:ascii="宋体" w:hAnsi="宋体"/>
          <w:bCs/>
          <w:szCs w:val="24"/>
        </w:rPr>
        <w:t>协助项目经理制定园林绿化方案。</w:t>
      </w:r>
    </w:p>
    <w:p>
      <w:pPr>
        <w:numPr>
          <w:ilvl w:val="0"/>
          <w:numId w:val="13"/>
        </w:numPr>
        <w:spacing w:line="360" w:lineRule="auto"/>
        <w:rPr>
          <w:rFonts w:ascii="宋体" w:hAnsi="宋体"/>
          <w:bCs/>
          <w:szCs w:val="24"/>
        </w:rPr>
      </w:pPr>
      <w:r>
        <w:rPr>
          <w:rFonts w:hint="eastAsia" w:ascii="宋体" w:hAnsi="宋体"/>
          <w:bCs/>
          <w:szCs w:val="24"/>
        </w:rPr>
        <w:t>对植物进行定期浇水、施肥、除虫等养护工作。</w:t>
      </w:r>
    </w:p>
    <w:p>
      <w:pPr>
        <w:numPr>
          <w:ilvl w:val="0"/>
          <w:numId w:val="13"/>
        </w:numPr>
        <w:spacing w:line="360" w:lineRule="auto"/>
        <w:rPr>
          <w:rFonts w:ascii="宋体" w:hAnsi="宋体"/>
          <w:bCs/>
          <w:szCs w:val="24"/>
        </w:rPr>
      </w:pPr>
      <w:r>
        <w:rPr>
          <w:rFonts w:hint="eastAsia" w:ascii="宋体" w:hAnsi="宋体"/>
          <w:bCs/>
          <w:szCs w:val="24"/>
        </w:rPr>
        <w:t>及时处理园林绿化的突发问题，如树木倒塌、病虫害等。</w:t>
      </w:r>
    </w:p>
    <w:p>
      <w:pPr>
        <w:pStyle w:val="7"/>
        <w:spacing w:line="408" w:lineRule="auto"/>
        <w:rPr>
          <w:rFonts w:ascii="宋体" w:hAnsi="宋体"/>
          <w:b/>
          <w:sz w:val="24"/>
          <w:szCs w:val="24"/>
        </w:rPr>
      </w:pPr>
      <w:r>
        <w:rPr>
          <w:rFonts w:hint="eastAsia" w:ascii="宋体" w:hAnsi="宋体"/>
          <w:b/>
          <w:sz w:val="24"/>
          <w:szCs w:val="24"/>
        </w:rPr>
        <w:t>4.设备配置要求</w:t>
      </w:r>
    </w:p>
    <w:p>
      <w:pPr>
        <w:pStyle w:val="7"/>
        <w:spacing w:line="408" w:lineRule="auto"/>
        <w:ind w:firstLine="480" w:firstLineChars="200"/>
        <w:rPr>
          <w:rFonts w:hint="eastAsia" w:eastAsia="宋体" w:cs="Calibri"/>
          <w:sz w:val="24"/>
          <w:szCs w:val="24"/>
          <w:lang w:eastAsia="zh-CN"/>
        </w:rPr>
      </w:pPr>
      <w:r>
        <w:rPr>
          <w:rFonts w:hint="eastAsia" w:ascii="宋体" w:hAnsi="宋体"/>
          <w:sz w:val="24"/>
          <w:szCs w:val="24"/>
        </w:rPr>
        <w:t>4.1</w:t>
      </w:r>
      <w:r>
        <w:rPr>
          <w:rFonts w:hint="eastAsia" w:cs="Calibri"/>
          <w:sz w:val="24"/>
          <w:szCs w:val="24"/>
        </w:rPr>
        <w:t>成交人拟投入本项目的设备配置清单包含但不限于以下设备清单内容，提供拟投入设备、设施清单</w:t>
      </w:r>
      <w:r>
        <w:rPr>
          <w:rFonts w:hint="eastAsia" w:cs="Calibri"/>
          <w:sz w:val="24"/>
          <w:szCs w:val="24"/>
          <w:lang w:eastAsia="zh-CN"/>
        </w:rPr>
        <w:t>。</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38"/>
        <w:gridCol w:w="1260"/>
        <w:gridCol w:w="1701"/>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pStyle w:val="7"/>
              <w:spacing w:line="560" w:lineRule="exact"/>
              <w:jc w:val="center"/>
              <w:rPr>
                <w:rFonts w:cs="Calibri"/>
                <w:sz w:val="24"/>
                <w:szCs w:val="24"/>
              </w:rPr>
            </w:pPr>
            <w:r>
              <w:rPr>
                <w:rFonts w:hint="eastAsia" w:cs="Calibri"/>
                <w:sz w:val="24"/>
                <w:szCs w:val="24"/>
              </w:rPr>
              <w:t>环境维护保障设备配置清单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jc w:val="center"/>
              <w:rPr>
                <w:rFonts w:cs="Calibri"/>
                <w:sz w:val="24"/>
                <w:szCs w:val="24"/>
              </w:rPr>
            </w:pPr>
            <w:r>
              <w:rPr>
                <w:rFonts w:hint="eastAsia" w:cs="Calibri"/>
                <w:sz w:val="24"/>
                <w:szCs w:val="24"/>
              </w:rPr>
              <w:t>序号</w:t>
            </w:r>
          </w:p>
        </w:tc>
        <w:tc>
          <w:tcPr>
            <w:tcW w:w="2538" w:type="dxa"/>
          </w:tcPr>
          <w:p>
            <w:pPr>
              <w:pStyle w:val="7"/>
              <w:spacing w:line="560" w:lineRule="exact"/>
              <w:jc w:val="center"/>
              <w:rPr>
                <w:rFonts w:cs="Calibri"/>
                <w:sz w:val="24"/>
                <w:szCs w:val="24"/>
              </w:rPr>
            </w:pPr>
            <w:r>
              <w:rPr>
                <w:rFonts w:hint="eastAsia" w:cs="Calibri"/>
                <w:sz w:val="24"/>
                <w:szCs w:val="24"/>
              </w:rPr>
              <w:t>品名</w:t>
            </w:r>
          </w:p>
        </w:tc>
        <w:tc>
          <w:tcPr>
            <w:tcW w:w="1260" w:type="dxa"/>
          </w:tcPr>
          <w:p>
            <w:pPr>
              <w:pStyle w:val="7"/>
              <w:spacing w:line="560" w:lineRule="exact"/>
              <w:jc w:val="center"/>
              <w:rPr>
                <w:rFonts w:cs="Calibri"/>
                <w:sz w:val="24"/>
                <w:szCs w:val="24"/>
              </w:rPr>
            </w:pPr>
            <w:r>
              <w:rPr>
                <w:rFonts w:hint="eastAsia" w:cs="Calibri"/>
                <w:sz w:val="24"/>
                <w:szCs w:val="24"/>
              </w:rPr>
              <w:t>型号</w:t>
            </w:r>
          </w:p>
        </w:tc>
        <w:tc>
          <w:tcPr>
            <w:tcW w:w="1701" w:type="dxa"/>
          </w:tcPr>
          <w:p>
            <w:pPr>
              <w:pStyle w:val="7"/>
              <w:spacing w:line="560" w:lineRule="exact"/>
              <w:ind w:firstLine="480" w:firstLineChars="200"/>
              <w:rPr>
                <w:rFonts w:cs="Calibri"/>
                <w:sz w:val="24"/>
                <w:szCs w:val="24"/>
              </w:rPr>
            </w:pPr>
            <w:r>
              <w:rPr>
                <w:rFonts w:hint="eastAsia" w:cs="Calibri"/>
                <w:sz w:val="24"/>
                <w:szCs w:val="24"/>
              </w:rPr>
              <w:t>数量</w:t>
            </w:r>
          </w:p>
        </w:tc>
        <w:tc>
          <w:tcPr>
            <w:tcW w:w="1809" w:type="dxa"/>
          </w:tcPr>
          <w:p>
            <w:pPr>
              <w:pStyle w:val="7"/>
              <w:spacing w:line="560" w:lineRule="exact"/>
              <w:ind w:firstLine="480" w:firstLineChars="200"/>
              <w:rPr>
                <w:rFonts w:cs="Calibri"/>
                <w:sz w:val="24"/>
                <w:szCs w:val="24"/>
              </w:rPr>
            </w:pPr>
            <w:r>
              <w:rPr>
                <w:rFonts w:hint="eastAsia" w:cs="Calibri"/>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jc w:val="center"/>
              <w:rPr>
                <w:rFonts w:cs="Calibri"/>
                <w:sz w:val="24"/>
                <w:szCs w:val="24"/>
              </w:rPr>
            </w:pPr>
            <w:r>
              <w:rPr>
                <w:rFonts w:hint="eastAsia" w:cs="Calibri"/>
                <w:sz w:val="24"/>
                <w:szCs w:val="24"/>
              </w:rPr>
              <w:t>1</w:t>
            </w:r>
          </w:p>
        </w:tc>
        <w:tc>
          <w:tcPr>
            <w:tcW w:w="2538" w:type="dxa"/>
          </w:tcPr>
          <w:p>
            <w:pPr>
              <w:pStyle w:val="7"/>
              <w:spacing w:line="560" w:lineRule="exact"/>
              <w:jc w:val="center"/>
              <w:rPr>
                <w:rFonts w:cs="Calibri"/>
                <w:sz w:val="24"/>
                <w:szCs w:val="24"/>
              </w:rPr>
            </w:pPr>
            <w:r>
              <w:rPr>
                <w:rFonts w:hint="eastAsia" w:cs="Calibri"/>
                <w:sz w:val="24"/>
                <w:szCs w:val="24"/>
              </w:rPr>
              <w:t>电动高压清洗机</w:t>
            </w:r>
          </w:p>
        </w:tc>
        <w:tc>
          <w:tcPr>
            <w:tcW w:w="1260" w:type="dxa"/>
          </w:tcPr>
          <w:p>
            <w:pPr>
              <w:pStyle w:val="7"/>
              <w:spacing w:line="560" w:lineRule="exact"/>
              <w:ind w:firstLine="480" w:firstLineChars="200"/>
              <w:jc w:val="center"/>
              <w:rPr>
                <w:rFonts w:cs="Calibri"/>
                <w:sz w:val="24"/>
                <w:szCs w:val="24"/>
              </w:rPr>
            </w:pPr>
          </w:p>
        </w:tc>
        <w:tc>
          <w:tcPr>
            <w:tcW w:w="1701" w:type="dxa"/>
          </w:tcPr>
          <w:p>
            <w:pPr>
              <w:pStyle w:val="7"/>
              <w:spacing w:line="560" w:lineRule="exact"/>
              <w:jc w:val="center"/>
              <w:rPr>
                <w:rFonts w:cs="Calibri"/>
                <w:sz w:val="24"/>
                <w:szCs w:val="24"/>
              </w:rPr>
            </w:pPr>
            <w:r>
              <w:rPr>
                <w:rFonts w:hint="eastAsia" w:cs="Calibri"/>
                <w:sz w:val="24"/>
                <w:szCs w:val="24"/>
              </w:rPr>
              <w:t>1台</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jc w:val="center"/>
              <w:rPr>
                <w:rFonts w:cs="Calibri"/>
                <w:sz w:val="24"/>
                <w:szCs w:val="24"/>
              </w:rPr>
            </w:pPr>
            <w:r>
              <w:rPr>
                <w:rFonts w:hint="eastAsia" w:cs="Calibri"/>
                <w:sz w:val="24"/>
                <w:szCs w:val="24"/>
              </w:rPr>
              <w:t>2</w:t>
            </w:r>
          </w:p>
        </w:tc>
        <w:tc>
          <w:tcPr>
            <w:tcW w:w="2538" w:type="dxa"/>
          </w:tcPr>
          <w:p>
            <w:pPr>
              <w:pStyle w:val="7"/>
              <w:spacing w:line="560" w:lineRule="exact"/>
              <w:jc w:val="center"/>
              <w:rPr>
                <w:rFonts w:cs="Calibri"/>
                <w:sz w:val="24"/>
                <w:szCs w:val="24"/>
              </w:rPr>
            </w:pPr>
            <w:r>
              <w:rPr>
                <w:rFonts w:hint="eastAsia" w:cs="Calibri"/>
                <w:sz w:val="24"/>
                <w:szCs w:val="24"/>
              </w:rPr>
              <w:t>吸尘吸水机</w:t>
            </w:r>
          </w:p>
        </w:tc>
        <w:tc>
          <w:tcPr>
            <w:tcW w:w="1260" w:type="dxa"/>
          </w:tcPr>
          <w:p>
            <w:pPr>
              <w:pStyle w:val="7"/>
              <w:spacing w:line="560" w:lineRule="exact"/>
              <w:ind w:firstLine="480" w:firstLineChars="200"/>
              <w:jc w:val="center"/>
              <w:rPr>
                <w:rFonts w:cs="Calibri"/>
                <w:sz w:val="24"/>
                <w:szCs w:val="24"/>
              </w:rPr>
            </w:pPr>
          </w:p>
        </w:tc>
        <w:tc>
          <w:tcPr>
            <w:tcW w:w="1701" w:type="dxa"/>
          </w:tcPr>
          <w:p>
            <w:pPr>
              <w:pStyle w:val="7"/>
              <w:spacing w:line="560" w:lineRule="exact"/>
              <w:jc w:val="center"/>
              <w:rPr>
                <w:rFonts w:cs="Calibri"/>
                <w:sz w:val="24"/>
                <w:szCs w:val="24"/>
              </w:rPr>
            </w:pPr>
            <w:r>
              <w:rPr>
                <w:rFonts w:hint="eastAsia" w:cs="Calibri"/>
                <w:sz w:val="24"/>
                <w:szCs w:val="24"/>
              </w:rPr>
              <w:t>1台</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jc w:val="center"/>
              <w:rPr>
                <w:rFonts w:cs="Calibri"/>
                <w:sz w:val="24"/>
                <w:szCs w:val="24"/>
              </w:rPr>
            </w:pPr>
            <w:r>
              <w:rPr>
                <w:rFonts w:hint="eastAsia" w:cs="Calibri"/>
                <w:sz w:val="24"/>
                <w:szCs w:val="24"/>
              </w:rPr>
              <w:t>3</w:t>
            </w:r>
          </w:p>
        </w:tc>
        <w:tc>
          <w:tcPr>
            <w:tcW w:w="2538" w:type="dxa"/>
          </w:tcPr>
          <w:p>
            <w:pPr>
              <w:pStyle w:val="7"/>
              <w:spacing w:line="560" w:lineRule="exact"/>
              <w:jc w:val="center"/>
              <w:rPr>
                <w:rFonts w:cs="Calibri"/>
                <w:sz w:val="24"/>
                <w:szCs w:val="24"/>
              </w:rPr>
            </w:pPr>
            <w:r>
              <w:rPr>
                <w:rFonts w:hint="eastAsia" w:cs="Calibri"/>
                <w:sz w:val="24"/>
                <w:szCs w:val="24"/>
              </w:rPr>
              <w:t>电动三轮车</w:t>
            </w:r>
          </w:p>
        </w:tc>
        <w:tc>
          <w:tcPr>
            <w:tcW w:w="1260" w:type="dxa"/>
          </w:tcPr>
          <w:p>
            <w:pPr>
              <w:pStyle w:val="7"/>
              <w:spacing w:line="560" w:lineRule="exact"/>
              <w:ind w:firstLine="480" w:firstLineChars="200"/>
              <w:jc w:val="center"/>
              <w:rPr>
                <w:rFonts w:cs="Calibri"/>
                <w:sz w:val="24"/>
                <w:szCs w:val="24"/>
              </w:rPr>
            </w:pPr>
          </w:p>
        </w:tc>
        <w:tc>
          <w:tcPr>
            <w:tcW w:w="1701" w:type="dxa"/>
          </w:tcPr>
          <w:p>
            <w:pPr>
              <w:pStyle w:val="7"/>
              <w:spacing w:line="560" w:lineRule="exact"/>
              <w:jc w:val="center"/>
              <w:rPr>
                <w:rFonts w:cs="Calibri"/>
                <w:sz w:val="24"/>
                <w:szCs w:val="24"/>
              </w:rPr>
            </w:pPr>
            <w:r>
              <w:rPr>
                <w:rFonts w:hint="eastAsia" w:cs="Calibri"/>
                <w:sz w:val="24"/>
                <w:szCs w:val="24"/>
              </w:rPr>
              <w:t>1辆</w:t>
            </w:r>
          </w:p>
        </w:tc>
        <w:tc>
          <w:tcPr>
            <w:tcW w:w="1809" w:type="dxa"/>
          </w:tcPr>
          <w:p>
            <w:pPr>
              <w:pStyle w:val="7"/>
              <w:spacing w:line="560" w:lineRule="exact"/>
              <w:ind w:firstLine="480" w:firstLineChars="200"/>
              <w:rPr>
                <w:rFonts w:cs="Calibri"/>
                <w:sz w:val="24"/>
                <w:szCs w:val="24"/>
              </w:rPr>
            </w:pPr>
            <w:r>
              <w:rPr>
                <w:rFonts w:hint="eastAsia" w:cs="Calibri"/>
                <w:sz w:val="24"/>
                <w:szCs w:val="24"/>
              </w:rPr>
              <w:t>馆外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jc w:val="center"/>
              <w:rPr>
                <w:rFonts w:cs="Calibri"/>
                <w:sz w:val="24"/>
                <w:szCs w:val="24"/>
              </w:rPr>
            </w:pPr>
            <w:r>
              <w:rPr>
                <w:rFonts w:hint="eastAsia" w:cs="Calibri"/>
                <w:sz w:val="24"/>
                <w:szCs w:val="24"/>
              </w:rPr>
              <w:t>4</w:t>
            </w:r>
          </w:p>
        </w:tc>
        <w:tc>
          <w:tcPr>
            <w:tcW w:w="2538" w:type="dxa"/>
          </w:tcPr>
          <w:p>
            <w:pPr>
              <w:pStyle w:val="7"/>
              <w:spacing w:line="560" w:lineRule="exact"/>
              <w:jc w:val="center"/>
              <w:rPr>
                <w:rFonts w:cs="Calibri"/>
                <w:sz w:val="24"/>
                <w:szCs w:val="24"/>
              </w:rPr>
            </w:pPr>
            <w:r>
              <w:rPr>
                <w:rFonts w:hint="eastAsia" w:cs="Calibri"/>
                <w:sz w:val="24"/>
                <w:szCs w:val="24"/>
              </w:rPr>
              <w:t>梯子</w:t>
            </w:r>
          </w:p>
        </w:tc>
        <w:tc>
          <w:tcPr>
            <w:tcW w:w="1260" w:type="dxa"/>
          </w:tcPr>
          <w:p>
            <w:pPr>
              <w:pStyle w:val="7"/>
              <w:spacing w:line="560" w:lineRule="exact"/>
              <w:ind w:firstLine="480" w:firstLineChars="200"/>
              <w:jc w:val="center"/>
              <w:rPr>
                <w:rFonts w:cs="Calibri"/>
                <w:sz w:val="24"/>
                <w:szCs w:val="24"/>
              </w:rPr>
            </w:pPr>
          </w:p>
        </w:tc>
        <w:tc>
          <w:tcPr>
            <w:tcW w:w="1701" w:type="dxa"/>
          </w:tcPr>
          <w:p>
            <w:pPr>
              <w:pStyle w:val="7"/>
              <w:spacing w:line="560" w:lineRule="exact"/>
              <w:jc w:val="center"/>
              <w:rPr>
                <w:rFonts w:cs="Calibri"/>
                <w:sz w:val="24"/>
                <w:szCs w:val="24"/>
              </w:rPr>
            </w:pPr>
            <w:r>
              <w:rPr>
                <w:rFonts w:hint="eastAsia" w:cs="Calibri"/>
                <w:sz w:val="24"/>
                <w:szCs w:val="24"/>
              </w:rPr>
              <w:t>1架</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jc w:val="center"/>
              <w:rPr>
                <w:rFonts w:cs="Calibri"/>
                <w:sz w:val="24"/>
                <w:szCs w:val="24"/>
              </w:rPr>
            </w:pPr>
            <w:r>
              <w:rPr>
                <w:rFonts w:hint="eastAsia" w:cs="Calibri"/>
                <w:sz w:val="24"/>
                <w:szCs w:val="24"/>
              </w:rPr>
              <w:t>5</w:t>
            </w:r>
          </w:p>
        </w:tc>
        <w:tc>
          <w:tcPr>
            <w:tcW w:w="2538" w:type="dxa"/>
          </w:tcPr>
          <w:p>
            <w:pPr>
              <w:pStyle w:val="7"/>
              <w:spacing w:line="560" w:lineRule="exact"/>
              <w:jc w:val="center"/>
              <w:rPr>
                <w:rFonts w:cs="Calibri"/>
                <w:sz w:val="24"/>
                <w:szCs w:val="24"/>
              </w:rPr>
            </w:pPr>
            <w:r>
              <w:rPr>
                <w:rFonts w:hint="eastAsia" w:cs="Calibri"/>
                <w:sz w:val="24"/>
                <w:szCs w:val="24"/>
              </w:rPr>
              <w:t>电子喷雾器</w:t>
            </w:r>
          </w:p>
        </w:tc>
        <w:tc>
          <w:tcPr>
            <w:tcW w:w="1260" w:type="dxa"/>
          </w:tcPr>
          <w:p>
            <w:pPr>
              <w:pStyle w:val="7"/>
              <w:spacing w:line="560" w:lineRule="exact"/>
              <w:ind w:firstLine="480" w:firstLineChars="200"/>
              <w:jc w:val="center"/>
              <w:rPr>
                <w:rFonts w:cs="Calibri"/>
                <w:sz w:val="24"/>
                <w:szCs w:val="24"/>
              </w:rPr>
            </w:pPr>
          </w:p>
        </w:tc>
        <w:tc>
          <w:tcPr>
            <w:tcW w:w="1701" w:type="dxa"/>
          </w:tcPr>
          <w:p>
            <w:pPr>
              <w:pStyle w:val="7"/>
              <w:spacing w:line="560" w:lineRule="exact"/>
              <w:jc w:val="center"/>
              <w:rPr>
                <w:rFonts w:cs="Calibri"/>
                <w:sz w:val="24"/>
                <w:szCs w:val="24"/>
              </w:rPr>
            </w:pPr>
            <w:r>
              <w:rPr>
                <w:rFonts w:hint="eastAsia" w:cs="Calibri"/>
                <w:sz w:val="24"/>
                <w:szCs w:val="24"/>
              </w:rPr>
              <w:t>1台</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pStyle w:val="7"/>
              <w:spacing w:line="560" w:lineRule="exact"/>
              <w:jc w:val="center"/>
              <w:rPr>
                <w:rFonts w:cs="Calibri"/>
                <w:sz w:val="24"/>
                <w:szCs w:val="24"/>
              </w:rPr>
            </w:pPr>
            <w:r>
              <w:rPr>
                <w:rFonts w:hint="eastAsia" w:cs="Calibri"/>
                <w:sz w:val="24"/>
                <w:szCs w:val="24"/>
              </w:rPr>
              <w:t>秩序维护保障设备配置清单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rPr>
                <w:rFonts w:cs="Calibri"/>
                <w:sz w:val="24"/>
                <w:szCs w:val="24"/>
              </w:rPr>
            </w:pPr>
            <w:r>
              <w:rPr>
                <w:rFonts w:hint="eastAsia" w:cs="Calibri"/>
                <w:sz w:val="24"/>
                <w:szCs w:val="24"/>
              </w:rPr>
              <w:t>序号</w:t>
            </w:r>
          </w:p>
        </w:tc>
        <w:tc>
          <w:tcPr>
            <w:tcW w:w="2538" w:type="dxa"/>
          </w:tcPr>
          <w:p>
            <w:pPr>
              <w:pStyle w:val="7"/>
              <w:spacing w:line="560" w:lineRule="exact"/>
              <w:ind w:firstLine="480" w:firstLineChars="200"/>
              <w:rPr>
                <w:rFonts w:cs="Calibri"/>
                <w:sz w:val="24"/>
                <w:szCs w:val="24"/>
              </w:rPr>
            </w:pPr>
            <w:r>
              <w:rPr>
                <w:rFonts w:hint="eastAsia" w:cs="Calibri"/>
                <w:sz w:val="24"/>
                <w:szCs w:val="24"/>
              </w:rPr>
              <w:t>品名</w:t>
            </w:r>
          </w:p>
        </w:tc>
        <w:tc>
          <w:tcPr>
            <w:tcW w:w="1260" w:type="dxa"/>
          </w:tcPr>
          <w:p>
            <w:pPr>
              <w:pStyle w:val="7"/>
              <w:spacing w:line="560" w:lineRule="exact"/>
              <w:rPr>
                <w:rFonts w:cs="Calibri"/>
                <w:sz w:val="24"/>
                <w:szCs w:val="24"/>
              </w:rPr>
            </w:pPr>
            <w:r>
              <w:rPr>
                <w:rFonts w:hint="eastAsia" w:cs="Calibri"/>
                <w:sz w:val="24"/>
                <w:szCs w:val="24"/>
              </w:rPr>
              <w:t>型号</w:t>
            </w:r>
          </w:p>
        </w:tc>
        <w:tc>
          <w:tcPr>
            <w:tcW w:w="1701" w:type="dxa"/>
          </w:tcPr>
          <w:p>
            <w:pPr>
              <w:pStyle w:val="7"/>
              <w:spacing w:line="560" w:lineRule="exact"/>
              <w:ind w:firstLine="480" w:firstLineChars="200"/>
              <w:rPr>
                <w:rFonts w:cs="Calibri"/>
                <w:sz w:val="24"/>
                <w:szCs w:val="24"/>
              </w:rPr>
            </w:pPr>
            <w:r>
              <w:rPr>
                <w:rFonts w:hint="eastAsia" w:cs="Calibri"/>
                <w:sz w:val="24"/>
                <w:szCs w:val="24"/>
              </w:rPr>
              <w:t>数量</w:t>
            </w:r>
          </w:p>
        </w:tc>
        <w:tc>
          <w:tcPr>
            <w:tcW w:w="1809" w:type="dxa"/>
          </w:tcPr>
          <w:p>
            <w:pPr>
              <w:pStyle w:val="7"/>
              <w:spacing w:line="560" w:lineRule="exact"/>
              <w:ind w:firstLine="480" w:firstLineChars="200"/>
              <w:rPr>
                <w:rFonts w:cs="Calibri"/>
                <w:sz w:val="24"/>
                <w:szCs w:val="24"/>
              </w:rPr>
            </w:pPr>
            <w:r>
              <w:rPr>
                <w:rFonts w:hint="eastAsia" w:cs="Calibri"/>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1</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对讲机</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5台</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2</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橡胶警棍</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4根</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3</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安全头盔</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4个</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4</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强光手电</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4只</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5</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盾   牌</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2个</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6</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警用抓捕器</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2个</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7</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钢   叉</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2柄</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8</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防刺服</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1套</w:t>
            </w:r>
          </w:p>
        </w:tc>
        <w:tc>
          <w:tcPr>
            <w:tcW w:w="1809" w:type="dxa"/>
          </w:tcPr>
          <w:p>
            <w:pPr>
              <w:pStyle w:val="7"/>
              <w:spacing w:line="560" w:lineRule="exact"/>
              <w:ind w:firstLine="480" w:firstLineChars="200"/>
              <w:rPr>
                <w:rFonts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pStyle w:val="7"/>
              <w:spacing w:line="560" w:lineRule="exact"/>
              <w:ind w:firstLine="480" w:firstLineChars="200"/>
              <w:rPr>
                <w:rFonts w:cs="Calibri"/>
                <w:sz w:val="24"/>
                <w:szCs w:val="24"/>
              </w:rPr>
            </w:pPr>
            <w:r>
              <w:rPr>
                <w:rFonts w:hint="eastAsia" w:cs="Calibri"/>
                <w:sz w:val="24"/>
                <w:szCs w:val="24"/>
              </w:rPr>
              <w:t>9</w:t>
            </w:r>
          </w:p>
        </w:tc>
        <w:tc>
          <w:tcPr>
            <w:tcW w:w="2538" w:type="dxa"/>
            <w:vAlign w:val="center"/>
          </w:tcPr>
          <w:p>
            <w:pPr>
              <w:pStyle w:val="7"/>
              <w:spacing w:line="560" w:lineRule="exact"/>
              <w:ind w:firstLine="480" w:firstLineChars="200"/>
              <w:rPr>
                <w:rFonts w:cs="Calibri"/>
                <w:sz w:val="24"/>
                <w:szCs w:val="24"/>
              </w:rPr>
            </w:pPr>
            <w:r>
              <w:rPr>
                <w:rFonts w:hint="eastAsia" w:cs="Calibri"/>
                <w:sz w:val="24"/>
                <w:szCs w:val="24"/>
              </w:rPr>
              <w:t>防割手套</w:t>
            </w:r>
          </w:p>
        </w:tc>
        <w:tc>
          <w:tcPr>
            <w:tcW w:w="1260" w:type="dxa"/>
          </w:tcPr>
          <w:p>
            <w:pPr>
              <w:pStyle w:val="7"/>
              <w:spacing w:line="560" w:lineRule="exact"/>
              <w:ind w:firstLine="480" w:firstLineChars="200"/>
              <w:rPr>
                <w:rFonts w:cs="Calibri"/>
                <w:sz w:val="24"/>
                <w:szCs w:val="24"/>
              </w:rPr>
            </w:pPr>
          </w:p>
        </w:tc>
        <w:tc>
          <w:tcPr>
            <w:tcW w:w="1701" w:type="dxa"/>
          </w:tcPr>
          <w:p>
            <w:pPr>
              <w:pStyle w:val="7"/>
              <w:spacing w:line="560" w:lineRule="exact"/>
              <w:ind w:firstLine="480" w:firstLineChars="200"/>
              <w:rPr>
                <w:rFonts w:cs="Calibri"/>
                <w:sz w:val="24"/>
                <w:szCs w:val="24"/>
              </w:rPr>
            </w:pPr>
            <w:r>
              <w:rPr>
                <w:rFonts w:hint="eastAsia" w:cs="Calibri"/>
                <w:sz w:val="24"/>
                <w:szCs w:val="24"/>
              </w:rPr>
              <w:t>2双</w:t>
            </w:r>
          </w:p>
        </w:tc>
        <w:tc>
          <w:tcPr>
            <w:tcW w:w="1809" w:type="dxa"/>
          </w:tcPr>
          <w:p>
            <w:pPr>
              <w:pStyle w:val="7"/>
              <w:spacing w:line="560" w:lineRule="exact"/>
              <w:ind w:firstLine="480" w:firstLineChars="200"/>
              <w:rPr>
                <w:rFonts w:cs="Calibri"/>
                <w:sz w:val="24"/>
                <w:szCs w:val="24"/>
              </w:rPr>
            </w:pPr>
          </w:p>
        </w:tc>
      </w:tr>
    </w:tbl>
    <w:p>
      <w:pPr>
        <w:pStyle w:val="7"/>
        <w:spacing w:line="408" w:lineRule="auto"/>
        <w:ind w:firstLine="480" w:firstLineChars="200"/>
        <w:rPr>
          <w:rFonts w:cs="Calibri"/>
          <w:sz w:val="24"/>
          <w:szCs w:val="24"/>
        </w:rPr>
      </w:pPr>
      <w:r>
        <w:rPr>
          <w:rFonts w:hint="eastAsia" w:cs="Calibri"/>
          <w:sz w:val="24"/>
          <w:szCs w:val="24"/>
        </w:rPr>
        <w:t>2.2供应商根据纪念园现场实际工作需要，在上述设备清单的基础上，适时添加满足环境维护和秩序维护保障工作需要的各类服装、环境维护耗材、防护器材、工具、设施和设备等。合同签订后10日内将全部设备清单配齐并送达园区备检，否则视为违约。</w:t>
      </w:r>
    </w:p>
    <w:p>
      <w:pPr>
        <w:pStyle w:val="7"/>
        <w:spacing w:line="408" w:lineRule="auto"/>
        <w:ind w:firstLine="480" w:firstLineChars="200"/>
        <w:rPr>
          <w:rFonts w:cs="Calibri"/>
          <w:sz w:val="24"/>
          <w:szCs w:val="24"/>
        </w:rPr>
      </w:pPr>
      <w:r>
        <w:rPr>
          <w:rFonts w:hint="eastAsia" w:cs="Calibri"/>
          <w:sz w:val="24"/>
          <w:szCs w:val="24"/>
        </w:rPr>
        <w:t>2.3供应商投入的所有设备在合同期内由供应商自行保管使用，遗失、损坏应及时添补，不得影响采购人的正常工作。</w:t>
      </w:r>
    </w:p>
    <w:p>
      <w:pPr>
        <w:pStyle w:val="7"/>
        <w:spacing w:line="408" w:lineRule="auto"/>
        <w:ind w:firstLine="482" w:firstLineChars="200"/>
        <w:outlineLvl w:val="1"/>
        <w:rPr>
          <w:rFonts w:cs="Calibri"/>
          <w:b/>
          <w:sz w:val="24"/>
          <w:szCs w:val="24"/>
        </w:rPr>
      </w:pPr>
      <w:r>
        <w:rPr>
          <w:rFonts w:hint="eastAsia"/>
          <w:b/>
          <w:sz w:val="24"/>
          <w:szCs w:val="24"/>
        </w:rPr>
        <w:t>四、服务内容及要求（实质性要求）</w:t>
      </w:r>
    </w:p>
    <w:p>
      <w:pPr>
        <w:autoSpaceDE w:val="0"/>
        <w:autoSpaceDN w:val="0"/>
        <w:adjustRightInd w:val="0"/>
        <w:spacing w:line="408" w:lineRule="auto"/>
        <w:ind w:firstLine="360" w:firstLineChars="150"/>
        <w:outlineLvl w:val="1"/>
        <w:rPr>
          <w:rFonts w:ascii="宋体" w:hAnsi="宋体" w:cs="宋体"/>
          <w:szCs w:val="24"/>
        </w:rPr>
      </w:pPr>
      <w:r>
        <w:rPr>
          <w:rFonts w:hint="eastAsia" w:ascii="宋体" w:hAnsi="宋体" w:cs="宋体"/>
          <w:szCs w:val="24"/>
        </w:rPr>
        <w:t>（一）安全保障服务</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1.在纪念园管理办公室和警务室管理下，维持纪念园治安维稳、参观秩序、停车秩序、人员指引、保证消防通道畅通。</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2.保证纪念馆的消防安全。落实消防安全责任制，参与制定消防安全制度、消防安全操作规程，制定灭火和应急疏散预案；按照国家标准、行业标准指导纪念园配置消防设施、器材，设置消防安全标志，并定期通知消防维保单位检验、维修，确保完好有效；每日进行防火巡查，及时消除火灾隐患；对秩序维护人员进行岗前消防安全培训，每月组织纪念园秩序维护人员进行消防安全培训和消防演练。每天定时对电梯进行巡逻检查发现问题及时停止运行，通知维保公司。同时具有电梯困人救援的能力。</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3.对纪念馆、监控室及其他重点部位实行24小时值班制，加强对纪念园人员活动密集场所有针对性的巡查。</w:t>
      </w:r>
    </w:p>
    <w:p>
      <w:pPr>
        <w:autoSpaceDE w:val="0"/>
        <w:autoSpaceDN w:val="0"/>
        <w:adjustRightInd w:val="0"/>
        <w:spacing w:line="560" w:lineRule="exact"/>
        <w:ind w:left="480" w:leftChars="200"/>
        <w:rPr>
          <w:rFonts w:ascii="宋体" w:hAnsi="宋体" w:cs="宋体"/>
        </w:rPr>
      </w:pPr>
      <w:r>
        <w:rPr>
          <w:rFonts w:hint="eastAsia" w:ascii="宋体" w:hAnsi="宋体" w:cs="宋体"/>
        </w:rPr>
        <w:t>4.纪念园有临时任务或突发事件时，能及时增派人员配合纪念园的相关秩序工作。</w:t>
      </w:r>
    </w:p>
    <w:p>
      <w:pPr>
        <w:autoSpaceDE w:val="0"/>
        <w:autoSpaceDN w:val="0"/>
        <w:adjustRightInd w:val="0"/>
        <w:spacing w:line="560" w:lineRule="exact"/>
        <w:ind w:left="480" w:leftChars="200"/>
        <w:rPr>
          <w:rFonts w:ascii="宋体" w:hAnsi="宋体" w:cs="宋体"/>
        </w:rPr>
      </w:pPr>
      <w:r>
        <w:rPr>
          <w:rFonts w:hint="eastAsia" w:ascii="宋体" w:hAnsi="宋体" w:cs="宋体"/>
        </w:rPr>
        <w:t>5.负责进出纪念园物资的核查工作，负责纪念园快递物品等的收发工作。</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6.停车管理：指挥和疏导所有进入纪念园内的各类车辆按规定地点有序停放，确保消防通道畅通无阻，防止交通事故的发生。引导要及时，手势要规范，态度要热情。有重大活动安排时，应根据需要事先预留车位，并摆放醒目标志，防止车辆堵塞现象发生。</w:t>
      </w:r>
    </w:p>
    <w:p>
      <w:pPr>
        <w:autoSpaceDE w:val="0"/>
        <w:autoSpaceDN w:val="0"/>
        <w:adjustRightInd w:val="0"/>
        <w:spacing w:line="560" w:lineRule="exact"/>
        <w:ind w:left="480" w:leftChars="200"/>
        <w:rPr>
          <w:rFonts w:ascii="宋体" w:hAnsi="宋体" w:cs="宋体"/>
        </w:rPr>
      </w:pPr>
      <w:r>
        <w:rPr>
          <w:rFonts w:hint="eastAsia" w:ascii="宋体" w:hAnsi="宋体" w:cs="宋体"/>
        </w:rPr>
        <w:t>7.纪念园安排的其他安全相关工作事项。</w:t>
      </w:r>
    </w:p>
    <w:p>
      <w:pPr>
        <w:autoSpaceDE w:val="0"/>
        <w:autoSpaceDN w:val="0"/>
        <w:adjustRightInd w:val="0"/>
        <w:spacing w:line="560" w:lineRule="exact"/>
        <w:ind w:left="480" w:leftChars="200"/>
        <w:outlineLvl w:val="1"/>
        <w:rPr>
          <w:rFonts w:ascii="宋体" w:hAnsi="宋体" w:cs="宋体"/>
        </w:rPr>
      </w:pPr>
      <w:r>
        <w:rPr>
          <w:rFonts w:hint="eastAsia" w:ascii="宋体" w:hAnsi="宋体" w:cs="宋体"/>
        </w:rPr>
        <w:t>（二）环境维护、消杀服务</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1.游客中心、纪念馆等各建筑物内的地面、墙壁、墙群、幕墙玻璃、天花板、家具、设备、门窗、各种管道设施、水电和网络箱体、消防栓箱、开关插座、扶手、安全指示灯，标识标牌，各种平台、操作台、阳台、雨棚，污物池、洗手池、拖布池、卫生间各种配套设施、电梯间等的环境维护工作。</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2.入口广场、瞻仰大道、纪念广场、碑林、英烈墓园、和平广场等公共区域、道路、垃圾桶（箱、车）、阴沟、明沟、标识标牌、雨棚、绿化带等的环境维护工作。</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3.负责垃圾的分类收集、转运及暂存管理，做好与生活垃圾接收处置单位的交接工作。</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4.按要求做好除四害工作。</w:t>
      </w:r>
    </w:p>
    <w:p>
      <w:pPr>
        <w:autoSpaceDE w:val="0"/>
        <w:autoSpaceDN w:val="0"/>
        <w:adjustRightInd w:val="0"/>
        <w:spacing w:line="560" w:lineRule="exact"/>
        <w:ind w:firstLine="480" w:firstLineChars="200"/>
        <w:rPr>
          <w:rFonts w:ascii="宋体" w:hAnsi="宋体" w:cs="宋体"/>
        </w:rPr>
      </w:pPr>
      <w:r>
        <w:rPr>
          <w:rFonts w:hint="eastAsia" w:ascii="宋体" w:hAnsi="宋体" w:cs="宋体"/>
        </w:rPr>
        <w:t>5.纪念园的临时任务或突发事件以及纪念园安排的其他环境维护相关服务工作。</w:t>
      </w:r>
    </w:p>
    <w:p>
      <w:pPr>
        <w:pStyle w:val="30"/>
        <w:numPr>
          <w:ilvl w:val="4"/>
          <w:numId w:val="0"/>
        </w:numPr>
        <w:ind w:firstLine="480" w:firstLineChars="200"/>
        <w:outlineLvl w:val="9"/>
        <w:rPr>
          <w:rFonts w:ascii="新宋体" w:hAnsi="新宋体" w:eastAsia="新宋体" w:cs="新宋体"/>
          <w:b w:val="0"/>
          <w:bCs/>
        </w:rPr>
      </w:pPr>
      <w:r>
        <w:rPr>
          <w:rFonts w:hint="eastAsia" w:ascii="新宋体" w:hAnsi="新宋体" w:eastAsia="新宋体" w:cs="新宋体"/>
          <w:b w:val="0"/>
          <w:bCs/>
        </w:rPr>
        <w:t>6、四季对园区、馆场扶手、桌椅板凳、卫生间、门把手、开关插座、标示标牌。垃圾桶、垃圾箱等附属设施设备定时循环消杀。</w:t>
      </w:r>
    </w:p>
    <w:p>
      <w:pPr>
        <w:autoSpaceDE w:val="0"/>
        <w:autoSpaceDN w:val="0"/>
        <w:adjustRightInd w:val="0"/>
        <w:spacing w:line="560" w:lineRule="exact"/>
        <w:ind w:left="480" w:leftChars="200"/>
        <w:outlineLvl w:val="1"/>
        <w:rPr>
          <w:rFonts w:ascii="宋体" w:hAnsi="宋体" w:cs="宋体"/>
        </w:rPr>
      </w:pPr>
      <w:r>
        <w:rPr>
          <w:rFonts w:hint="eastAsia" w:ascii="宋体" w:hAnsi="宋体" w:cs="宋体"/>
        </w:rPr>
        <w:t>（三）园林绿化维护</w:t>
      </w:r>
    </w:p>
    <w:p>
      <w:pPr>
        <w:autoSpaceDE w:val="0"/>
        <w:autoSpaceDN w:val="0"/>
        <w:adjustRightInd w:val="0"/>
        <w:spacing w:line="408" w:lineRule="auto"/>
        <w:ind w:firstLine="480" w:firstLineChars="200"/>
        <w:rPr>
          <w:rFonts w:ascii="宋体" w:hAnsi="宋体" w:cs="宋体"/>
          <w:szCs w:val="24"/>
        </w:rPr>
      </w:pPr>
      <w:r>
        <w:rPr>
          <w:rFonts w:hint="eastAsia" w:ascii="宋体" w:hAnsi="宋体" w:cs="宋体"/>
          <w:szCs w:val="24"/>
        </w:rPr>
        <w:t>1.负责园区绿化除杂草、修剪、花草补栽、浇水及日常维护等，保持绿地完好率达到92%以上。</w:t>
      </w:r>
    </w:p>
    <w:p>
      <w:pPr>
        <w:autoSpaceDE w:val="0"/>
        <w:autoSpaceDN w:val="0"/>
        <w:adjustRightInd w:val="0"/>
        <w:spacing w:line="408" w:lineRule="auto"/>
        <w:ind w:firstLine="480" w:firstLineChars="200"/>
        <w:rPr>
          <w:rFonts w:ascii="宋体" w:hAnsi="宋体" w:cs="宋体"/>
          <w:szCs w:val="24"/>
        </w:rPr>
      </w:pPr>
      <w:r>
        <w:rPr>
          <w:rFonts w:hint="eastAsia" w:ascii="宋体" w:hAnsi="宋体" w:cs="宋体"/>
          <w:szCs w:val="24"/>
        </w:rPr>
        <w:t>2.按季节适时松土、修枝整形、剪草、施肥、治虫和浇水，保持绿化物生长良好。</w:t>
      </w:r>
    </w:p>
    <w:p>
      <w:pPr>
        <w:autoSpaceDE w:val="0"/>
        <w:autoSpaceDN w:val="0"/>
        <w:adjustRightInd w:val="0"/>
        <w:spacing w:line="408" w:lineRule="auto"/>
        <w:ind w:firstLine="480" w:firstLineChars="200"/>
        <w:rPr>
          <w:rFonts w:ascii="宋体" w:hAnsi="宋体" w:cs="宋体"/>
          <w:szCs w:val="24"/>
        </w:rPr>
      </w:pPr>
      <w:r>
        <w:rPr>
          <w:rFonts w:hint="eastAsia" w:ascii="宋体" w:hAnsi="宋体" w:cs="宋体"/>
          <w:szCs w:val="24"/>
        </w:rPr>
        <w:t>3.按采购人要求增添更换花卉树木（由甲方采购）。</w:t>
      </w:r>
    </w:p>
    <w:p>
      <w:pPr>
        <w:autoSpaceDE w:val="0"/>
        <w:autoSpaceDN w:val="0"/>
        <w:adjustRightInd w:val="0"/>
        <w:spacing w:line="408" w:lineRule="auto"/>
        <w:ind w:left="480" w:leftChars="200"/>
        <w:rPr>
          <w:rFonts w:ascii="宋体" w:hAnsi="宋体" w:cs="宋体"/>
          <w:szCs w:val="24"/>
        </w:rPr>
      </w:pPr>
      <w:r>
        <w:rPr>
          <w:rFonts w:hint="eastAsia" w:ascii="宋体" w:hAnsi="宋体" w:cs="宋体"/>
          <w:szCs w:val="24"/>
        </w:rPr>
        <w:t>（四）日常维护服务内容</w:t>
      </w:r>
    </w:p>
    <w:p>
      <w:pPr>
        <w:autoSpaceDE w:val="0"/>
        <w:autoSpaceDN w:val="0"/>
        <w:adjustRightInd w:val="0"/>
        <w:spacing w:line="408" w:lineRule="auto"/>
        <w:ind w:firstLine="480" w:firstLineChars="200"/>
        <w:rPr>
          <w:rFonts w:ascii="宋体" w:hAnsi="宋体" w:cs="宋体"/>
          <w:szCs w:val="24"/>
        </w:rPr>
      </w:pPr>
      <w:r>
        <w:rPr>
          <w:rFonts w:hint="eastAsia" w:ascii="宋体" w:hAnsi="宋体" w:cs="宋体"/>
          <w:szCs w:val="24"/>
        </w:rPr>
        <w:t>1.园区建筑物的日常养护：对纪念馆、游客服务中心、指挥所等建筑物外墙面、楼道等共用部位进行日常巡视，保持建筑物的完好性。</w:t>
      </w:r>
    </w:p>
    <w:p>
      <w:pPr>
        <w:autoSpaceDE w:val="0"/>
        <w:autoSpaceDN w:val="0"/>
        <w:adjustRightInd w:val="0"/>
        <w:spacing w:line="408" w:lineRule="auto"/>
        <w:ind w:firstLine="480" w:firstLineChars="200"/>
        <w:rPr>
          <w:rFonts w:ascii="宋体" w:hAnsi="宋体" w:cs="宋体"/>
          <w:szCs w:val="24"/>
        </w:rPr>
      </w:pPr>
      <w:r>
        <w:rPr>
          <w:rFonts w:hint="eastAsia" w:ascii="宋体" w:hAnsi="宋体" w:cs="宋体"/>
          <w:szCs w:val="24"/>
        </w:rPr>
        <w:t>2.设施设备的养护：配电设施、主供水供电管线等设施设备定期进行日常养护，保证其正常运行。</w:t>
      </w:r>
    </w:p>
    <w:p>
      <w:pPr>
        <w:autoSpaceDE w:val="0"/>
        <w:autoSpaceDN w:val="0"/>
        <w:adjustRightInd w:val="0"/>
        <w:spacing w:line="408" w:lineRule="auto"/>
        <w:ind w:firstLine="480" w:firstLineChars="200"/>
        <w:rPr>
          <w:rFonts w:ascii="宋体" w:hAnsi="宋体" w:cs="宋体"/>
          <w:szCs w:val="24"/>
        </w:rPr>
      </w:pPr>
      <w:r>
        <w:rPr>
          <w:rFonts w:hint="eastAsia" w:ascii="宋体" w:hAnsi="宋体" w:cs="宋体"/>
          <w:szCs w:val="24"/>
        </w:rPr>
        <w:t>3.电梯设备日常维护。</w:t>
      </w:r>
    </w:p>
    <w:p>
      <w:pPr>
        <w:pStyle w:val="7"/>
        <w:spacing w:line="360" w:lineRule="auto"/>
      </w:pPr>
      <w:r>
        <w:rPr>
          <w:rFonts w:hint="eastAsia" w:ascii="宋体" w:hAnsi="宋体" w:cs="宋体"/>
          <w:sz w:val="24"/>
          <w:szCs w:val="24"/>
        </w:rPr>
        <w:t xml:space="preserve">    4.消防设备的维护保养。</w:t>
      </w:r>
    </w:p>
    <w:p>
      <w:pPr>
        <w:widowControl/>
        <w:adjustRightInd w:val="0"/>
        <w:snapToGrid w:val="0"/>
        <w:spacing w:line="360" w:lineRule="auto"/>
        <w:ind w:firstLine="472" w:firstLineChars="196"/>
        <w:outlineLvl w:val="1"/>
        <w:rPr>
          <w:rFonts w:ascii="宋体" w:hAnsi="宋体" w:cs="宋体"/>
          <w:b/>
          <w:bCs/>
          <w:szCs w:val="24"/>
        </w:rPr>
      </w:pPr>
      <w:r>
        <w:rPr>
          <w:rFonts w:hint="eastAsia" w:ascii="宋体" w:hAnsi="宋体" w:cs="宋体"/>
          <w:b/>
          <w:bCs/>
          <w:szCs w:val="24"/>
        </w:rPr>
        <w:t>（四）具体工作标准和要求</w:t>
      </w:r>
    </w:p>
    <w:p>
      <w:pPr>
        <w:pStyle w:val="76"/>
        <w:spacing w:line="360" w:lineRule="auto"/>
        <w:ind w:firstLine="400"/>
        <w:rPr>
          <w:rFonts w:hint="default" w:ascii="宋体" w:hAnsi="宋体" w:eastAsia="宋体" w:cs="宋体"/>
          <w:sz w:val="24"/>
          <w:szCs w:val="24"/>
        </w:rPr>
      </w:pPr>
      <w:r>
        <w:t xml:space="preserve">  </w:t>
      </w:r>
      <w:r>
        <w:rPr>
          <w:rFonts w:ascii="宋体" w:hAnsi="宋体" w:eastAsia="宋体" w:cs="宋体"/>
          <w:sz w:val="24"/>
          <w:szCs w:val="24"/>
        </w:rPr>
        <w:t>1.公共秩序维护管理</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1.1综合管理。建立传达、车辆及公共秩序等管理制度，确保正常工作秩序和办公区域安全。对火灾、治安、公共卫生等突发事件有应急预案。</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1.2园区秩序维护与门岗管理。出入口24小时值守，纪念园内有巡逻人员定时巡逻，确保秩序井然有序。对外来人员进行验证、登记，发现疑点及时询问，防止闲杂人员进入，积极疏导群访人员；对物品进出实施分类记录，大宗物品进出应进行审验，严防危险物品进入。有效疏导进出车辆，保持出入畅通。</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1.3车辆秩序管理。对进出车辆进行管理，维护交通秩序。 设置行车指示标识，规定行驶路线，指定停放区域，保证车辆有序通行、易于停放。 非机动车、电瓶车应定点停放，定点充电；对充电车位和道路临时停车位的管护。</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1.4监控值守管理。监控设施应24小时正常运行，保证对安全出入口、内部重点区域的安全监控，保持完整记录。收到火情、险情等报警信号及其他异常情况后，立即安排安保人员到场处理并报警，同时根据现场情况按预案对人员进行疏散。监控资料至少保持1个月。保持值班室电话畅通，接听及时。</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1.5安全管理。建立健全安全生产规章制度，普及安全用电用气、食品安全、森林防火、疫情防控知识。依据《四川省突发公共事件总体应急预案》的要求，制定突发公共事件应急预案，每年应组织不少于1次的突发公共事件应急演练；当发生自然灾害、事故灾难、公共卫生事件或社会安全事件时，启动应急预案，全力配合采购人采取相应措施，保障采购单位人身安全，减少财产损失。建立灭火和应急疏散预案、电梯困人救援演练，定期开展消防安全培训和演练。建立消防安全责任制，明确各级岗位的消防安全职责；定期巡视、检查和维护消防设施、电梯运行情况，保证设施正常使用，保持消防通道畅通，对易燃易爆品设专人专区管理，并在明显位置设置警示标志；楼梯出入口、电梯口等醒目位置有提示火灾危险性警示标语、安全疏散示意图；消火栓和灭火器箱张贴消防设施器材使用方法。合理安排巡查路线，排除不安全因素，防止被盗事件的发生，发现违规行为及时制止，发现异常情况立即通知采购人及相关单位并现场采取必要措施。</w:t>
      </w:r>
    </w:p>
    <w:p>
      <w:pPr>
        <w:pStyle w:val="76"/>
        <w:spacing w:line="360" w:lineRule="auto"/>
        <w:ind w:firstLine="400"/>
        <w:rPr>
          <w:rFonts w:hint="default" w:ascii="宋体" w:hAnsi="宋体" w:eastAsia="宋体" w:cs="宋体"/>
          <w:sz w:val="24"/>
          <w:szCs w:val="24"/>
        </w:rPr>
      </w:pPr>
      <w:r>
        <w:rPr>
          <w:rFonts w:ascii="宋体" w:hAnsi="宋体" w:eastAsia="宋体" w:cs="宋体"/>
          <w:sz w:val="24"/>
          <w:szCs w:val="24"/>
        </w:rPr>
        <w:t>2. 环境维护服务</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2.1馆内区域环境维护。地面每日环境维护三次以上，墙面保持无污渍，大堂、门厅、楼道、过道地面定期保养，保持材质原貌、干净。每日擦抹楼梯扶手、栏杆、窗台一次，保持干净。消防栓、指示牌等公共设施隔日擦抹一次，表面干净、无污渍。天花板、公共灯具每半月除尘一次，目视无灰尘、无污迹、无蜘蛛网。门、窗玻璃保持洁净、光亮、无灰尘、无污迹、无蜘蛛网 。按楼层设置垃圾收集点，每日定时清理至少二次，垃圾收集点周围地面无散落垃圾、无污迹、无异味。电梯轿厢每日环境维护两次以上，操作板每日消毒一次，每半月对电梯门壁打蜡上光一次，表面光亮、无污迹；轿厢壁无浮尘，不锈钢表面光亮，无污迹。</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2.2公共区域环境维护。道路、地面、绿地每日环境维护两次以上，道路砖地面定期冲洗，保持干净整洁；目视地面干净，地面垃圾滞留时间不超过一小时，明沟每日清扫一次，无杂物，无积水。 沟渠、井每日清扫一次，无杂物、无积水。公共灯具、宣传栏、路标、标志、景观小品每日擦抹一次，目视无灰尘、明亮清洁。对垃圾箱，果皮箱每日环境维护两次以上，垃圾箱、果皮箱整洁、干净、无异味、灭害措施完善。消毒灭害每月对井、明沟、垃圾箱喷洒药水一次，每年灭鼠一次，并有记录。</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2.3卫生消杀。公共场所和周围环境定期预防性卫生消杀；采取综合措施消灭老鼠、蟑螂，控制室内外蚊虫滋生，达到基本无蝇；配合有关部门进行有害生物的预防和控制，投放药物应预先告知，投药位置有明显标识。公共卫生间、电梯轿厢至少每日消毒1次；垃圾收集容器至少每日消毒2次；公共区域根据实际需要进行消毒。</w:t>
      </w:r>
    </w:p>
    <w:p>
      <w:pPr>
        <w:pStyle w:val="76"/>
        <w:spacing w:line="360" w:lineRule="auto"/>
        <w:ind w:firstLine="460"/>
        <w:rPr>
          <w:rFonts w:hint="default" w:ascii="宋体" w:hAnsi="宋体" w:eastAsia="宋体" w:cs="宋体"/>
          <w:sz w:val="24"/>
          <w:szCs w:val="24"/>
        </w:rPr>
      </w:pPr>
      <w:r>
        <w:rPr>
          <w:rFonts w:ascii="宋体" w:hAnsi="宋体" w:eastAsia="宋体" w:cs="宋体"/>
          <w:sz w:val="24"/>
          <w:szCs w:val="24"/>
        </w:rPr>
        <w:t>2.4垃圾处理。设置垃圾分类桶，张贴垃圾分类标识，对垃圾进行强制分类。垃圾桶（箱）按指定位置摆放，桶（箱）身表面干净无污渍，地面无垃圾。生活垃圾和办公垃圾袋装，日产日清，无明显异味。</w:t>
      </w:r>
    </w:p>
    <w:p>
      <w:pPr>
        <w:spacing w:line="440" w:lineRule="exact"/>
        <w:ind w:firstLine="480" w:firstLineChars="200"/>
      </w:pPr>
      <w:r>
        <w:rPr>
          <w:rFonts w:hint="eastAsia"/>
        </w:rPr>
        <w:t>3.园林绿化维护</w:t>
      </w:r>
    </w:p>
    <w:p>
      <w:pPr>
        <w:spacing w:line="360" w:lineRule="auto"/>
        <w:ind w:firstLine="480" w:firstLineChars="200"/>
      </w:pPr>
      <w:r>
        <w:rPr>
          <w:rFonts w:hint="eastAsia"/>
        </w:rPr>
        <w:t>3.1</w:t>
      </w:r>
      <w:r>
        <w:t xml:space="preserve">较强的责任心和细致的工作态度，能够独立完成园林绿化维护工作。 </w:t>
      </w:r>
    </w:p>
    <w:p>
      <w:pPr>
        <w:spacing w:line="360" w:lineRule="auto"/>
        <w:ind w:firstLine="480" w:firstLineChars="200"/>
      </w:pPr>
      <w:r>
        <w:rPr>
          <w:rFonts w:hint="eastAsia"/>
        </w:rPr>
        <w:t>3.2.服务人员</w:t>
      </w:r>
      <w:r>
        <w:t>具备一定的园艺知识和技能，能够熟练使用园艺工具和设备。</w:t>
      </w:r>
    </w:p>
    <w:p>
      <w:pPr>
        <w:spacing w:line="360" w:lineRule="auto"/>
        <w:ind w:firstLine="480" w:firstLineChars="200"/>
      </w:pPr>
      <w:r>
        <w:rPr>
          <w:rFonts w:hint="eastAsia"/>
        </w:rPr>
        <w:t>3.3.</w:t>
      </w:r>
      <w:r>
        <w:t>具有较强的团队合作意识，能够</w:t>
      </w:r>
      <w:r>
        <w:rPr>
          <w:rFonts w:hint="eastAsia"/>
        </w:rPr>
        <w:t>相互</w:t>
      </w:r>
      <w:r>
        <w:t>进行有效沟通和协作。</w:t>
      </w:r>
    </w:p>
    <w:p>
      <w:pPr>
        <w:spacing w:line="360" w:lineRule="auto"/>
        <w:ind w:firstLine="480" w:firstLineChars="200"/>
      </w:pPr>
      <w:r>
        <w:rPr>
          <w:rFonts w:hint="eastAsia"/>
        </w:rPr>
        <w:t>3.4.</w:t>
      </w:r>
      <w:r>
        <w:t>定期对园林绿化进行巡查，检查植物的生长情况，及时发现并处理病虫害</w:t>
      </w:r>
      <w:r>
        <w:rPr>
          <w:rFonts w:hint="eastAsia"/>
        </w:rPr>
        <w:t>，</w:t>
      </w:r>
      <w:r>
        <w:t xml:space="preserve"> </w:t>
      </w:r>
      <w:r>
        <w:rPr>
          <w:rFonts w:hint="eastAsia" w:ascii="宋体" w:hAnsi="宋体" w:cs="宋体"/>
          <w:szCs w:val="24"/>
        </w:rPr>
        <w:t>根据病虫害发生规律，植物生长季每月至少检查3次病虫害情况并根据检查结果防治病虫害</w:t>
      </w:r>
    </w:p>
    <w:p>
      <w:pPr>
        <w:spacing w:line="360" w:lineRule="auto"/>
        <w:ind w:firstLine="480" w:firstLineChars="200"/>
      </w:pPr>
      <w:r>
        <w:rPr>
          <w:rFonts w:hint="eastAsia"/>
        </w:rPr>
        <w:t xml:space="preserve">3.5.制定计划， </w:t>
      </w:r>
      <w:r>
        <w:rPr>
          <w:rFonts w:hint="eastAsia" w:ascii="宋体" w:hAnsi="宋体" w:cs="宋体"/>
          <w:szCs w:val="24"/>
        </w:rPr>
        <w:t>定期对绿植进行整形修剪：乔木每年冬季修剪1次，灌木每年生长季节和冬季修剪1 次，绿篱每年至少修剪4次，在重大活动重大节日适时整治，保持美观</w:t>
      </w:r>
      <w:r>
        <w:t xml:space="preserve"> </w:t>
      </w:r>
      <w:r>
        <w:rPr>
          <w:rFonts w:hint="eastAsia"/>
        </w:rPr>
        <w:t>。</w:t>
      </w:r>
    </w:p>
    <w:p>
      <w:pPr>
        <w:spacing w:line="360" w:lineRule="auto"/>
        <w:ind w:firstLine="480" w:firstLineChars="200"/>
      </w:pPr>
      <w:r>
        <w:rPr>
          <w:rFonts w:hint="eastAsia"/>
        </w:rPr>
        <w:t>3.6.定期</w:t>
      </w:r>
      <w:r>
        <w:t xml:space="preserve">清理园林绿化区域的杂草、落叶等杂物，保持环境整洁。 </w:t>
      </w:r>
    </w:p>
    <w:p>
      <w:pPr>
        <w:spacing w:line="360" w:lineRule="auto"/>
        <w:ind w:firstLine="480" w:firstLineChars="200"/>
      </w:pPr>
      <w:r>
        <w:rPr>
          <w:rFonts w:hint="eastAsia"/>
        </w:rPr>
        <w:t>3.7.定期</w:t>
      </w:r>
      <w:r>
        <w:t>对园林绿化区域的灌溉系统进行定期检查和维护，确保植物得到充足的水源</w:t>
      </w:r>
      <w:r>
        <w:rPr>
          <w:rFonts w:hint="eastAsia"/>
        </w:rPr>
        <w:t>，</w:t>
      </w:r>
      <w:r>
        <w:rPr>
          <w:rFonts w:hint="eastAsia" w:ascii="宋体" w:hAnsi="宋体" w:cs="宋体"/>
          <w:szCs w:val="24"/>
        </w:rPr>
        <w:t>有计划地进行浇灌，灌溉水下渗充足均匀，无明显旱涝情况发生，根据植物生长情况施肥。</w:t>
      </w:r>
    </w:p>
    <w:p>
      <w:pPr>
        <w:spacing w:line="360" w:lineRule="auto"/>
        <w:ind w:firstLine="480" w:firstLineChars="200"/>
      </w:pPr>
      <w:r>
        <w:rPr>
          <w:rFonts w:hint="eastAsia"/>
        </w:rPr>
        <w:t>3.8.定期</w:t>
      </w:r>
      <w:r>
        <w:t xml:space="preserve">对园林绿化区域的景观照明设施进行检查和维护，确保夜间景观效果良好。 </w:t>
      </w:r>
    </w:p>
    <w:p>
      <w:pPr>
        <w:pStyle w:val="76"/>
        <w:spacing w:line="360" w:lineRule="auto"/>
        <w:ind w:firstLine="480" w:firstLineChars="200"/>
        <w:rPr>
          <w:rFonts w:hint="default"/>
        </w:rPr>
      </w:pPr>
      <w:r>
        <w:rPr>
          <w:rFonts w:ascii="宋体" w:hAnsi="宋体" w:eastAsia="宋体" w:cs="宋体"/>
          <w:sz w:val="24"/>
          <w:szCs w:val="24"/>
        </w:rPr>
        <w:t>3.9.暴雨季节来临前，专人巡查，及时加固、支撑、修剪高大乔木，排除安全隐患。</w:t>
      </w:r>
    </w:p>
    <w:p>
      <w:pPr>
        <w:pStyle w:val="7"/>
        <w:rPr>
          <w:rFonts w:ascii="宋体" w:hAnsi="宋体" w:cs="宋体"/>
          <w:sz w:val="24"/>
          <w:szCs w:val="24"/>
        </w:rPr>
      </w:pPr>
      <w:r>
        <w:rPr>
          <w:rFonts w:hint="eastAsia" w:ascii="宋体" w:hAnsi="宋体" w:cs="宋体"/>
          <w:sz w:val="24"/>
          <w:szCs w:val="24"/>
        </w:rPr>
        <w:t>4、日常维修服务</w:t>
      </w:r>
    </w:p>
    <w:p>
      <w:pPr>
        <w:spacing w:line="360" w:lineRule="auto"/>
        <w:ind w:firstLine="480" w:firstLineChars="200"/>
        <w:rPr>
          <w:rFonts w:ascii="宋体" w:hAnsi="宋体" w:cs="宋体"/>
          <w:szCs w:val="24"/>
        </w:rPr>
      </w:pPr>
      <w:r>
        <w:rPr>
          <w:rFonts w:hint="eastAsia" w:ascii="宋体" w:hAnsi="宋体" w:cs="宋体"/>
          <w:szCs w:val="24"/>
        </w:rPr>
        <w:t>4.1巡查与维护：定期巡查物业内外的设施和设备，确保其正常运行和安全性。</w:t>
      </w:r>
    </w:p>
    <w:p>
      <w:pPr>
        <w:spacing w:line="360" w:lineRule="auto"/>
        <w:rPr>
          <w:rFonts w:ascii="宋体" w:hAnsi="宋体" w:cs="宋体"/>
          <w:szCs w:val="24"/>
        </w:rPr>
      </w:pPr>
      <w:r>
        <w:rPr>
          <w:rFonts w:hint="eastAsia" w:ascii="宋体" w:hAnsi="宋体" w:cs="宋体"/>
          <w:szCs w:val="24"/>
        </w:rPr>
        <w:t>及时发现并处理建筑设施、水电设备等方面的问题，如漏水、短路等。</w:t>
      </w:r>
    </w:p>
    <w:p>
      <w:pPr>
        <w:spacing w:line="360" w:lineRule="auto"/>
        <w:ind w:firstLine="480" w:firstLineChars="200"/>
        <w:rPr>
          <w:rFonts w:ascii="宋体" w:hAnsi="宋体" w:cs="宋体"/>
          <w:szCs w:val="24"/>
        </w:rPr>
      </w:pPr>
      <w:r>
        <w:rPr>
          <w:rFonts w:hint="eastAsia" w:ascii="宋体" w:hAnsi="宋体" w:cs="宋体"/>
          <w:szCs w:val="24"/>
        </w:rPr>
        <w:t>4.2.维修与保养：对建筑设施、设备进行日常维护和保养，延长使用寿命，确保其正常运行。</w:t>
      </w:r>
    </w:p>
    <w:p>
      <w:pPr>
        <w:spacing w:line="360" w:lineRule="auto"/>
        <w:rPr>
          <w:rFonts w:ascii="宋体" w:hAnsi="宋体" w:cs="宋体"/>
          <w:szCs w:val="24"/>
        </w:rPr>
      </w:pPr>
      <w:r>
        <w:rPr>
          <w:rFonts w:hint="eastAsia" w:ascii="宋体" w:hAnsi="宋体" w:cs="宋体"/>
          <w:szCs w:val="24"/>
        </w:rPr>
        <w:t>及时处理建筑设施、设备出现的故障和损坏，保障物业正常运转。</w:t>
      </w:r>
    </w:p>
    <w:p>
      <w:pPr>
        <w:spacing w:line="360" w:lineRule="auto"/>
        <w:ind w:firstLine="480" w:firstLineChars="200"/>
        <w:rPr>
          <w:rFonts w:ascii="宋体" w:hAnsi="宋体" w:cs="宋体"/>
          <w:szCs w:val="24"/>
        </w:rPr>
      </w:pPr>
      <w:r>
        <w:rPr>
          <w:rFonts w:hint="eastAsia" w:ascii="宋体" w:hAnsi="宋体" w:cs="宋体"/>
          <w:szCs w:val="24"/>
        </w:rPr>
        <w:t>4.3.安全检查与应急处理：定期进行消防设备、电梯设施、安全出口等安全设施的检查和测试，确保其正常使用。在发生突发事件或紧急情况时，能够迅速</w:t>
      </w:r>
      <w:r>
        <w:rPr>
          <w:rFonts w:hint="eastAsia" w:ascii="宋体" w:hAnsi="宋体" w:cs="宋体"/>
          <w:szCs w:val="24"/>
          <w:lang w:eastAsia="zh-CN"/>
        </w:rPr>
        <w:t>做出</w:t>
      </w:r>
      <w:r>
        <w:rPr>
          <w:rFonts w:hint="eastAsia" w:ascii="宋体" w:hAnsi="宋体" w:cs="宋体"/>
          <w:szCs w:val="24"/>
        </w:rPr>
        <w:t>应急处理。</w:t>
      </w:r>
    </w:p>
    <w:p>
      <w:pPr>
        <w:spacing w:line="360" w:lineRule="auto"/>
        <w:ind w:firstLine="480" w:firstLineChars="200"/>
        <w:rPr>
          <w:rFonts w:ascii="宋体" w:hAnsi="宋体" w:cs="宋体"/>
          <w:szCs w:val="24"/>
        </w:rPr>
      </w:pPr>
      <w:r>
        <w:rPr>
          <w:rFonts w:hint="eastAsia" w:ascii="宋体" w:hAnsi="宋体" w:cs="宋体"/>
          <w:szCs w:val="24"/>
        </w:rPr>
        <w:t>4.4.设备维护：对电梯、空调、通风等设备进行定期检查和维护，确保其正常运行。协调专业维修人员对设备进行定期保养和维修，确保其安全性和有效性。</w:t>
      </w:r>
    </w:p>
    <w:p>
      <w:pPr>
        <w:spacing w:line="360" w:lineRule="auto"/>
        <w:ind w:firstLine="480" w:firstLineChars="200"/>
        <w:rPr>
          <w:rFonts w:ascii="宋体" w:hAnsi="宋体" w:cs="宋体"/>
          <w:szCs w:val="24"/>
        </w:rPr>
      </w:pPr>
      <w:r>
        <w:rPr>
          <w:rFonts w:hint="eastAsia" w:ascii="宋体" w:hAnsi="宋体" w:cs="宋体"/>
          <w:szCs w:val="24"/>
        </w:rPr>
        <w:t>4.5.报修服务：对业主的维修要求进行及时响应和处理，解决出现的问题。建立健全的报修服务流程，确保维修需求得到及时满足。</w:t>
      </w:r>
    </w:p>
    <w:p>
      <w:pPr>
        <w:rPr>
          <w:rFonts w:ascii="宋体" w:hAnsi="宋体" w:cs="宋体"/>
          <w:b/>
          <w:bCs/>
          <w:szCs w:val="24"/>
        </w:rPr>
      </w:pPr>
    </w:p>
    <w:p>
      <w:pPr>
        <w:outlineLvl w:val="1"/>
        <w:rPr>
          <w:rFonts w:ascii="宋体" w:hAnsi="宋体" w:cs="宋体"/>
          <w:b/>
          <w:bCs/>
          <w:szCs w:val="24"/>
        </w:rPr>
      </w:pPr>
      <w:r>
        <w:rPr>
          <w:rFonts w:hint="eastAsia" w:ascii="宋体" w:hAnsi="宋体" w:cs="宋体"/>
          <w:b/>
          <w:bCs/>
          <w:szCs w:val="24"/>
        </w:rPr>
        <w:t>（五）应急处置要求</w:t>
      </w:r>
    </w:p>
    <w:p/>
    <w:p>
      <w:pPr>
        <w:spacing w:line="360" w:lineRule="auto"/>
        <w:ind w:firstLine="480" w:firstLineChars="200"/>
        <w:rPr>
          <w:rFonts w:hAnsi="宋体"/>
          <w:bCs/>
          <w:szCs w:val="24"/>
        </w:rPr>
      </w:pPr>
      <w:r>
        <w:rPr>
          <w:rFonts w:hint="eastAsia" w:ascii="宋体" w:hAnsi="宋体" w:cs="宋体"/>
          <w:bCs/>
        </w:rPr>
        <w:t>针对采购人产生的临时性任务和突发应急事件、突发性设备排障、抢险等应急后备保障能力，</w:t>
      </w:r>
      <w:r>
        <w:rPr>
          <w:rFonts w:hint="eastAsia" w:ascii="宋体" w:hAnsi="宋体" w:cs="宋体"/>
          <w:bCs/>
          <w:szCs w:val="24"/>
        </w:rPr>
        <w:t>并制定相关应急方案，方案包含</w:t>
      </w:r>
      <w:r>
        <w:rPr>
          <w:rFonts w:hAnsi="宋体"/>
          <w:bCs/>
          <w:szCs w:val="24"/>
        </w:rPr>
        <w:t>自然灾害应急预案、事故灾难应急预案、公共卫生事件应急预案、</w:t>
      </w:r>
      <w:r>
        <w:rPr>
          <w:rFonts w:hint="eastAsia" w:hAnsi="宋体"/>
          <w:bCs/>
          <w:szCs w:val="24"/>
        </w:rPr>
        <w:t>治安</w:t>
      </w:r>
      <w:r>
        <w:rPr>
          <w:rFonts w:hAnsi="宋体"/>
          <w:bCs/>
          <w:szCs w:val="24"/>
        </w:rPr>
        <w:t>事件应急预案、突发火灾应急方案</w:t>
      </w:r>
      <w:r>
        <w:rPr>
          <w:rFonts w:hint="eastAsia" w:hAnsi="宋体"/>
          <w:bCs/>
          <w:szCs w:val="24"/>
        </w:rPr>
        <w:t>。</w:t>
      </w:r>
    </w:p>
    <w:p>
      <w:pPr>
        <w:widowControl/>
        <w:adjustRightInd w:val="0"/>
        <w:snapToGrid w:val="0"/>
        <w:spacing w:line="408" w:lineRule="auto"/>
        <w:ind w:firstLine="472" w:firstLineChars="196"/>
        <w:outlineLvl w:val="1"/>
        <w:rPr>
          <w:rFonts w:ascii="宋体" w:hAnsi="宋体" w:cs="宋体"/>
          <w:b/>
          <w:bCs/>
          <w:szCs w:val="24"/>
        </w:rPr>
      </w:pPr>
      <w:r>
        <w:rPr>
          <w:rFonts w:hint="eastAsia" w:ascii="宋体" w:hAnsi="宋体" w:cs="宋体"/>
          <w:b/>
          <w:bCs/>
          <w:szCs w:val="24"/>
        </w:rPr>
        <w:t>（六）服务标准（实质性要求）</w:t>
      </w:r>
    </w:p>
    <w:p>
      <w:pPr>
        <w:pStyle w:val="7"/>
        <w:spacing w:line="408" w:lineRule="auto"/>
        <w:ind w:firstLine="480" w:firstLineChars="200"/>
        <w:rPr>
          <w:rFonts w:ascii="宋体"/>
          <w:sz w:val="24"/>
          <w:szCs w:val="24"/>
        </w:rPr>
      </w:pPr>
      <w:r>
        <w:rPr>
          <w:rFonts w:hint="eastAsia" w:ascii="宋体"/>
          <w:sz w:val="24"/>
          <w:szCs w:val="24"/>
        </w:rPr>
        <w:t>一）安全保障服务标准</w:t>
      </w:r>
    </w:p>
    <w:p>
      <w:pPr>
        <w:pStyle w:val="7"/>
        <w:spacing w:line="408" w:lineRule="auto"/>
        <w:ind w:firstLine="600" w:firstLineChars="250"/>
        <w:rPr>
          <w:rFonts w:ascii="宋体"/>
          <w:sz w:val="24"/>
          <w:szCs w:val="24"/>
        </w:rPr>
      </w:pPr>
      <w:r>
        <w:rPr>
          <w:rFonts w:hint="eastAsia" w:ascii="宋体"/>
          <w:sz w:val="24"/>
          <w:szCs w:val="24"/>
        </w:rPr>
        <w:t>1.治安维稳与消防安全</w:t>
      </w:r>
    </w:p>
    <w:p>
      <w:pPr>
        <w:pStyle w:val="7"/>
        <w:spacing w:line="408" w:lineRule="auto"/>
        <w:ind w:firstLine="480" w:firstLineChars="200"/>
        <w:rPr>
          <w:rFonts w:ascii="宋体"/>
          <w:sz w:val="24"/>
          <w:szCs w:val="24"/>
        </w:rPr>
      </w:pPr>
      <w:r>
        <w:rPr>
          <w:rFonts w:hint="eastAsia" w:ascii="宋体"/>
          <w:sz w:val="24"/>
          <w:szCs w:val="24"/>
        </w:rPr>
        <w:t>（1）24小时对纪念园各区域进行值班巡查，按规定的时间和巡查路线巡查。发现可疑的人和异常的事、物，及时报告，并迅速查明情况，严密监视。</w:t>
      </w:r>
    </w:p>
    <w:p>
      <w:pPr>
        <w:adjustRightInd w:val="0"/>
        <w:snapToGrid w:val="0"/>
        <w:spacing w:line="520" w:lineRule="exact"/>
        <w:ind w:firstLine="600" w:firstLineChars="250"/>
        <w:jc w:val="left"/>
        <w:rPr>
          <w:rFonts w:ascii="宋体"/>
          <w:szCs w:val="24"/>
        </w:rPr>
      </w:pPr>
      <w:r>
        <w:rPr>
          <w:rFonts w:hint="eastAsia" w:ascii="宋体"/>
          <w:szCs w:val="24"/>
        </w:rPr>
        <w:t>（2）纪念园消防控制室实行24小时值班。</w:t>
      </w:r>
    </w:p>
    <w:p>
      <w:pPr>
        <w:pStyle w:val="7"/>
        <w:spacing w:line="520" w:lineRule="exact"/>
        <w:ind w:firstLine="600" w:firstLineChars="250"/>
        <w:rPr>
          <w:rFonts w:ascii="宋体"/>
          <w:sz w:val="24"/>
          <w:szCs w:val="24"/>
        </w:rPr>
      </w:pPr>
      <w:r>
        <w:rPr>
          <w:rFonts w:hint="eastAsia" w:ascii="宋体"/>
          <w:sz w:val="24"/>
          <w:szCs w:val="24"/>
        </w:rPr>
        <w:t>（3）维护纪念园的正常参观秩序，防止意外事件发生。</w:t>
      </w:r>
    </w:p>
    <w:p>
      <w:pPr>
        <w:pStyle w:val="7"/>
        <w:spacing w:line="408" w:lineRule="auto"/>
        <w:ind w:firstLine="480" w:firstLineChars="200"/>
        <w:rPr>
          <w:rFonts w:ascii="宋体"/>
          <w:sz w:val="24"/>
          <w:szCs w:val="24"/>
        </w:rPr>
      </w:pPr>
      <w:r>
        <w:rPr>
          <w:rFonts w:hint="eastAsia" w:ascii="宋体"/>
          <w:sz w:val="24"/>
          <w:szCs w:val="24"/>
        </w:rPr>
        <w:t>（4）建立完善的各类应急救援预案（如：火警、爆炸、盗窃、反恐等），在纪念园管理部门的指导下，每年不少于两次的各类安全培训及应急预案演练，预防园区各类安全意外事件的发生。</w:t>
      </w:r>
    </w:p>
    <w:p>
      <w:pPr>
        <w:pStyle w:val="7"/>
        <w:spacing w:line="408" w:lineRule="auto"/>
        <w:ind w:firstLine="480" w:firstLineChars="200"/>
        <w:rPr>
          <w:rFonts w:ascii="宋体"/>
          <w:sz w:val="24"/>
          <w:szCs w:val="24"/>
        </w:rPr>
      </w:pPr>
      <w:r>
        <w:rPr>
          <w:rFonts w:hint="eastAsia" w:ascii="宋体"/>
          <w:sz w:val="24"/>
          <w:szCs w:val="24"/>
        </w:rPr>
        <w:t>（5）成交方应定期进行园区消防安全检查，</w:t>
      </w:r>
      <w:r>
        <w:rPr>
          <w:rFonts w:hint="eastAsia" w:ascii="宋体" w:hAnsi="宋体" w:cs="宋体"/>
          <w:sz w:val="24"/>
          <w:szCs w:val="24"/>
        </w:rPr>
        <w:t>负责消防设施设备维护保养服务，并负责按相关法律法规及技术规范要求，进行消防年检、维护保养（费用由成交供应商承担）</w:t>
      </w:r>
      <w:r>
        <w:rPr>
          <w:rFonts w:hint="eastAsia" w:ascii="宋体"/>
          <w:sz w:val="24"/>
          <w:szCs w:val="24"/>
        </w:rPr>
        <w:t>确保消防设施设备能正常使用，及时清除消防安全隐患并做好记录，确保全年无一例消防事件。</w:t>
      </w:r>
    </w:p>
    <w:p>
      <w:pPr>
        <w:pStyle w:val="7"/>
        <w:spacing w:line="408" w:lineRule="auto"/>
        <w:ind w:firstLine="480" w:firstLineChars="200"/>
        <w:rPr>
          <w:rFonts w:ascii="宋体"/>
          <w:sz w:val="24"/>
          <w:szCs w:val="24"/>
        </w:rPr>
      </w:pPr>
      <w:r>
        <w:rPr>
          <w:rFonts w:hint="eastAsia" w:ascii="宋体"/>
          <w:sz w:val="24"/>
          <w:szCs w:val="24"/>
        </w:rPr>
        <w:t>（6）完成纪念园临时交办的各类安全相关工作。</w:t>
      </w:r>
    </w:p>
    <w:p>
      <w:pPr>
        <w:pStyle w:val="7"/>
        <w:spacing w:line="408" w:lineRule="auto"/>
        <w:ind w:firstLine="480" w:firstLineChars="200"/>
        <w:rPr>
          <w:rFonts w:ascii="宋体"/>
          <w:sz w:val="24"/>
          <w:szCs w:val="24"/>
        </w:rPr>
      </w:pPr>
      <w:r>
        <w:rPr>
          <w:rFonts w:hint="eastAsia" w:ascii="宋体"/>
          <w:sz w:val="24"/>
          <w:szCs w:val="24"/>
        </w:rPr>
        <w:t>（7）协助各类突发事件处理，发生突发事件3分钟内到场，确保良好的参观环境和相关人员的人身安全。</w:t>
      </w:r>
    </w:p>
    <w:p>
      <w:pPr>
        <w:pStyle w:val="7"/>
        <w:spacing w:line="408" w:lineRule="auto"/>
        <w:ind w:firstLine="480" w:firstLineChars="200"/>
        <w:rPr>
          <w:rFonts w:ascii="宋体"/>
          <w:sz w:val="24"/>
          <w:szCs w:val="24"/>
        </w:rPr>
      </w:pPr>
      <w:r>
        <w:rPr>
          <w:rFonts w:hint="eastAsia" w:ascii="宋体"/>
          <w:sz w:val="24"/>
          <w:szCs w:val="24"/>
        </w:rPr>
        <w:t>2.停车管理服务标准</w:t>
      </w:r>
    </w:p>
    <w:p>
      <w:pPr>
        <w:pStyle w:val="7"/>
        <w:spacing w:line="408" w:lineRule="auto"/>
        <w:ind w:firstLine="480" w:firstLineChars="200"/>
        <w:rPr>
          <w:rFonts w:ascii="宋体"/>
          <w:sz w:val="24"/>
          <w:szCs w:val="24"/>
        </w:rPr>
      </w:pPr>
      <w:r>
        <w:rPr>
          <w:rFonts w:hint="eastAsia" w:ascii="宋体"/>
          <w:sz w:val="24"/>
          <w:szCs w:val="24"/>
        </w:rPr>
        <w:t>（1）熟悉掌握车辆流通情况，车位情况，合理部署。</w:t>
      </w:r>
    </w:p>
    <w:p>
      <w:pPr>
        <w:pStyle w:val="7"/>
        <w:spacing w:line="408" w:lineRule="auto"/>
        <w:ind w:firstLine="480" w:firstLineChars="200"/>
        <w:rPr>
          <w:rFonts w:ascii="宋体"/>
          <w:sz w:val="24"/>
          <w:szCs w:val="24"/>
        </w:rPr>
      </w:pPr>
      <w:r>
        <w:rPr>
          <w:rFonts w:hint="eastAsia" w:ascii="宋体"/>
          <w:sz w:val="24"/>
          <w:szCs w:val="24"/>
        </w:rPr>
        <w:t>（2）对停车场内停放车辆的管理工作，指挥好车道的交通秩序，使车道、停车场出入口周围保持畅通，车辆按照规定有序停放。</w:t>
      </w:r>
    </w:p>
    <w:p>
      <w:pPr>
        <w:pStyle w:val="7"/>
        <w:spacing w:line="408" w:lineRule="auto"/>
        <w:ind w:firstLine="480" w:firstLineChars="200"/>
        <w:rPr>
          <w:rFonts w:ascii="宋体"/>
          <w:sz w:val="24"/>
          <w:szCs w:val="24"/>
        </w:rPr>
      </w:pPr>
      <w:r>
        <w:rPr>
          <w:rFonts w:hint="eastAsia" w:ascii="宋体"/>
          <w:sz w:val="24"/>
          <w:szCs w:val="24"/>
        </w:rPr>
        <w:t>（3）严格对车辆进行管理，除部分应急保障车辆和工作人员车辆外，不允许其他车辆从消防通道驶向纪念广场，要确保纪念广场无车辆停放，要保障消防通道的绝对畅通。</w:t>
      </w:r>
    </w:p>
    <w:p>
      <w:pPr>
        <w:pStyle w:val="7"/>
        <w:spacing w:line="408" w:lineRule="auto"/>
        <w:ind w:firstLine="480" w:firstLineChars="200"/>
        <w:rPr>
          <w:rFonts w:ascii="宋体"/>
          <w:sz w:val="24"/>
          <w:szCs w:val="24"/>
        </w:rPr>
      </w:pPr>
      <w:r>
        <w:rPr>
          <w:rFonts w:hint="eastAsia" w:ascii="宋体"/>
          <w:sz w:val="24"/>
          <w:szCs w:val="24"/>
        </w:rPr>
        <w:t>3.电梯运行管理服务标准</w:t>
      </w:r>
    </w:p>
    <w:p>
      <w:pPr>
        <w:pStyle w:val="7"/>
        <w:spacing w:line="408" w:lineRule="auto"/>
        <w:ind w:firstLine="480" w:firstLineChars="200"/>
        <w:rPr>
          <w:rFonts w:ascii="宋体"/>
          <w:sz w:val="24"/>
          <w:szCs w:val="24"/>
        </w:rPr>
      </w:pPr>
      <w:r>
        <w:rPr>
          <w:rFonts w:hint="eastAsia" w:ascii="宋体"/>
          <w:sz w:val="24"/>
          <w:szCs w:val="24"/>
        </w:rPr>
        <w:t>（1）秩序维护人员应参加电梯应急预案演练，每日巡查电梯完好情况并做好记录、环境维护及其他突发情况，发现问题及时反馈相关部门。</w:t>
      </w:r>
    </w:p>
    <w:p>
      <w:pPr>
        <w:pStyle w:val="7"/>
        <w:spacing w:line="408" w:lineRule="auto"/>
        <w:ind w:firstLine="480" w:firstLineChars="200"/>
        <w:rPr>
          <w:rFonts w:ascii="宋体"/>
          <w:sz w:val="24"/>
          <w:szCs w:val="24"/>
        </w:rPr>
      </w:pPr>
      <w:r>
        <w:rPr>
          <w:rFonts w:hint="eastAsia" w:ascii="宋体"/>
          <w:sz w:val="24"/>
          <w:szCs w:val="24"/>
        </w:rPr>
        <w:t>（2）巡查发现电梯故障及时联系维保部门，主动协助维保人员排除故障。</w:t>
      </w:r>
    </w:p>
    <w:p>
      <w:pPr>
        <w:pStyle w:val="7"/>
        <w:spacing w:line="408" w:lineRule="auto"/>
        <w:ind w:firstLine="480" w:firstLineChars="200"/>
        <w:rPr>
          <w:rFonts w:ascii="宋体"/>
          <w:sz w:val="24"/>
          <w:szCs w:val="24"/>
        </w:rPr>
      </w:pPr>
      <w:r>
        <w:rPr>
          <w:rFonts w:hint="eastAsia" w:ascii="宋体"/>
          <w:sz w:val="24"/>
          <w:szCs w:val="24"/>
        </w:rPr>
        <w:t>（3）发现电梯困人及时联系维保公司进行施救并协助施救。及时记录事故电梯困人情况、施救情况并报告纪念园管理办公室。</w:t>
      </w:r>
    </w:p>
    <w:p>
      <w:pPr>
        <w:pStyle w:val="7"/>
        <w:spacing w:line="408" w:lineRule="auto"/>
        <w:ind w:firstLine="480" w:firstLineChars="200"/>
        <w:rPr>
          <w:rFonts w:ascii="宋体"/>
          <w:sz w:val="24"/>
          <w:szCs w:val="24"/>
        </w:rPr>
      </w:pPr>
      <w:r>
        <w:rPr>
          <w:rFonts w:hint="eastAsia" w:ascii="宋体"/>
          <w:sz w:val="24"/>
          <w:szCs w:val="24"/>
        </w:rPr>
        <w:t>二）环境维护服务标准</w:t>
      </w:r>
    </w:p>
    <w:p>
      <w:pPr>
        <w:pStyle w:val="7"/>
        <w:spacing w:line="408" w:lineRule="auto"/>
        <w:ind w:firstLine="480" w:firstLineChars="200"/>
        <w:rPr>
          <w:rFonts w:ascii="宋体"/>
          <w:sz w:val="24"/>
          <w:szCs w:val="24"/>
        </w:rPr>
      </w:pPr>
      <w:r>
        <w:rPr>
          <w:rFonts w:hint="eastAsia" w:ascii="宋体"/>
          <w:sz w:val="24"/>
          <w:szCs w:val="24"/>
        </w:rPr>
        <w:t>1. 纪念馆、游客中心等场所的地面、墙壁、墙群、幕墙玻璃、天花板、家具、设备、门窗、各种管道设施、水电和网络箱体、消防栓箱、开关插座、扶手、安全指示灯，标识标牌，各种平台、操作台、阳台、雨棚，污物池、洗手池、拖布池、卫生间各种配套设施、电梯间等，做到干净、明亮，无垃圾、杂物、污迹、积水、蜘蛛网、积灰、牛皮癣、小广告，无异味、无老鼠、蟑螂等，地面干燥防滑，电梯轿厢光亮、无手印，窗明几净，物品摆放整齐，整洁美观。</w:t>
      </w:r>
    </w:p>
    <w:p>
      <w:pPr>
        <w:pStyle w:val="7"/>
        <w:spacing w:line="408" w:lineRule="auto"/>
        <w:ind w:firstLine="480" w:firstLineChars="200"/>
        <w:rPr>
          <w:rFonts w:ascii="宋体"/>
          <w:sz w:val="24"/>
          <w:szCs w:val="24"/>
        </w:rPr>
      </w:pPr>
      <w:r>
        <w:rPr>
          <w:rFonts w:hint="eastAsia" w:ascii="宋体"/>
          <w:sz w:val="24"/>
          <w:szCs w:val="24"/>
        </w:rPr>
        <w:t>2. 入口广场、瞻仰大道、纪念广场、碑林、英烈墓园、和平广场等公共区域、道路、垃圾桶（箱、车）、阴沟、明沟、标识标牌、雨棚、绿化带，做到干净、无垃圾、杂物、污迹、积水、蜘蛛网、积灰、牛皮癣、小广告，无老鼠和流浪猫狗，沥青路面无浮层，阴沟、明沟无堵塞。</w:t>
      </w:r>
    </w:p>
    <w:p>
      <w:pPr>
        <w:pStyle w:val="7"/>
        <w:spacing w:line="408" w:lineRule="auto"/>
        <w:ind w:firstLine="480" w:firstLineChars="200"/>
        <w:rPr>
          <w:rFonts w:ascii="宋体"/>
          <w:sz w:val="24"/>
          <w:szCs w:val="24"/>
        </w:rPr>
      </w:pPr>
      <w:r>
        <w:rPr>
          <w:rFonts w:hint="eastAsia" w:ascii="宋体"/>
          <w:sz w:val="24"/>
          <w:szCs w:val="24"/>
        </w:rPr>
        <w:t>3.生活垃圾的管理</w:t>
      </w:r>
    </w:p>
    <w:p>
      <w:pPr>
        <w:pStyle w:val="7"/>
        <w:spacing w:line="408" w:lineRule="auto"/>
        <w:ind w:firstLine="480" w:firstLineChars="200"/>
        <w:rPr>
          <w:rFonts w:ascii="宋体"/>
          <w:sz w:val="24"/>
          <w:szCs w:val="24"/>
        </w:rPr>
      </w:pPr>
      <w:r>
        <w:rPr>
          <w:rFonts w:hint="eastAsia" w:ascii="宋体"/>
          <w:sz w:val="24"/>
          <w:szCs w:val="24"/>
        </w:rPr>
        <w:t>（1）垃圾桶（篓）按要求分类配置，配置数量达到要求，摆放合理。</w:t>
      </w:r>
    </w:p>
    <w:p>
      <w:pPr>
        <w:pStyle w:val="7"/>
        <w:spacing w:line="408" w:lineRule="auto"/>
        <w:ind w:firstLine="480" w:firstLineChars="200"/>
        <w:rPr>
          <w:rFonts w:ascii="宋体"/>
          <w:sz w:val="24"/>
          <w:szCs w:val="24"/>
        </w:rPr>
      </w:pPr>
      <w:r>
        <w:rPr>
          <w:rFonts w:hint="eastAsia" w:ascii="宋体"/>
          <w:sz w:val="24"/>
          <w:szCs w:val="24"/>
        </w:rPr>
        <w:t>（2）垃圾袋每天至少更换2次，桶装达到2/3时及时更换，不溢满、不外泄。实行袋装，及时收集、转运，日产日清，做好与接收处理单位的交接工作。</w:t>
      </w:r>
    </w:p>
    <w:p>
      <w:pPr>
        <w:pStyle w:val="7"/>
        <w:spacing w:line="408" w:lineRule="auto"/>
        <w:ind w:firstLine="480" w:firstLineChars="200"/>
        <w:rPr>
          <w:rFonts w:ascii="宋体"/>
          <w:sz w:val="24"/>
          <w:szCs w:val="24"/>
        </w:rPr>
      </w:pPr>
      <w:r>
        <w:rPr>
          <w:rFonts w:hint="eastAsia" w:ascii="宋体"/>
          <w:sz w:val="24"/>
          <w:szCs w:val="24"/>
        </w:rPr>
        <w:t>（3）垃圾桶（篓）干净、无污迹、完好、无破损。</w:t>
      </w:r>
    </w:p>
    <w:p>
      <w:pPr>
        <w:pStyle w:val="7"/>
        <w:spacing w:line="408" w:lineRule="auto"/>
        <w:ind w:firstLine="480" w:firstLineChars="200"/>
        <w:rPr>
          <w:rFonts w:ascii="宋体"/>
          <w:sz w:val="24"/>
          <w:szCs w:val="24"/>
        </w:rPr>
      </w:pPr>
      <w:r>
        <w:rPr>
          <w:rFonts w:hint="eastAsia" w:ascii="宋体"/>
          <w:sz w:val="24"/>
          <w:szCs w:val="24"/>
        </w:rPr>
        <w:t>4.根据区爱卫办要求时间进行除“四害”工作，补充清理毒饵盒的数量，按规定时间投放毒饵；夏天（5月-10月）每周打一次农药灭蚊蝇，有记录且完整、规范、准确。</w:t>
      </w:r>
    </w:p>
    <w:p>
      <w:pPr>
        <w:pStyle w:val="7"/>
        <w:spacing w:line="408" w:lineRule="auto"/>
        <w:ind w:firstLine="480" w:firstLineChars="200"/>
        <w:rPr>
          <w:rFonts w:ascii="宋体"/>
          <w:sz w:val="24"/>
          <w:szCs w:val="24"/>
        </w:rPr>
      </w:pPr>
      <w:r>
        <w:rPr>
          <w:rFonts w:hint="eastAsia" w:ascii="宋体"/>
          <w:sz w:val="24"/>
          <w:szCs w:val="24"/>
        </w:rPr>
        <w:t>5.按要求完成园区的临时任务或突发事件以及其他相关的环境维护、消杀服务工作。</w:t>
      </w:r>
    </w:p>
    <w:p>
      <w:pPr>
        <w:pStyle w:val="7"/>
        <w:spacing w:line="408" w:lineRule="auto"/>
        <w:ind w:firstLine="480" w:firstLineChars="200"/>
        <w:rPr>
          <w:rFonts w:ascii="宋体"/>
          <w:sz w:val="24"/>
          <w:szCs w:val="24"/>
        </w:rPr>
      </w:pPr>
      <w:r>
        <w:rPr>
          <w:rFonts w:hint="eastAsia" w:ascii="宋体"/>
          <w:sz w:val="24"/>
          <w:szCs w:val="24"/>
        </w:rPr>
        <w:t>三）园林绿化维护标准</w:t>
      </w:r>
    </w:p>
    <w:p>
      <w:pPr>
        <w:pStyle w:val="7"/>
        <w:spacing w:line="408" w:lineRule="auto"/>
        <w:ind w:firstLine="480" w:firstLineChars="200"/>
        <w:rPr>
          <w:rFonts w:ascii="宋体"/>
          <w:sz w:val="24"/>
          <w:szCs w:val="24"/>
        </w:rPr>
      </w:pPr>
      <w:r>
        <w:rPr>
          <w:rFonts w:hint="eastAsia" w:ascii="宋体"/>
          <w:sz w:val="24"/>
          <w:szCs w:val="24"/>
        </w:rPr>
        <w:t>1.服务范围内植物生长健壮、旺盛，观叶植物颜色鲜艳、无病虫害、无死树、无枯枝、无残花、无败叶、无野生藤萝缠生、无缺株、无杂草；枯萎和倒伏的乔、灌木及时处理，并做好防风、防涝、防寒工作。</w:t>
      </w:r>
    </w:p>
    <w:p>
      <w:pPr>
        <w:pStyle w:val="7"/>
        <w:spacing w:line="408" w:lineRule="auto"/>
        <w:ind w:firstLine="480" w:firstLineChars="200"/>
        <w:rPr>
          <w:rFonts w:ascii="宋体"/>
          <w:sz w:val="24"/>
          <w:szCs w:val="24"/>
        </w:rPr>
      </w:pPr>
      <w:r>
        <w:rPr>
          <w:rFonts w:hint="eastAsia" w:ascii="宋体"/>
          <w:sz w:val="24"/>
          <w:szCs w:val="24"/>
        </w:rPr>
        <w:t>2.松土：乔木每年不少于两次，一般定于每年的春、秋季，具体情况按实调整，保持乔木、灌木根部周围或树穴范围土壤的疏松透气，应无板结现象，松土深度以不影响植物的根系生长为限。</w:t>
      </w:r>
    </w:p>
    <w:p>
      <w:pPr>
        <w:pStyle w:val="7"/>
        <w:spacing w:line="408" w:lineRule="auto"/>
        <w:ind w:firstLine="480" w:firstLineChars="200"/>
        <w:rPr>
          <w:rFonts w:ascii="宋体"/>
          <w:sz w:val="24"/>
          <w:szCs w:val="24"/>
        </w:rPr>
      </w:pPr>
      <w:r>
        <w:rPr>
          <w:rFonts w:hint="eastAsia" w:ascii="宋体"/>
          <w:sz w:val="24"/>
          <w:szCs w:val="24"/>
        </w:rPr>
        <w:t>3.浇水：在确保植物生长所必需水分的同时，视天气而定，灵活掌握浇水量。</w:t>
      </w:r>
    </w:p>
    <w:p>
      <w:pPr>
        <w:pStyle w:val="7"/>
        <w:spacing w:line="408" w:lineRule="auto"/>
        <w:ind w:firstLine="480" w:firstLineChars="200"/>
        <w:rPr>
          <w:rFonts w:ascii="宋体"/>
          <w:sz w:val="24"/>
          <w:szCs w:val="24"/>
        </w:rPr>
      </w:pPr>
      <w:r>
        <w:rPr>
          <w:rFonts w:hint="eastAsia" w:ascii="宋体"/>
          <w:sz w:val="24"/>
          <w:szCs w:val="24"/>
        </w:rPr>
        <w:t>4.施肥：定期进行追肥，乔木每月一次，灌木春、夏季每月二次，秋、冬季每月一次，新种植物要施放基肥。</w:t>
      </w:r>
    </w:p>
    <w:p>
      <w:pPr>
        <w:pStyle w:val="7"/>
        <w:spacing w:line="408" w:lineRule="auto"/>
        <w:ind w:firstLine="480" w:firstLineChars="200"/>
        <w:rPr>
          <w:rFonts w:ascii="宋体"/>
          <w:sz w:val="24"/>
          <w:szCs w:val="24"/>
        </w:rPr>
      </w:pPr>
      <w:r>
        <w:rPr>
          <w:rFonts w:hint="eastAsia" w:ascii="宋体"/>
          <w:sz w:val="24"/>
          <w:szCs w:val="24"/>
        </w:rPr>
        <w:t>5.喷药：如发现有病虫害必须采取措施，有针对性地使用不同的农药对症下药。预防病虫害方面，在植物生长期内每十天例行喷药。喷药时，应尽量降低对客人的影响。</w:t>
      </w:r>
    </w:p>
    <w:p>
      <w:pPr>
        <w:pStyle w:val="7"/>
        <w:spacing w:line="408" w:lineRule="auto"/>
        <w:ind w:firstLine="480" w:firstLineChars="200"/>
        <w:rPr>
          <w:rFonts w:ascii="宋体"/>
          <w:sz w:val="24"/>
          <w:szCs w:val="24"/>
        </w:rPr>
      </w:pPr>
      <w:r>
        <w:rPr>
          <w:rFonts w:hint="eastAsia" w:ascii="宋体"/>
          <w:sz w:val="24"/>
          <w:szCs w:val="24"/>
        </w:rPr>
        <w:t>6.修剪：主要修剪时间是春、夏二季，乔木主要是修剪枯枝、徒长枝，应保持主干道行道树定干高度为3米，主干的分枝点以下不应有萌芽和枝条；灌木按不同的造型进行修剪，视生长速度和观赏要求定期和不定期安排修剪。</w:t>
      </w:r>
    </w:p>
    <w:p>
      <w:pPr>
        <w:pStyle w:val="7"/>
        <w:spacing w:line="408" w:lineRule="auto"/>
        <w:ind w:firstLine="480" w:firstLineChars="200"/>
        <w:rPr>
          <w:rFonts w:ascii="宋体"/>
          <w:sz w:val="24"/>
          <w:szCs w:val="24"/>
        </w:rPr>
      </w:pPr>
      <w:r>
        <w:rPr>
          <w:rFonts w:hint="eastAsia" w:ascii="宋体"/>
          <w:sz w:val="24"/>
          <w:szCs w:val="24"/>
        </w:rPr>
        <w:t xml:space="preserve">7.草坪的管理：定期对草坪进行修剪，边缘草要修剪整齐，达到整齐美观；经常除杂草喷洒药物，保持草坪内无杂草及病虫害，无裸露地。 </w:t>
      </w:r>
    </w:p>
    <w:p>
      <w:pPr>
        <w:pStyle w:val="7"/>
        <w:spacing w:line="408" w:lineRule="auto"/>
        <w:ind w:firstLine="480" w:firstLineChars="200"/>
        <w:rPr>
          <w:rFonts w:ascii="宋体"/>
          <w:sz w:val="24"/>
          <w:szCs w:val="24"/>
        </w:rPr>
      </w:pPr>
      <w:r>
        <w:rPr>
          <w:rFonts w:hint="eastAsia" w:ascii="宋体"/>
          <w:sz w:val="24"/>
          <w:szCs w:val="24"/>
        </w:rPr>
        <w:t>四）日常维修标准</w:t>
      </w:r>
    </w:p>
    <w:p>
      <w:pPr>
        <w:pStyle w:val="7"/>
        <w:spacing w:line="408" w:lineRule="auto"/>
        <w:ind w:firstLine="480" w:firstLineChars="200"/>
        <w:rPr>
          <w:rFonts w:ascii="宋体"/>
          <w:sz w:val="24"/>
          <w:szCs w:val="24"/>
        </w:rPr>
      </w:pPr>
      <w:r>
        <w:rPr>
          <w:rFonts w:hint="eastAsia" w:ascii="宋体"/>
          <w:sz w:val="24"/>
          <w:szCs w:val="24"/>
        </w:rPr>
        <w:t>1.对纪念馆、游客服务中心、指挥所等建筑物外墙面、楼道等共用部位进行日常巡查养护，并做好巡查养护记录，确保建筑物的完好性。</w:t>
      </w:r>
    </w:p>
    <w:p>
      <w:pPr>
        <w:pStyle w:val="7"/>
        <w:spacing w:line="408" w:lineRule="auto"/>
        <w:ind w:firstLine="480" w:firstLineChars="200"/>
        <w:rPr>
          <w:rFonts w:ascii="宋体"/>
          <w:sz w:val="24"/>
          <w:szCs w:val="24"/>
        </w:rPr>
      </w:pPr>
      <w:r>
        <w:rPr>
          <w:rFonts w:hint="eastAsia" w:ascii="宋体"/>
          <w:sz w:val="24"/>
          <w:szCs w:val="24"/>
        </w:rPr>
        <w:t>2.对配电设施、主供水供电管线等设施设备定期进行日常巡查养护，并做好巡查养护记录，保证其正常运行。停水、停电、水管破裂、下水道、沙井堵塞等急修，报修后30分钟内到达现场并组织维修。</w:t>
      </w:r>
    </w:p>
    <w:p>
      <w:pPr>
        <w:pStyle w:val="7"/>
        <w:spacing w:line="408" w:lineRule="auto"/>
        <w:ind w:firstLine="480" w:firstLineChars="200"/>
        <w:rPr>
          <w:rFonts w:ascii="宋体"/>
          <w:sz w:val="24"/>
          <w:szCs w:val="24"/>
        </w:rPr>
      </w:pPr>
      <w:r>
        <w:rPr>
          <w:rFonts w:hint="eastAsia" w:ascii="宋体"/>
          <w:sz w:val="24"/>
          <w:szCs w:val="24"/>
        </w:rPr>
        <w:t>3.对电梯设施设备定期进行日常巡查和维护管理并做好巡查、维护管理记录。如遇电梯设施出现问题，及时联系电梯维保单位及时进行维保，确保电梯运行安全，消防设施完好无损。</w:t>
      </w:r>
    </w:p>
    <w:p>
      <w:pPr>
        <w:keepNext/>
        <w:widowControl/>
        <w:spacing w:line="408" w:lineRule="auto"/>
        <w:ind w:firstLine="480" w:firstLineChars="200"/>
        <w:jc w:val="left"/>
        <w:rPr>
          <w:szCs w:val="24"/>
        </w:rPr>
      </w:pPr>
      <w:r>
        <w:rPr>
          <w:rFonts w:hint="eastAsia" w:ascii="宋体" w:hAnsi="宋体" w:cs="宋体"/>
          <w:szCs w:val="24"/>
        </w:rPr>
        <w:t xml:space="preserve">4.对纪念馆消防设施设备维护保养应严格按照《中华人民共和国消防法》《四川省消防条例》《建筑消防设施的维护管理（GB25201-2010）》《建筑消防设施检测技术规程（XF503-2004）》及其他法律法规、行业规范要求，做好本项目区域内的消防设施维保工作（包括第三方年度检测），每月进行维护保养工作并做好资料存档。制定并提交周、月、季、年度检测计划和维护保养计划（列明消防设施的名称、维护保养的内容和周期）。其具体维保内容包括：对建筑消防设施每天进行一次全面巡查，每月进行一次月检，每季度进行一次季检（含联动检测），年底进行一次全面检测，以实现每年对全部系统设备、组件至少检测一次；同时做好故障维修（维保人员自收到通知起15分钟内派员到场进行维修作业）和设施设备保养，日常维护保养费用由成交供应商承担。一次性维护更换材料单件费用或设备维修费在100元以内（含100元）由成交供应商承担（属于工程质保范围内的例外），超过100元的由采购人承担。 </w:t>
      </w:r>
    </w:p>
    <w:bookmarkEnd w:id="0"/>
    <w:p>
      <w:pPr>
        <w:outlineLvl w:val="1"/>
        <w:rPr>
          <w:rFonts w:ascii="Cambria" w:hAnsi="Cambria"/>
          <w:b/>
          <w:bCs/>
          <w:szCs w:val="24"/>
        </w:rPr>
      </w:pPr>
      <w:r>
        <w:rPr>
          <w:rFonts w:hint="eastAsia" w:ascii="Cambria" w:hAnsi="Cambria"/>
          <w:b/>
          <w:bCs/>
          <w:szCs w:val="24"/>
        </w:rPr>
        <w:t>（七）考核办法</w:t>
      </w:r>
    </w:p>
    <w:p>
      <w:pPr>
        <w:pStyle w:val="7"/>
        <w:spacing w:line="408" w:lineRule="auto"/>
        <w:ind w:firstLine="480" w:firstLineChars="200"/>
        <w:rPr>
          <w:rFonts w:ascii="宋体"/>
          <w:sz w:val="24"/>
          <w:szCs w:val="24"/>
        </w:rPr>
      </w:pPr>
      <w:r>
        <w:rPr>
          <w:rFonts w:hint="eastAsia" w:ascii="宋体"/>
          <w:sz w:val="24"/>
          <w:szCs w:val="24"/>
        </w:rPr>
        <w:t>由纪念园管理办公室牵头，每月开展满意度调查，不断提高和完善公司的服务品质，从而提升纪念园品牌美誉。</w:t>
      </w:r>
    </w:p>
    <w:p>
      <w:pPr>
        <w:pStyle w:val="7"/>
        <w:spacing w:line="408" w:lineRule="auto"/>
        <w:ind w:firstLine="480" w:firstLineChars="200"/>
        <w:rPr>
          <w:rFonts w:ascii="宋体"/>
          <w:sz w:val="24"/>
          <w:szCs w:val="24"/>
        </w:rPr>
      </w:pPr>
      <w:r>
        <w:rPr>
          <w:rFonts w:hint="eastAsia" w:ascii="宋体"/>
          <w:sz w:val="24"/>
          <w:szCs w:val="24"/>
        </w:rPr>
        <w:t>（1）监督、考核内容</w:t>
      </w:r>
    </w:p>
    <w:p>
      <w:pPr>
        <w:pStyle w:val="7"/>
        <w:spacing w:line="408" w:lineRule="auto"/>
        <w:ind w:firstLine="480" w:firstLineChars="200"/>
        <w:rPr>
          <w:rFonts w:ascii="宋体"/>
          <w:sz w:val="24"/>
          <w:szCs w:val="24"/>
        </w:rPr>
      </w:pPr>
      <w:r>
        <w:rPr>
          <w:rFonts w:hint="eastAsia" w:ascii="宋体"/>
          <w:sz w:val="24"/>
          <w:szCs w:val="24"/>
        </w:rPr>
        <w:t>1.安全维稳、环境维护、园林绿化维护、日常维修等方面公共服务工作的运作流程、操作标准、服务质量、应急处理的符合性、及时性。</w:t>
      </w:r>
    </w:p>
    <w:p>
      <w:pPr>
        <w:pStyle w:val="7"/>
        <w:spacing w:line="408" w:lineRule="auto"/>
        <w:ind w:firstLine="480" w:firstLineChars="200"/>
        <w:rPr>
          <w:rFonts w:ascii="宋体"/>
          <w:sz w:val="24"/>
          <w:szCs w:val="24"/>
        </w:rPr>
      </w:pPr>
      <w:r>
        <w:rPr>
          <w:rFonts w:hint="eastAsia" w:ascii="宋体"/>
          <w:sz w:val="24"/>
          <w:szCs w:val="24"/>
        </w:rPr>
        <w:t>2.纪念园工作人员、来园参观人员及其他人员的有效投诉。</w:t>
      </w:r>
    </w:p>
    <w:p>
      <w:pPr>
        <w:pStyle w:val="7"/>
        <w:spacing w:line="408" w:lineRule="auto"/>
        <w:ind w:firstLine="480" w:firstLineChars="200"/>
        <w:rPr>
          <w:rFonts w:ascii="宋体"/>
          <w:sz w:val="24"/>
          <w:szCs w:val="24"/>
        </w:rPr>
      </w:pPr>
      <w:r>
        <w:rPr>
          <w:rFonts w:hint="eastAsia" w:ascii="宋体"/>
          <w:sz w:val="24"/>
          <w:szCs w:val="24"/>
        </w:rPr>
        <w:t>3.服务人员的素质、服务态度、言行举止、礼仪礼貌。</w:t>
      </w:r>
    </w:p>
    <w:p>
      <w:pPr>
        <w:pStyle w:val="7"/>
        <w:spacing w:line="408" w:lineRule="auto"/>
        <w:ind w:firstLine="480" w:firstLineChars="200"/>
        <w:rPr>
          <w:rFonts w:ascii="宋体"/>
          <w:sz w:val="24"/>
          <w:szCs w:val="24"/>
        </w:rPr>
      </w:pPr>
      <w:r>
        <w:rPr>
          <w:rFonts w:hint="eastAsia" w:ascii="宋体"/>
          <w:sz w:val="24"/>
          <w:szCs w:val="24"/>
        </w:rPr>
        <w:t>4.服务人员的工作责任、劳动纪律、敬业精神。</w:t>
      </w:r>
    </w:p>
    <w:p>
      <w:pPr>
        <w:pStyle w:val="7"/>
        <w:spacing w:line="408" w:lineRule="auto"/>
        <w:ind w:firstLine="480" w:firstLineChars="200"/>
        <w:rPr>
          <w:rFonts w:ascii="宋体"/>
          <w:sz w:val="24"/>
          <w:szCs w:val="24"/>
        </w:rPr>
      </w:pPr>
      <w:r>
        <w:rPr>
          <w:rFonts w:hint="eastAsia" w:ascii="宋体"/>
          <w:sz w:val="24"/>
          <w:szCs w:val="24"/>
        </w:rPr>
        <w:t>5.服务方在公司服务理念、服务模式、团队精神方面在工作中的贯彻。</w:t>
      </w:r>
    </w:p>
    <w:p>
      <w:pPr>
        <w:pStyle w:val="7"/>
        <w:spacing w:line="408" w:lineRule="auto"/>
        <w:ind w:firstLine="480" w:firstLineChars="200"/>
        <w:rPr>
          <w:rFonts w:ascii="宋体"/>
          <w:sz w:val="24"/>
          <w:szCs w:val="24"/>
        </w:rPr>
      </w:pPr>
      <w:r>
        <w:rPr>
          <w:rFonts w:hint="eastAsia" w:ascii="宋体"/>
          <w:sz w:val="24"/>
          <w:szCs w:val="24"/>
        </w:rPr>
        <w:t>6.服务方对园区的服从性、配合度。</w:t>
      </w:r>
    </w:p>
    <w:p>
      <w:pPr>
        <w:pStyle w:val="7"/>
        <w:spacing w:line="408" w:lineRule="auto"/>
        <w:ind w:firstLine="480" w:firstLineChars="200"/>
        <w:rPr>
          <w:rFonts w:ascii="宋体"/>
          <w:sz w:val="24"/>
          <w:szCs w:val="24"/>
        </w:rPr>
      </w:pPr>
      <w:r>
        <w:rPr>
          <w:rFonts w:hint="eastAsia" w:ascii="宋体"/>
          <w:sz w:val="24"/>
          <w:szCs w:val="24"/>
        </w:rPr>
        <w:t>7.服务方对意见、建议、有效投诉及其他处理措施的整改、落实、配合、反馈工作。</w:t>
      </w:r>
    </w:p>
    <w:p>
      <w:pPr>
        <w:pStyle w:val="7"/>
        <w:spacing w:line="408" w:lineRule="auto"/>
        <w:ind w:firstLine="480" w:firstLineChars="200"/>
        <w:rPr>
          <w:rFonts w:ascii="宋体"/>
          <w:sz w:val="24"/>
          <w:szCs w:val="24"/>
        </w:rPr>
      </w:pPr>
      <w:r>
        <w:rPr>
          <w:rFonts w:hint="eastAsia" w:ascii="宋体"/>
          <w:sz w:val="24"/>
          <w:szCs w:val="24"/>
        </w:rPr>
        <w:t>8.服务方安全生产管理情况。</w:t>
      </w:r>
    </w:p>
    <w:p>
      <w:pPr>
        <w:spacing w:line="440" w:lineRule="exact"/>
        <w:ind w:firstLine="470" w:firstLineChars="196"/>
        <w:rPr>
          <w:szCs w:val="20"/>
        </w:rPr>
      </w:pPr>
      <w:r>
        <w:rPr>
          <w:rFonts w:hint="eastAsia" w:ascii="宋体"/>
          <w:szCs w:val="24"/>
        </w:rPr>
        <w:t>（2）考评类别及考核细则（本项目分为秩序维护和环境维护、园林绿化维护、日常维修维护4个类别）</w:t>
      </w:r>
      <w:r>
        <w:rPr>
          <w:szCs w:val="20"/>
        </w:rPr>
        <w:t>采购人服务内容及质量实行考核评分管理，考核评分结果作为支付服务管理费用</w:t>
      </w:r>
      <w:r>
        <w:rPr>
          <w:rFonts w:hint="eastAsia"/>
          <w:szCs w:val="20"/>
        </w:rPr>
        <w:t>和解除合同</w:t>
      </w:r>
      <w:r>
        <w:rPr>
          <w:szCs w:val="20"/>
        </w:rPr>
        <w:t>的依据。季度考核评分。由</w:t>
      </w:r>
      <w:r>
        <w:rPr>
          <w:rFonts w:hint="eastAsia"/>
          <w:szCs w:val="20"/>
        </w:rPr>
        <w:t>采购人</w:t>
      </w:r>
      <w:r>
        <w:rPr>
          <w:szCs w:val="20"/>
        </w:rPr>
        <w:t>牵头，组成考评委员会，依据服务的要求进行</w:t>
      </w:r>
      <w:r>
        <w:rPr>
          <w:rFonts w:hint="eastAsia"/>
          <w:szCs w:val="20"/>
        </w:rPr>
        <w:t>季度</w:t>
      </w:r>
      <w:r>
        <w:rPr>
          <w:szCs w:val="20"/>
        </w:rPr>
        <w:t>考核，考核每查出一个问题扣</w:t>
      </w:r>
      <w:r>
        <w:rPr>
          <w:rFonts w:hint="eastAsia"/>
          <w:szCs w:val="20"/>
        </w:rPr>
        <w:t>0.5</w:t>
      </w:r>
      <w:r>
        <w:rPr>
          <w:szCs w:val="20"/>
        </w:rPr>
        <w:t>分</w:t>
      </w:r>
      <w:r>
        <w:rPr>
          <w:rFonts w:hint="eastAsia"/>
          <w:szCs w:val="20"/>
        </w:rPr>
        <w:t>，考核分在95分（含）以内当季度服务费全额支付，当低于95分时</w:t>
      </w:r>
      <w:r>
        <w:rPr>
          <w:szCs w:val="20"/>
        </w:rPr>
        <w:t>（</w:t>
      </w:r>
      <w:r>
        <w:rPr>
          <w:rFonts w:hint="eastAsia"/>
          <w:szCs w:val="20"/>
        </w:rPr>
        <w:t>扣1分</w:t>
      </w:r>
      <w:r>
        <w:rPr>
          <w:szCs w:val="20"/>
        </w:rPr>
        <w:t>对应扣除当</w:t>
      </w:r>
      <w:r>
        <w:rPr>
          <w:rFonts w:hint="eastAsia"/>
          <w:szCs w:val="20"/>
        </w:rPr>
        <w:t>季服务</w:t>
      </w:r>
      <w:r>
        <w:rPr>
          <w:szCs w:val="20"/>
        </w:rPr>
        <w:t>费的</w:t>
      </w:r>
      <w:r>
        <w:rPr>
          <w:rFonts w:hint="eastAsia"/>
          <w:szCs w:val="20"/>
        </w:rPr>
        <w:t>0.2</w:t>
      </w:r>
      <w:r>
        <w:rPr>
          <w:szCs w:val="20"/>
        </w:rPr>
        <w:t>%</w:t>
      </w:r>
      <w:r>
        <w:rPr>
          <w:rFonts w:hint="eastAsia"/>
          <w:szCs w:val="20"/>
        </w:rPr>
        <w:t>，以此类推</w:t>
      </w:r>
      <w:r>
        <w:rPr>
          <w:szCs w:val="20"/>
        </w:rPr>
        <w:t>）连续</w:t>
      </w:r>
      <w:r>
        <w:rPr>
          <w:rFonts w:hint="eastAsia"/>
          <w:szCs w:val="20"/>
        </w:rPr>
        <w:t>三</w:t>
      </w:r>
      <w:r>
        <w:rPr>
          <w:szCs w:val="20"/>
        </w:rPr>
        <w:t>个</w:t>
      </w:r>
      <w:r>
        <w:rPr>
          <w:rFonts w:hint="eastAsia"/>
          <w:szCs w:val="20"/>
        </w:rPr>
        <w:t>季度</w:t>
      </w:r>
      <w:r>
        <w:rPr>
          <w:szCs w:val="20"/>
        </w:rPr>
        <w:t>扣分在</w:t>
      </w:r>
      <w:r>
        <w:rPr>
          <w:rFonts w:hint="eastAsia"/>
          <w:szCs w:val="20"/>
        </w:rPr>
        <w:t>10</w:t>
      </w:r>
      <w:r>
        <w:rPr>
          <w:szCs w:val="20"/>
        </w:rPr>
        <w:t>分以上（含</w:t>
      </w:r>
      <w:r>
        <w:rPr>
          <w:rFonts w:hint="eastAsia"/>
          <w:szCs w:val="20"/>
        </w:rPr>
        <w:t>10</w:t>
      </w:r>
      <w:r>
        <w:rPr>
          <w:szCs w:val="20"/>
        </w:rPr>
        <w:t>分），在</w:t>
      </w:r>
      <w:r>
        <w:rPr>
          <w:rFonts w:hint="eastAsia"/>
          <w:szCs w:val="20"/>
        </w:rPr>
        <w:t>下一季</w:t>
      </w:r>
      <w:r>
        <w:rPr>
          <w:szCs w:val="20"/>
        </w:rPr>
        <w:t>度服务费上再加扣</w:t>
      </w:r>
      <w:r>
        <w:rPr>
          <w:rFonts w:hint="eastAsia"/>
          <w:szCs w:val="20"/>
        </w:rPr>
        <w:t>3</w:t>
      </w:r>
      <w:r>
        <w:rPr>
          <w:szCs w:val="20"/>
        </w:rPr>
        <w:t>%（即</w:t>
      </w:r>
      <w:r>
        <w:rPr>
          <w:rFonts w:hint="eastAsia"/>
          <w:szCs w:val="20"/>
        </w:rPr>
        <w:t>5</w:t>
      </w:r>
      <w:r>
        <w:rPr>
          <w:szCs w:val="20"/>
        </w:rPr>
        <w:t>%）</w:t>
      </w:r>
      <w:r>
        <w:rPr>
          <w:rFonts w:hint="eastAsia"/>
          <w:szCs w:val="20"/>
        </w:rPr>
        <w:t>。</w:t>
      </w:r>
      <w:r>
        <w:rPr>
          <w:szCs w:val="20"/>
        </w:rPr>
        <w:t xml:space="preserve"> </w:t>
      </w:r>
    </w:p>
    <w:p>
      <w:pPr>
        <w:spacing w:line="440" w:lineRule="exact"/>
        <w:ind w:firstLine="470" w:firstLineChars="196"/>
        <w:rPr>
          <w:szCs w:val="20"/>
        </w:rPr>
      </w:pPr>
      <w:r>
        <w:rPr>
          <w:szCs w:val="20"/>
        </w:rPr>
        <w:t>（</w:t>
      </w:r>
      <w:r>
        <w:rPr>
          <w:rFonts w:hint="eastAsia"/>
          <w:szCs w:val="20"/>
        </w:rPr>
        <w:t>3</w:t>
      </w:r>
      <w:r>
        <w:rPr>
          <w:szCs w:val="20"/>
        </w:rPr>
        <w:t>）</w:t>
      </w:r>
      <w:r>
        <w:rPr>
          <w:rFonts w:hint="eastAsia"/>
          <w:szCs w:val="20"/>
        </w:rPr>
        <w:t>终止</w:t>
      </w:r>
      <w:r>
        <w:rPr>
          <w:szCs w:val="20"/>
        </w:rPr>
        <w:t>合同。连续3个</w:t>
      </w:r>
      <w:r>
        <w:rPr>
          <w:rFonts w:hint="eastAsia"/>
          <w:szCs w:val="20"/>
        </w:rPr>
        <w:t>季度</w:t>
      </w:r>
      <w:r>
        <w:rPr>
          <w:szCs w:val="20"/>
        </w:rPr>
        <w:t>扣分在</w:t>
      </w:r>
      <w:r>
        <w:rPr>
          <w:rFonts w:hint="eastAsia"/>
          <w:szCs w:val="20"/>
        </w:rPr>
        <w:t>10</w:t>
      </w:r>
      <w:r>
        <w:rPr>
          <w:szCs w:val="20"/>
        </w:rPr>
        <w:t>分以上（含1</w:t>
      </w:r>
      <w:r>
        <w:rPr>
          <w:rFonts w:hint="eastAsia"/>
          <w:szCs w:val="20"/>
        </w:rPr>
        <w:t>0</w:t>
      </w:r>
      <w:r>
        <w:rPr>
          <w:szCs w:val="20"/>
        </w:rPr>
        <w:t>分），经整改仍无提高的</w:t>
      </w:r>
      <w:r>
        <w:rPr>
          <w:rFonts w:hint="eastAsia"/>
          <w:szCs w:val="20"/>
        </w:rPr>
        <w:t>，采购人有权终止</w:t>
      </w:r>
      <w:r>
        <w:rPr>
          <w:szCs w:val="20"/>
        </w:rPr>
        <w:t>合同。</w:t>
      </w:r>
    </w:p>
    <w:p>
      <w:pPr>
        <w:pStyle w:val="7"/>
        <w:spacing w:line="408" w:lineRule="auto"/>
        <w:ind w:firstLine="480" w:firstLineChars="200"/>
        <w:rPr>
          <w:rFonts w:ascii="宋体"/>
          <w:sz w:val="24"/>
          <w:szCs w:val="24"/>
        </w:rPr>
      </w:pPr>
      <w:r>
        <w:rPr>
          <w:rFonts w:hint="eastAsia" w:ascii="宋体"/>
          <w:sz w:val="24"/>
          <w:szCs w:val="24"/>
        </w:rPr>
        <w:t>（4）每季度分别进行考评，单项满分为100分，具体考核内容如下：）</w:t>
      </w:r>
    </w:p>
    <w:p/>
    <w:p>
      <w:r>
        <w:rPr>
          <w:rFonts w:hint="eastAsia"/>
        </w:rPr>
        <w:t>4.1秩序维护考核细则</w:t>
      </w:r>
    </w:p>
    <w:tbl>
      <w:tblPr>
        <w:tblStyle w:val="20"/>
        <w:tblW w:w="9349" w:type="dxa"/>
        <w:jc w:val="center"/>
        <w:tblLayout w:type="fixed"/>
        <w:tblCellMar>
          <w:top w:w="0" w:type="dxa"/>
          <w:left w:w="108" w:type="dxa"/>
          <w:bottom w:w="0" w:type="dxa"/>
          <w:right w:w="108" w:type="dxa"/>
        </w:tblCellMar>
      </w:tblPr>
      <w:tblGrid>
        <w:gridCol w:w="1212"/>
        <w:gridCol w:w="2075"/>
        <w:gridCol w:w="3801"/>
        <w:gridCol w:w="2261"/>
      </w:tblGrid>
      <w:tr>
        <w:tblPrEx>
          <w:tblCellMar>
            <w:top w:w="0" w:type="dxa"/>
            <w:left w:w="108" w:type="dxa"/>
            <w:bottom w:w="0" w:type="dxa"/>
            <w:right w:w="108" w:type="dxa"/>
          </w:tblCellMar>
        </w:tblPrEx>
        <w:trPr>
          <w:trHeight w:val="1003"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rPr>
                <w:b/>
                <w:bCs/>
                <w:sz w:val="21"/>
                <w:szCs w:val="21"/>
              </w:rPr>
            </w:pPr>
            <w:r>
              <w:rPr>
                <w:rFonts w:hint="eastAsia"/>
                <w:b/>
                <w:bCs/>
                <w:sz w:val="21"/>
                <w:szCs w:val="21"/>
              </w:rPr>
              <w:t>作业范围</w:t>
            </w:r>
          </w:p>
        </w:tc>
        <w:tc>
          <w:tcPr>
            <w:tcW w:w="2075" w:type="dxa"/>
            <w:tcBorders>
              <w:top w:val="single" w:color="auto" w:sz="4" w:space="0"/>
              <w:left w:val="nil"/>
              <w:bottom w:val="single" w:color="auto" w:sz="4" w:space="0"/>
              <w:right w:val="single" w:color="auto" w:sz="4" w:space="0"/>
            </w:tcBorders>
            <w:vAlign w:val="center"/>
          </w:tcPr>
          <w:p>
            <w:pPr>
              <w:rPr>
                <w:b/>
                <w:bCs/>
                <w:sz w:val="21"/>
                <w:szCs w:val="21"/>
              </w:rPr>
            </w:pPr>
            <w:r>
              <w:rPr>
                <w:rFonts w:hint="eastAsia"/>
                <w:b/>
                <w:bCs/>
                <w:sz w:val="21"/>
                <w:szCs w:val="21"/>
              </w:rPr>
              <w:t>作业具体对象</w:t>
            </w:r>
          </w:p>
        </w:tc>
        <w:tc>
          <w:tcPr>
            <w:tcW w:w="3801" w:type="dxa"/>
            <w:tcBorders>
              <w:top w:val="single" w:color="auto" w:sz="4" w:space="0"/>
              <w:left w:val="nil"/>
              <w:bottom w:val="single" w:color="auto" w:sz="4" w:space="0"/>
              <w:right w:val="single" w:color="auto" w:sz="4" w:space="0"/>
            </w:tcBorders>
            <w:vAlign w:val="center"/>
          </w:tcPr>
          <w:p>
            <w:pPr>
              <w:rPr>
                <w:b/>
                <w:bCs/>
                <w:sz w:val="21"/>
                <w:szCs w:val="21"/>
              </w:rPr>
            </w:pPr>
            <w:r>
              <w:rPr>
                <w:rFonts w:hint="eastAsia"/>
                <w:b/>
                <w:bCs/>
                <w:sz w:val="21"/>
                <w:szCs w:val="21"/>
              </w:rPr>
              <w:t>作业要求、考核质量标准</w:t>
            </w:r>
          </w:p>
        </w:tc>
        <w:tc>
          <w:tcPr>
            <w:tcW w:w="2261" w:type="dxa"/>
            <w:tcBorders>
              <w:top w:val="single" w:color="auto" w:sz="4" w:space="0"/>
              <w:left w:val="nil"/>
              <w:bottom w:val="single" w:color="auto" w:sz="4" w:space="0"/>
              <w:right w:val="single" w:color="auto" w:sz="4" w:space="0"/>
            </w:tcBorders>
            <w:vAlign w:val="center"/>
          </w:tcPr>
          <w:p>
            <w:pPr>
              <w:rPr>
                <w:rFonts w:eastAsiaTheme="minorEastAsia"/>
                <w:b/>
                <w:bCs/>
                <w:sz w:val="21"/>
                <w:szCs w:val="21"/>
              </w:rPr>
            </w:pPr>
            <w:r>
              <w:rPr>
                <w:rFonts w:hint="eastAsia"/>
                <w:b/>
                <w:bCs/>
                <w:sz w:val="21"/>
                <w:szCs w:val="21"/>
              </w:rPr>
              <w:t>考核扣分标准（分）</w:t>
            </w:r>
          </w:p>
        </w:tc>
      </w:tr>
      <w:tr>
        <w:trPr>
          <w:trHeight w:val="333" w:hRule="atLeast"/>
          <w:jc w:val="center"/>
        </w:trPr>
        <w:tc>
          <w:tcPr>
            <w:tcW w:w="1212" w:type="dxa"/>
            <w:vMerge w:val="restart"/>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sz w:val="15"/>
                <w:szCs w:val="15"/>
              </w:rPr>
              <w:t>一、秩序维护</w:t>
            </w:r>
          </w:p>
        </w:tc>
        <w:tc>
          <w:tcPr>
            <w:tcW w:w="2075" w:type="dxa"/>
            <w:vMerge w:val="restart"/>
            <w:tcBorders>
              <w:top w:val="single" w:color="auto" w:sz="4" w:space="0"/>
              <w:left w:val="single" w:color="auto" w:sz="4" w:space="0"/>
              <w:right w:val="single" w:color="auto" w:sz="4" w:space="0"/>
            </w:tcBorders>
            <w:vAlign w:val="center"/>
          </w:tcPr>
          <w:p>
            <w:pPr>
              <w:rPr>
                <w:sz w:val="15"/>
                <w:szCs w:val="15"/>
              </w:rPr>
            </w:pPr>
            <w:r>
              <w:rPr>
                <w:rFonts w:hint="eastAsia" w:ascii="宋体"/>
                <w:sz w:val="15"/>
                <w:szCs w:val="15"/>
              </w:rPr>
              <w:t>1、仪容仪表</w:t>
            </w: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上班期间着装统一、整洁，着装不规范一次扣0.5分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2</w:t>
            </w:r>
          </w:p>
        </w:tc>
      </w:tr>
      <w:tr>
        <w:tblPrEx>
          <w:tblCellMar>
            <w:top w:w="0" w:type="dxa"/>
            <w:left w:w="108" w:type="dxa"/>
            <w:bottom w:w="0" w:type="dxa"/>
            <w:right w:w="108" w:type="dxa"/>
          </w:tblCellMar>
        </w:tblPrEx>
        <w:trPr>
          <w:trHeight w:val="355" w:hRule="atLeast"/>
          <w:jc w:val="center"/>
        </w:trPr>
        <w:tc>
          <w:tcPr>
            <w:tcW w:w="1212" w:type="dxa"/>
            <w:vMerge w:val="continue"/>
            <w:tcBorders>
              <w:left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rFonts w:ascii="宋体"/>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上班时间打赤膊、穿背心违反一次扣0.5分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2</w:t>
            </w:r>
          </w:p>
        </w:tc>
      </w:tr>
      <w:tr>
        <w:tblPrEx>
          <w:tblCellMar>
            <w:top w:w="0" w:type="dxa"/>
            <w:left w:w="108" w:type="dxa"/>
            <w:bottom w:w="0" w:type="dxa"/>
            <w:right w:w="108" w:type="dxa"/>
          </w:tblCellMar>
        </w:tblPrEx>
        <w:trPr>
          <w:trHeight w:val="346" w:hRule="atLeast"/>
          <w:jc w:val="center"/>
        </w:trPr>
        <w:tc>
          <w:tcPr>
            <w:tcW w:w="1212" w:type="dxa"/>
            <w:vMerge w:val="continue"/>
            <w:tcBorders>
              <w:left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rFonts w:ascii="宋体"/>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头发过耳，油腻发现一次扣0.5分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2</w:t>
            </w:r>
          </w:p>
        </w:tc>
      </w:tr>
      <w:tr>
        <w:tblPrEx>
          <w:tblCellMar>
            <w:top w:w="0" w:type="dxa"/>
            <w:left w:w="108" w:type="dxa"/>
            <w:bottom w:w="0" w:type="dxa"/>
            <w:right w:w="108" w:type="dxa"/>
          </w:tblCellMar>
        </w:tblPrEx>
        <w:trPr>
          <w:trHeight w:val="258" w:hRule="atLeast"/>
          <w:jc w:val="center"/>
        </w:trPr>
        <w:tc>
          <w:tcPr>
            <w:tcW w:w="1212" w:type="dxa"/>
            <w:vMerge w:val="continue"/>
            <w:tcBorders>
              <w:left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rFonts w:ascii="宋体"/>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指甲过长，有黑污垢发现一次扣0.5分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2</w:t>
            </w:r>
          </w:p>
        </w:tc>
      </w:tr>
      <w:tr>
        <w:tblPrEx>
          <w:tblCellMar>
            <w:top w:w="0" w:type="dxa"/>
            <w:left w:w="108" w:type="dxa"/>
            <w:bottom w:w="0" w:type="dxa"/>
            <w:right w:w="108" w:type="dxa"/>
          </w:tblCellMar>
        </w:tblPrEx>
        <w:trPr>
          <w:trHeight w:val="258" w:hRule="atLeast"/>
          <w:jc w:val="center"/>
        </w:trPr>
        <w:tc>
          <w:tcPr>
            <w:tcW w:w="1212" w:type="dxa"/>
            <w:vMerge w:val="continue"/>
            <w:tcBorders>
              <w:left w:val="single" w:color="auto" w:sz="4" w:space="0"/>
              <w:right w:val="single" w:color="auto" w:sz="4" w:space="0"/>
            </w:tcBorders>
            <w:vAlign w:val="center"/>
          </w:tcPr>
          <w:p>
            <w:pPr>
              <w:rPr>
                <w:sz w:val="15"/>
                <w:szCs w:val="15"/>
              </w:rPr>
            </w:pPr>
          </w:p>
        </w:tc>
        <w:tc>
          <w:tcPr>
            <w:tcW w:w="2075" w:type="dxa"/>
            <w:vMerge w:val="continue"/>
            <w:tcBorders>
              <w:left w:val="single" w:color="auto" w:sz="4" w:space="0"/>
              <w:bottom w:val="single" w:color="auto" w:sz="4" w:space="0"/>
              <w:right w:val="single" w:color="auto" w:sz="4" w:space="0"/>
            </w:tcBorders>
            <w:vAlign w:val="center"/>
          </w:tcPr>
          <w:p>
            <w:pPr>
              <w:rPr>
                <w:rFonts w:ascii="宋体"/>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值班期间公共场所双手抄裤包的发现一次扣0.5分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2</w:t>
            </w:r>
          </w:p>
        </w:tc>
      </w:tr>
      <w:tr>
        <w:tblPrEx>
          <w:tblCellMar>
            <w:top w:w="0" w:type="dxa"/>
            <w:left w:w="108" w:type="dxa"/>
            <w:bottom w:w="0" w:type="dxa"/>
            <w:right w:w="108" w:type="dxa"/>
          </w:tblCellMar>
        </w:tblPrEx>
        <w:trPr>
          <w:trHeight w:val="29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restart"/>
            <w:tcBorders>
              <w:top w:val="single" w:color="auto" w:sz="4" w:space="0"/>
              <w:left w:val="single" w:color="auto" w:sz="4" w:space="0"/>
              <w:right w:val="single" w:color="auto" w:sz="4" w:space="0"/>
            </w:tcBorders>
            <w:vAlign w:val="center"/>
          </w:tcPr>
          <w:p>
            <w:pPr>
              <w:rPr>
                <w:rFonts w:eastAsiaTheme="minorEastAsia"/>
                <w:sz w:val="15"/>
                <w:szCs w:val="15"/>
              </w:rPr>
            </w:pPr>
            <w:r>
              <w:rPr>
                <w:rFonts w:hint="eastAsia"/>
                <w:sz w:val="15"/>
                <w:szCs w:val="15"/>
              </w:rPr>
              <w:t>2、职业行为</w:t>
            </w: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在非吸烟区内吸烟发现一次扣0.5分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blPrEx>
          <w:tblCellMar>
            <w:top w:w="0" w:type="dxa"/>
            <w:left w:w="108" w:type="dxa"/>
            <w:bottom w:w="0" w:type="dxa"/>
            <w:right w:w="108" w:type="dxa"/>
          </w:tblCellMar>
        </w:tblPrEx>
        <w:trPr>
          <w:trHeight w:val="242"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随地吐痰发现一次扣0.5分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2</w:t>
            </w:r>
          </w:p>
        </w:tc>
      </w:tr>
      <w:tr>
        <w:tblPrEx>
          <w:tblCellMar>
            <w:top w:w="0" w:type="dxa"/>
            <w:left w:w="108" w:type="dxa"/>
            <w:bottom w:w="0" w:type="dxa"/>
            <w:right w:w="108" w:type="dxa"/>
          </w:tblCellMar>
        </w:tblPrEx>
        <w:trPr>
          <w:trHeight w:val="32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酒后上班或值班饮酒违反一次扣2分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6</w:t>
            </w:r>
          </w:p>
        </w:tc>
      </w:tr>
      <w:tr>
        <w:tblPrEx>
          <w:tblCellMar>
            <w:top w:w="0" w:type="dxa"/>
            <w:left w:w="108" w:type="dxa"/>
            <w:bottom w:w="0" w:type="dxa"/>
            <w:right w:w="108" w:type="dxa"/>
          </w:tblCellMar>
        </w:tblPrEx>
        <w:trPr>
          <w:trHeight w:val="325"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交接班事项不清楚，提前填写交接班记录的一次扣1分</w:t>
            </w:r>
          </w:p>
        </w:tc>
        <w:tc>
          <w:tcPr>
            <w:tcW w:w="2261" w:type="dxa"/>
            <w:tcBorders>
              <w:top w:val="single" w:color="auto" w:sz="4" w:space="0"/>
              <w:left w:val="single" w:color="auto" w:sz="4" w:space="0"/>
              <w:bottom w:val="single" w:color="auto" w:sz="4" w:space="0"/>
              <w:right w:val="single" w:color="auto" w:sz="4" w:space="0"/>
            </w:tcBorders>
          </w:tcPr>
          <w:p>
            <w:pPr>
              <w:jc w:val="center"/>
              <w:rPr>
                <w:rFonts w:eastAsiaTheme="minorEastAsia"/>
                <w:sz w:val="15"/>
                <w:szCs w:val="15"/>
              </w:rPr>
            </w:pPr>
            <w:r>
              <w:rPr>
                <w:rFonts w:hint="eastAsia"/>
                <w:sz w:val="15"/>
                <w:szCs w:val="15"/>
              </w:rPr>
              <w:t>5</w:t>
            </w:r>
          </w:p>
        </w:tc>
      </w:tr>
      <w:tr>
        <w:tblPrEx>
          <w:tblCellMar>
            <w:top w:w="0" w:type="dxa"/>
            <w:left w:w="108" w:type="dxa"/>
            <w:bottom w:w="0" w:type="dxa"/>
            <w:right w:w="108" w:type="dxa"/>
          </w:tblCellMar>
        </w:tblPrEx>
        <w:trPr>
          <w:trHeight w:val="299"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事实情况与登记情况不一致，违反一次扣1分</w:t>
            </w:r>
          </w:p>
        </w:tc>
        <w:tc>
          <w:tcPr>
            <w:tcW w:w="2261" w:type="dxa"/>
            <w:tcBorders>
              <w:top w:val="single" w:color="auto" w:sz="4" w:space="0"/>
              <w:left w:val="single" w:color="auto" w:sz="4" w:space="0"/>
              <w:bottom w:val="single" w:color="auto" w:sz="4" w:space="0"/>
              <w:right w:val="single" w:color="auto" w:sz="4" w:space="0"/>
            </w:tcBorders>
          </w:tcPr>
          <w:p>
            <w:pPr>
              <w:jc w:val="center"/>
              <w:rPr>
                <w:sz w:val="15"/>
                <w:szCs w:val="15"/>
              </w:rPr>
            </w:pPr>
            <w:r>
              <w:rPr>
                <w:rFonts w:hint="eastAsia"/>
                <w:sz w:val="15"/>
                <w:szCs w:val="15"/>
              </w:rPr>
              <w:t>5</w:t>
            </w:r>
          </w:p>
        </w:tc>
      </w:tr>
      <w:tr>
        <w:tblPrEx>
          <w:tblCellMar>
            <w:top w:w="0" w:type="dxa"/>
            <w:left w:w="108" w:type="dxa"/>
            <w:bottom w:w="0" w:type="dxa"/>
            <w:right w:w="108" w:type="dxa"/>
          </w:tblCellMar>
        </w:tblPrEx>
        <w:trPr>
          <w:trHeight w:val="298"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没有按时巡查一次扣1分</w:t>
            </w:r>
          </w:p>
        </w:tc>
        <w:tc>
          <w:tcPr>
            <w:tcW w:w="2261" w:type="dxa"/>
            <w:tcBorders>
              <w:top w:val="single" w:color="auto" w:sz="4" w:space="0"/>
              <w:left w:val="single" w:color="auto" w:sz="4" w:space="0"/>
              <w:bottom w:val="single" w:color="auto" w:sz="4" w:space="0"/>
              <w:right w:val="single" w:color="auto" w:sz="4" w:space="0"/>
            </w:tcBorders>
          </w:tcPr>
          <w:p>
            <w:pPr>
              <w:jc w:val="center"/>
              <w:rPr>
                <w:sz w:val="15"/>
                <w:szCs w:val="15"/>
              </w:rPr>
            </w:pPr>
            <w:r>
              <w:rPr>
                <w:rFonts w:hint="eastAsia"/>
                <w:sz w:val="15"/>
                <w:szCs w:val="15"/>
              </w:rPr>
              <w:t>5</w:t>
            </w:r>
          </w:p>
        </w:tc>
      </w:tr>
      <w:tr>
        <w:tblPrEx>
          <w:tblCellMar>
            <w:top w:w="0" w:type="dxa"/>
            <w:left w:w="108" w:type="dxa"/>
            <w:bottom w:w="0" w:type="dxa"/>
            <w:right w:w="108" w:type="dxa"/>
          </w:tblCellMar>
        </w:tblPrEx>
        <w:trPr>
          <w:trHeight w:val="260"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巡查记录弄虚作假的违反一次扣1分</w:t>
            </w:r>
          </w:p>
        </w:tc>
        <w:tc>
          <w:tcPr>
            <w:tcW w:w="2261" w:type="dxa"/>
            <w:tcBorders>
              <w:top w:val="single" w:color="auto" w:sz="4" w:space="0"/>
              <w:left w:val="single" w:color="auto" w:sz="4" w:space="0"/>
              <w:bottom w:val="single" w:color="auto" w:sz="4" w:space="0"/>
              <w:right w:val="single" w:color="auto" w:sz="4" w:space="0"/>
            </w:tcBorders>
          </w:tcPr>
          <w:p>
            <w:pPr>
              <w:jc w:val="center"/>
              <w:rPr>
                <w:sz w:val="15"/>
                <w:szCs w:val="15"/>
              </w:rPr>
            </w:pPr>
            <w:r>
              <w:rPr>
                <w:rFonts w:hint="eastAsia"/>
                <w:sz w:val="15"/>
                <w:szCs w:val="15"/>
              </w:rPr>
              <w:t>5</w:t>
            </w:r>
          </w:p>
        </w:tc>
      </w:tr>
      <w:tr>
        <w:tblPrEx>
          <w:tblCellMar>
            <w:top w:w="0" w:type="dxa"/>
            <w:left w:w="108" w:type="dxa"/>
            <w:bottom w:w="0" w:type="dxa"/>
            <w:right w:w="108" w:type="dxa"/>
          </w:tblCellMar>
        </w:tblPrEx>
        <w:trPr>
          <w:trHeight w:val="389"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按时开关纪念馆和游客中心大门，未按规定执行一次扣3分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blPrEx>
          <w:tblCellMar>
            <w:top w:w="0" w:type="dxa"/>
            <w:left w:w="108" w:type="dxa"/>
            <w:bottom w:w="0" w:type="dxa"/>
            <w:right w:w="108" w:type="dxa"/>
          </w:tblCellMar>
        </w:tblPrEx>
        <w:trPr>
          <w:trHeight w:val="849"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纪念园有不安全行为等事件发生，不及时到场维护秩序、保护现场、保护纪念园工作人员及财产安全，发生一次扣分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5</w:t>
            </w:r>
          </w:p>
        </w:tc>
      </w:tr>
      <w:tr>
        <w:tblPrEx>
          <w:tblCellMar>
            <w:top w:w="0" w:type="dxa"/>
            <w:left w:w="108" w:type="dxa"/>
            <w:bottom w:w="0" w:type="dxa"/>
            <w:right w:w="108" w:type="dxa"/>
          </w:tblCellMar>
        </w:tblPrEx>
        <w:trPr>
          <w:trHeight w:val="876"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值班人员要做到依法文明执勤、态度端正、礼貌待人。如因态度生硬、不文明、不礼貌而引发的纠纷和投诉的发生一次扣1分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5</w:t>
            </w:r>
          </w:p>
        </w:tc>
      </w:tr>
      <w:tr>
        <w:tblPrEx>
          <w:tblCellMar>
            <w:top w:w="0" w:type="dxa"/>
            <w:left w:w="108" w:type="dxa"/>
            <w:bottom w:w="0" w:type="dxa"/>
            <w:right w:w="108" w:type="dxa"/>
          </w:tblCellMar>
        </w:tblPrEx>
        <w:trPr>
          <w:trHeight w:val="429"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上班期间与游客发生口角争执的一次扣1分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5</w:t>
            </w:r>
          </w:p>
        </w:tc>
      </w:tr>
      <w:tr>
        <w:tblPrEx>
          <w:tblCellMar>
            <w:top w:w="0" w:type="dxa"/>
            <w:left w:w="108" w:type="dxa"/>
            <w:bottom w:w="0" w:type="dxa"/>
            <w:right w:w="108" w:type="dxa"/>
          </w:tblCellMar>
        </w:tblPrEx>
        <w:trPr>
          <w:trHeight w:val="420"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上班时间与游客发生打架斗殴事件的一次扣5分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10</w:t>
            </w:r>
          </w:p>
        </w:tc>
      </w:tr>
      <w:tr>
        <w:tblPrEx>
          <w:tblCellMar>
            <w:top w:w="0" w:type="dxa"/>
            <w:left w:w="108" w:type="dxa"/>
            <w:bottom w:w="0" w:type="dxa"/>
            <w:right w:w="108" w:type="dxa"/>
          </w:tblCellMar>
        </w:tblPrEx>
        <w:trPr>
          <w:trHeight w:val="467"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值班期间严禁打牌、赌博和变相赌博发现一次扣1分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blPrEx>
          <w:tblCellMar>
            <w:top w:w="0" w:type="dxa"/>
            <w:left w:w="108" w:type="dxa"/>
            <w:bottom w:w="0" w:type="dxa"/>
            <w:right w:w="108" w:type="dxa"/>
          </w:tblCellMar>
        </w:tblPrEx>
        <w:trPr>
          <w:trHeight w:val="319"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不按规定参加消防技能培训的一次扣0.5分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blPrEx>
          <w:tblCellMar>
            <w:top w:w="0" w:type="dxa"/>
            <w:left w:w="108" w:type="dxa"/>
            <w:bottom w:w="0" w:type="dxa"/>
            <w:right w:w="108" w:type="dxa"/>
          </w:tblCellMar>
        </w:tblPrEx>
        <w:trPr>
          <w:trHeight w:val="397"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值班岗位必须保持通讯畅通，未做到一次扣0.5分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blPrEx>
          <w:tblCellMar>
            <w:top w:w="0" w:type="dxa"/>
            <w:left w:w="108" w:type="dxa"/>
            <w:bottom w:w="0" w:type="dxa"/>
            <w:right w:w="108" w:type="dxa"/>
          </w:tblCellMar>
        </w:tblPrEx>
        <w:trPr>
          <w:trHeight w:val="892"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bottom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eastAsiaTheme="minorEastAsia"/>
                <w:sz w:val="15"/>
                <w:szCs w:val="15"/>
              </w:rPr>
            </w:pPr>
            <w:r>
              <w:rPr>
                <w:rFonts w:hint="eastAsia" w:ascii="宋体"/>
                <w:sz w:val="15"/>
                <w:szCs w:val="15"/>
              </w:rPr>
              <w:t>认真学习纪念园和上级部门下发的文件、规定， 相关的法律法规，并有学习记录。无故缺席开会、无记录一次扣1分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rPr>
          <w:trHeight w:val="573"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restart"/>
            <w:tcBorders>
              <w:top w:val="single" w:color="auto" w:sz="4" w:space="0"/>
              <w:left w:val="single" w:color="auto" w:sz="4" w:space="0"/>
              <w:right w:val="single" w:color="auto" w:sz="4" w:space="0"/>
            </w:tcBorders>
            <w:vAlign w:val="center"/>
          </w:tcPr>
          <w:p>
            <w:pPr>
              <w:rPr>
                <w:rFonts w:eastAsiaTheme="minorEastAsia"/>
                <w:sz w:val="15"/>
                <w:szCs w:val="15"/>
              </w:rPr>
            </w:pPr>
            <w:r>
              <w:rPr>
                <w:rFonts w:hint="eastAsia"/>
                <w:sz w:val="15"/>
                <w:szCs w:val="15"/>
              </w:rPr>
              <w:t>3、停车场管理</w:t>
            </w: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做好停车管理工作，做到车辆摆放整齐、有序。违反一次扣1</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3</w:t>
            </w:r>
          </w:p>
        </w:tc>
      </w:tr>
      <w:tr>
        <w:trPr>
          <w:trHeight w:val="58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保障消防、急救、物质、垃圾收集转运等通道畅通，发生通道阻塞一次扣2分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6</w:t>
            </w:r>
          </w:p>
        </w:tc>
      </w:tr>
      <w:tr>
        <w:tblPrEx>
          <w:tblCellMar>
            <w:top w:w="0" w:type="dxa"/>
            <w:left w:w="108" w:type="dxa"/>
            <w:bottom w:w="0" w:type="dxa"/>
            <w:right w:w="108" w:type="dxa"/>
          </w:tblCellMar>
        </w:tblPrEx>
        <w:trPr>
          <w:trHeight w:val="545"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vMerge w:val="continue"/>
            <w:tcBorders>
              <w:left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5"/>
                <w:szCs w:val="15"/>
              </w:rPr>
            </w:pPr>
            <w:r>
              <w:rPr>
                <w:rFonts w:hint="eastAsia" w:ascii="宋体"/>
                <w:sz w:val="15"/>
                <w:szCs w:val="15"/>
              </w:rPr>
              <w:t>发生紧急情况要以最快的速度到达现场，未按规定时间到场的一次扣2.5分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5"/>
                <w:szCs w:val="15"/>
              </w:rPr>
            </w:pPr>
            <w:r>
              <w:rPr>
                <w:rFonts w:hint="eastAsia"/>
                <w:sz w:val="15"/>
                <w:szCs w:val="15"/>
              </w:rPr>
              <w:t>5</w:t>
            </w:r>
          </w:p>
        </w:tc>
      </w:tr>
      <w:tr>
        <w:tblPrEx>
          <w:tblCellMar>
            <w:top w:w="0" w:type="dxa"/>
            <w:left w:w="108" w:type="dxa"/>
            <w:bottom w:w="0" w:type="dxa"/>
            <w:right w:w="108" w:type="dxa"/>
          </w:tblCellMar>
        </w:tblPrEx>
        <w:trPr>
          <w:trHeight w:val="492"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rPr>
                <w:sz w:val="15"/>
                <w:szCs w:val="15"/>
              </w:rPr>
            </w:pPr>
          </w:p>
        </w:tc>
        <w:tc>
          <w:tcPr>
            <w:tcW w:w="2075" w:type="dxa"/>
            <w:tcBorders>
              <w:left w:val="single" w:color="auto" w:sz="4" w:space="0"/>
              <w:bottom w:val="single" w:color="auto" w:sz="4" w:space="0"/>
              <w:right w:val="single" w:color="auto" w:sz="4" w:space="0"/>
            </w:tcBorders>
            <w:vAlign w:val="center"/>
          </w:tcPr>
          <w:p>
            <w:pPr>
              <w:rPr>
                <w:sz w:val="15"/>
                <w:szCs w:val="15"/>
              </w:rPr>
            </w:pPr>
          </w:p>
        </w:tc>
        <w:tc>
          <w:tcPr>
            <w:tcW w:w="3801" w:type="dxa"/>
            <w:tcBorders>
              <w:top w:val="single" w:color="auto" w:sz="4" w:space="0"/>
              <w:left w:val="single" w:color="auto" w:sz="4" w:space="0"/>
              <w:bottom w:val="single" w:color="auto" w:sz="4" w:space="0"/>
              <w:right w:val="single" w:color="auto" w:sz="4" w:space="0"/>
            </w:tcBorders>
            <w:vAlign w:val="center"/>
          </w:tcPr>
          <w:p>
            <w:pPr>
              <w:rPr>
                <w:rFonts w:ascii="宋体"/>
                <w:sz w:val="15"/>
                <w:szCs w:val="15"/>
              </w:rPr>
            </w:pPr>
            <w:r>
              <w:rPr>
                <w:rFonts w:hint="eastAsia" w:ascii="宋体"/>
                <w:sz w:val="15"/>
                <w:szCs w:val="15"/>
              </w:rPr>
              <w:t>无法处置时要及时向上级有关部门、领导和派出所报告未上报的违反一次扣1分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rFonts w:hint="eastAsia"/>
                <w:sz w:val="15"/>
                <w:szCs w:val="15"/>
              </w:rPr>
              <w:t>5</w:t>
            </w:r>
          </w:p>
        </w:tc>
      </w:tr>
    </w:tbl>
    <w:p>
      <w:pPr>
        <w:spacing w:line="432" w:lineRule="auto"/>
      </w:pPr>
    </w:p>
    <w:p>
      <w:r>
        <w:rPr>
          <w:rFonts w:hint="eastAsia"/>
          <w:szCs w:val="24"/>
        </w:rPr>
        <w:t>4.2</w:t>
      </w:r>
      <w:r>
        <w:rPr>
          <w:rFonts w:hint="eastAsia" w:ascii="宋体"/>
          <w:szCs w:val="24"/>
        </w:rPr>
        <w:t>环境维护考核细则</w:t>
      </w:r>
    </w:p>
    <w:tbl>
      <w:tblPr>
        <w:tblStyle w:val="20"/>
        <w:tblW w:w="9349" w:type="dxa"/>
        <w:jc w:val="center"/>
        <w:tblLayout w:type="fixed"/>
        <w:tblCellMar>
          <w:top w:w="0" w:type="dxa"/>
          <w:left w:w="108" w:type="dxa"/>
          <w:bottom w:w="0" w:type="dxa"/>
          <w:right w:w="108" w:type="dxa"/>
        </w:tblCellMar>
      </w:tblPr>
      <w:tblGrid>
        <w:gridCol w:w="1212"/>
        <w:gridCol w:w="2075"/>
        <w:gridCol w:w="3801"/>
        <w:gridCol w:w="2261"/>
      </w:tblGrid>
      <w:tr>
        <w:tblPrEx>
          <w:tblCellMar>
            <w:top w:w="0" w:type="dxa"/>
            <w:left w:w="108" w:type="dxa"/>
            <w:bottom w:w="0" w:type="dxa"/>
            <w:right w:w="108" w:type="dxa"/>
          </w:tblCellMar>
        </w:tblPrEx>
        <w:trPr>
          <w:trHeight w:val="1003"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rPr>
                <w:b/>
                <w:bCs/>
                <w:szCs w:val="24"/>
              </w:rPr>
            </w:pPr>
            <w:r>
              <w:rPr>
                <w:rFonts w:hint="eastAsia"/>
                <w:b/>
                <w:bCs/>
                <w:szCs w:val="24"/>
              </w:rPr>
              <w:t>作业范围</w:t>
            </w:r>
          </w:p>
        </w:tc>
        <w:tc>
          <w:tcPr>
            <w:tcW w:w="2075" w:type="dxa"/>
            <w:tcBorders>
              <w:top w:val="single" w:color="auto" w:sz="4" w:space="0"/>
              <w:left w:val="nil"/>
              <w:bottom w:val="single" w:color="auto" w:sz="4" w:space="0"/>
              <w:right w:val="single" w:color="auto" w:sz="4" w:space="0"/>
            </w:tcBorders>
            <w:vAlign w:val="center"/>
          </w:tcPr>
          <w:p>
            <w:pPr>
              <w:rPr>
                <w:b/>
                <w:bCs/>
                <w:szCs w:val="24"/>
              </w:rPr>
            </w:pPr>
            <w:r>
              <w:rPr>
                <w:rFonts w:hint="eastAsia"/>
                <w:b/>
                <w:bCs/>
                <w:szCs w:val="24"/>
              </w:rPr>
              <w:t>作业具体对象</w:t>
            </w:r>
          </w:p>
        </w:tc>
        <w:tc>
          <w:tcPr>
            <w:tcW w:w="3801" w:type="dxa"/>
            <w:tcBorders>
              <w:top w:val="single" w:color="auto" w:sz="4" w:space="0"/>
              <w:left w:val="nil"/>
              <w:bottom w:val="single" w:color="auto" w:sz="4" w:space="0"/>
              <w:right w:val="single" w:color="auto" w:sz="4" w:space="0"/>
            </w:tcBorders>
            <w:vAlign w:val="center"/>
          </w:tcPr>
          <w:p>
            <w:pPr>
              <w:rPr>
                <w:b/>
                <w:bCs/>
                <w:szCs w:val="24"/>
              </w:rPr>
            </w:pPr>
            <w:r>
              <w:rPr>
                <w:rFonts w:hint="eastAsia"/>
                <w:b/>
                <w:bCs/>
                <w:szCs w:val="24"/>
              </w:rPr>
              <w:t>作业要求、考核质量标准</w:t>
            </w:r>
          </w:p>
        </w:tc>
        <w:tc>
          <w:tcPr>
            <w:tcW w:w="2261" w:type="dxa"/>
            <w:tcBorders>
              <w:top w:val="single" w:color="auto" w:sz="4" w:space="0"/>
              <w:left w:val="nil"/>
              <w:bottom w:val="single" w:color="auto" w:sz="4" w:space="0"/>
              <w:right w:val="single" w:color="auto" w:sz="4" w:space="0"/>
            </w:tcBorders>
            <w:vAlign w:val="center"/>
          </w:tcPr>
          <w:p>
            <w:pPr>
              <w:rPr>
                <w:b/>
                <w:bCs/>
                <w:szCs w:val="24"/>
              </w:rPr>
            </w:pPr>
            <w:r>
              <w:rPr>
                <w:rFonts w:hint="eastAsia"/>
                <w:b/>
                <w:bCs/>
                <w:szCs w:val="24"/>
              </w:rPr>
              <w:t>每次考核扣分标准（分）</w:t>
            </w:r>
          </w:p>
        </w:tc>
      </w:tr>
      <w:tr>
        <w:tblPrEx>
          <w:tblCellMar>
            <w:top w:w="0" w:type="dxa"/>
            <w:left w:w="108" w:type="dxa"/>
            <w:bottom w:w="0" w:type="dxa"/>
            <w:right w:w="108" w:type="dxa"/>
          </w:tblCellMar>
        </w:tblPrEx>
        <w:trPr>
          <w:trHeight w:val="874" w:hRule="atLeast"/>
          <w:jc w:val="center"/>
        </w:trPr>
        <w:tc>
          <w:tcPr>
            <w:tcW w:w="1212"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一、纪念馆、游客服务中心、指挥所</w:t>
            </w: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1、地面、梯步、梯坎</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随脏随清扫，循环环境维护.地胶地面禁止用钢丝球擦。润拖，无纸屑、果皮、烟头、污迹等污物垃圾，无积水或明显的水印。发现一处扣0.5分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r>
      <w:tr>
        <w:tblPrEx>
          <w:tblCellMar>
            <w:top w:w="0" w:type="dxa"/>
            <w:left w:w="108" w:type="dxa"/>
            <w:bottom w:w="0" w:type="dxa"/>
            <w:right w:w="108" w:type="dxa"/>
          </w:tblCellMar>
        </w:tblPrEx>
        <w:trPr>
          <w:trHeight w:val="779"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2、墙面、墙群、平台、展柜</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无污迹、无尘、无蜘蛛网，无水印，干净，发现一处扣0.5分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r>
      <w:tr>
        <w:tblPrEx>
          <w:tblCellMar>
            <w:top w:w="0" w:type="dxa"/>
            <w:left w:w="108" w:type="dxa"/>
            <w:bottom w:w="0" w:type="dxa"/>
            <w:right w:w="108" w:type="dxa"/>
          </w:tblCellMar>
        </w:tblPrEx>
        <w:trPr>
          <w:trHeight w:val="16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3、玻璃、窗户、门</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无污迹、无尘、无蜘蛛网，无水印，干净明亮发现一处扣0.5分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r>
      <w:tr>
        <w:tblPrEx>
          <w:tblCellMar>
            <w:top w:w="0" w:type="dxa"/>
            <w:left w:w="108" w:type="dxa"/>
            <w:bottom w:w="0" w:type="dxa"/>
            <w:right w:w="108" w:type="dxa"/>
          </w:tblCellMar>
        </w:tblPrEx>
        <w:trPr>
          <w:trHeight w:val="385"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4、天花板</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无蜘蛛网、无尘发现一处扣0.5分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r>
      <w:tr>
        <w:tblPrEx>
          <w:tblCellMar>
            <w:top w:w="0" w:type="dxa"/>
            <w:left w:w="108" w:type="dxa"/>
            <w:bottom w:w="0" w:type="dxa"/>
            <w:right w:w="108" w:type="dxa"/>
          </w:tblCellMar>
        </w:tblPrEx>
        <w:trPr>
          <w:trHeight w:val="84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5、展板、消防栓、配电箱、网络箱、各种管道设施</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表面无污迹、无尘、无蜘蛛网，干净未达标发现一处扣0.5分</w:t>
            </w:r>
          </w:p>
        </w:tc>
        <w:tc>
          <w:tcPr>
            <w:tcW w:w="2261"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42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6、休息椅</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无污迹、无尘、无蜘蛛网，干净未达标发现一处扣0.5分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rPr>
          <w:trHeight w:val="792"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7、灯具、开关、插座、开水器、饮水机、悬挂架</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无蜘蛛网、无尘、无污迹发现一处扣0.5分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546"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8、垃圾桶、篓、箱</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完好，无破损，表面无残留污迹、无尘，干净，发现一处扣0.5分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750"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9、办公室、会议室、多功能报告厅桌椅、设备</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抽屉、表面无尘、无污迹，摆放符合会议要求，整齐美观未按规定执行发现一处扣1分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492"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10、空调、电扇</w:t>
            </w:r>
          </w:p>
        </w:tc>
        <w:tc>
          <w:tcPr>
            <w:tcW w:w="380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表面无尘、无污迹未达标发现一处扣0.5</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692"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11、桌、椅、凳、货架、家具电脑、打印机、复印机</w:t>
            </w:r>
          </w:p>
        </w:tc>
        <w:tc>
          <w:tcPr>
            <w:tcW w:w="380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无污迹、无尘、干净未达标发现一处扣0.5分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785"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12、清洗池、洗手池、洗手盆、拖布池、污物池</w:t>
            </w:r>
          </w:p>
        </w:tc>
        <w:tc>
          <w:tcPr>
            <w:tcW w:w="380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无杂物、无垃圾、无垢、无污迹、光洁，地漏完好复位不达标一处扣0.5分</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413" w:hRule="atLeast"/>
          <w:jc w:val="center"/>
        </w:trPr>
        <w:tc>
          <w:tcPr>
            <w:tcW w:w="1212"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二、卫生间</w:t>
            </w:r>
          </w:p>
        </w:tc>
        <w:tc>
          <w:tcPr>
            <w:tcW w:w="20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18"/>
                <w:szCs w:val="18"/>
              </w:rPr>
            </w:pPr>
            <w:r>
              <w:rPr>
                <w:rFonts w:hint="eastAsia"/>
                <w:sz w:val="18"/>
                <w:szCs w:val="18"/>
              </w:rPr>
              <w:t>1、地垫</w:t>
            </w:r>
          </w:p>
        </w:tc>
        <w:tc>
          <w:tcPr>
            <w:tcW w:w="380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无垃圾、污迹、无泥土，干净未达标发现一处扣0.5分</w:t>
            </w:r>
          </w:p>
        </w:tc>
        <w:tc>
          <w:tcPr>
            <w:tcW w:w="2261" w:type="dxa"/>
            <w:tcBorders>
              <w:top w:val="single" w:color="auto" w:sz="4" w:space="0"/>
              <w:left w:val="single" w:color="auto" w:sz="4" w:space="0"/>
              <w:bottom w:val="single" w:color="auto" w:sz="4" w:space="0"/>
              <w:right w:val="single" w:color="auto" w:sz="4" w:space="0"/>
            </w:tcBorders>
            <w:noWrap/>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43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18"/>
                <w:szCs w:val="18"/>
              </w:rPr>
            </w:pPr>
            <w:r>
              <w:rPr>
                <w:rFonts w:hint="eastAsia"/>
                <w:sz w:val="18"/>
                <w:szCs w:val="18"/>
              </w:rPr>
              <w:t>2、蹲位隔断</w:t>
            </w:r>
          </w:p>
        </w:tc>
        <w:tc>
          <w:tcPr>
            <w:tcW w:w="380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无小广告、无尘、无污迹未达标发现一处扣0.5分</w:t>
            </w:r>
          </w:p>
        </w:tc>
        <w:tc>
          <w:tcPr>
            <w:tcW w:w="2261" w:type="dxa"/>
            <w:tcBorders>
              <w:top w:val="single" w:color="auto" w:sz="4" w:space="0"/>
              <w:left w:val="single" w:color="auto" w:sz="4" w:space="0"/>
              <w:bottom w:val="single" w:color="auto" w:sz="4" w:space="0"/>
              <w:right w:val="single" w:color="auto" w:sz="4" w:space="0"/>
            </w:tcBorders>
            <w:noWrap/>
            <w:vAlign w:val="center"/>
          </w:tcPr>
          <w:p>
            <w:pPr>
              <w:jc w:val="center"/>
              <w:rPr>
                <w:sz w:val="18"/>
                <w:szCs w:val="18"/>
              </w:rPr>
            </w:pPr>
            <w:r>
              <w:rPr>
                <w:rFonts w:hint="eastAsia"/>
                <w:sz w:val="18"/>
                <w:szCs w:val="18"/>
              </w:rPr>
              <w:t>2</w:t>
            </w:r>
          </w:p>
        </w:tc>
      </w:tr>
      <w:tr>
        <w:tblPrEx>
          <w:tblCellMar>
            <w:top w:w="0" w:type="dxa"/>
            <w:left w:w="108" w:type="dxa"/>
            <w:bottom w:w="0" w:type="dxa"/>
            <w:right w:w="108" w:type="dxa"/>
          </w:tblCellMar>
        </w:tblPrEx>
        <w:trPr>
          <w:trHeight w:val="274"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18"/>
                <w:szCs w:val="18"/>
              </w:rPr>
            </w:pPr>
            <w:r>
              <w:rPr>
                <w:rFonts w:hint="eastAsia"/>
                <w:sz w:val="18"/>
                <w:szCs w:val="18"/>
              </w:rPr>
              <w:t>3、便池、坐便器</w:t>
            </w:r>
          </w:p>
        </w:tc>
        <w:tc>
          <w:tcPr>
            <w:tcW w:w="380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无大小便堆积、无尿垢、污迹，光洁、无异味，使用良好，不能正常使用时及时报告。未达标发现一处扣0.5分</w:t>
            </w:r>
          </w:p>
        </w:tc>
        <w:tc>
          <w:tcPr>
            <w:tcW w:w="2261" w:type="dxa"/>
            <w:tcBorders>
              <w:top w:val="single" w:color="auto" w:sz="4" w:space="0"/>
              <w:left w:val="single" w:color="auto" w:sz="4" w:space="0"/>
              <w:bottom w:val="single" w:color="auto" w:sz="4" w:space="0"/>
              <w:right w:val="single" w:color="auto" w:sz="4" w:space="0"/>
            </w:tcBorders>
            <w:noWrap/>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558"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18"/>
                <w:szCs w:val="18"/>
              </w:rPr>
            </w:pPr>
            <w:r>
              <w:rPr>
                <w:rFonts w:hint="eastAsia"/>
                <w:sz w:val="18"/>
                <w:szCs w:val="18"/>
              </w:rPr>
              <w:t>4、台面、镜面</w:t>
            </w:r>
          </w:p>
        </w:tc>
        <w:tc>
          <w:tcPr>
            <w:tcW w:w="380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无污迹、无尘、无垢、光亮、干净未达标发现一处扣0.5分</w:t>
            </w:r>
          </w:p>
        </w:tc>
        <w:tc>
          <w:tcPr>
            <w:tcW w:w="2261" w:type="dxa"/>
            <w:tcBorders>
              <w:top w:val="single" w:color="auto" w:sz="4" w:space="0"/>
              <w:left w:val="single" w:color="auto" w:sz="4" w:space="0"/>
              <w:bottom w:val="single" w:color="auto" w:sz="4" w:space="0"/>
              <w:right w:val="single" w:color="auto" w:sz="4" w:space="0"/>
            </w:tcBorders>
            <w:noWrap/>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846" w:hRule="atLeast"/>
          <w:jc w:val="center"/>
        </w:trPr>
        <w:tc>
          <w:tcPr>
            <w:tcW w:w="1212" w:type="dxa"/>
            <w:vMerge w:val="restart"/>
            <w:tcBorders>
              <w:top w:val="single" w:color="auto" w:sz="4" w:space="0"/>
              <w:left w:val="single" w:color="auto" w:sz="4" w:space="0"/>
              <w:bottom w:val="single" w:color="auto" w:sz="4" w:space="0"/>
              <w:right w:val="single" w:color="auto" w:sz="4" w:space="0"/>
            </w:tcBorders>
            <w:noWrap/>
            <w:vAlign w:val="center"/>
          </w:tcPr>
          <w:p>
            <w:pPr>
              <w:rPr>
                <w:sz w:val="18"/>
                <w:szCs w:val="18"/>
              </w:rPr>
            </w:pPr>
            <w:r>
              <w:rPr>
                <w:rFonts w:hint="eastAsia"/>
                <w:sz w:val="18"/>
                <w:szCs w:val="18"/>
              </w:rPr>
              <w:t>三、电梯</w:t>
            </w:r>
          </w:p>
        </w:tc>
        <w:tc>
          <w:tcPr>
            <w:tcW w:w="2075"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1、轿厢地面、地坎、门槽</w:t>
            </w:r>
          </w:p>
        </w:tc>
        <w:tc>
          <w:tcPr>
            <w:tcW w:w="3801"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随脏随清扫，循环环境维护。无果皮、烟头、纸屑等垃圾，无污迹、无尘未达标发现一处扣0.5分</w:t>
            </w:r>
          </w:p>
        </w:tc>
        <w:tc>
          <w:tcPr>
            <w:tcW w:w="226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557"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2、轿厢不锈钢内壁</w:t>
            </w:r>
          </w:p>
        </w:tc>
        <w:tc>
          <w:tcPr>
            <w:tcW w:w="3801"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用专业的清洗抛光剂进行清洗抛光，无污迹、污垢、无手印、无小广告未达标发现一处扣0.5分</w:t>
            </w:r>
          </w:p>
        </w:tc>
        <w:tc>
          <w:tcPr>
            <w:tcW w:w="2261"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r>
      <w:tr>
        <w:tblPrEx>
          <w:tblCellMar>
            <w:top w:w="0" w:type="dxa"/>
            <w:left w:w="108" w:type="dxa"/>
            <w:bottom w:w="0" w:type="dxa"/>
            <w:right w:w="108" w:type="dxa"/>
          </w:tblCellMar>
        </w:tblPrEx>
        <w:trPr>
          <w:trHeight w:val="602"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3、轿厢门、显示器面板、按键</w:t>
            </w:r>
          </w:p>
        </w:tc>
        <w:tc>
          <w:tcPr>
            <w:tcW w:w="3801"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无污迹、污垢、无尘未达标发现一处扣0.5分</w:t>
            </w:r>
          </w:p>
        </w:tc>
        <w:tc>
          <w:tcPr>
            <w:tcW w:w="2261" w:type="dxa"/>
            <w:tcBorders>
              <w:top w:val="single" w:color="auto" w:sz="4" w:space="0"/>
              <w:left w:val="nil"/>
              <w:bottom w:val="single" w:color="auto" w:sz="4" w:space="0"/>
              <w:right w:val="single" w:color="auto" w:sz="4" w:space="0"/>
            </w:tcBorders>
            <w:noWrap/>
            <w:vAlign w:val="center"/>
          </w:tcPr>
          <w:p>
            <w:pPr>
              <w:jc w:val="center"/>
              <w:rPr>
                <w:sz w:val="18"/>
                <w:szCs w:val="18"/>
              </w:rPr>
            </w:pPr>
            <w:r>
              <w:rPr>
                <w:rFonts w:hint="eastAsia"/>
                <w:sz w:val="18"/>
                <w:szCs w:val="18"/>
              </w:rPr>
              <w:t>2</w:t>
            </w:r>
          </w:p>
        </w:tc>
      </w:tr>
      <w:tr>
        <w:tblPrEx>
          <w:tblCellMar>
            <w:top w:w="0" w:type="dxa"/>
            <w:left w:w="108" w:type="dxa"/>
            <w:bottom w:w="0" w:type="dxa"/>
            <w:right w:w="108" w:type="dxa"/>
          </w:tblCellMar>
        </w:tblPrEx>
        <w:trPr>
          <w:trHeight w:val="991" w:hRule="atLeast"/>
          <w:jc w:val="center"/>
        </w:trPr>
        <w:tc>
          <w:tcPr>
            <w:tcW w:w="1212" w:type="dxa"/>
            <w:vMerge w:val="restart"/>
            <w:tcBorders>
              <w:top w:val="nil"/>
              <w:left w:val="single" w:color="auto" w:sz="4" w:space="0"/>
              <w:right w:val="single" w:color="auto" w:sz="4" w:space="0"/>
            </w:tcBorders>
            <w:vAlign w:val="center"/>
          </w:tcPr>
          <w:p>
            <w:pPr>
              <w:rPr>
                <w:sz w:val="18"/>
                <w:szCs w:val="18"/>
              </w:rPr>
            </w:pPr>
          </w:p>
          <w:p>
            <w:pPr>
              <w:rPr>
                <w:sz w:val="18"/>
                <w:szCs w:val="18"/>
              </w:rPr>
            </w:pPr>
          </w:p>
          <w:p>
            <w:pPr>
              <w:rPr>
                <w:sz w:val="18"/>
                <w:szCs w:val="18"/>
              </w:rPr>
            </w:pPr>
            <w:r>
              <w:rPr>
                <w:rFonts w:hint="eastAsia"/>
                <w:sz w:val="18"/>
                <w:szCs w:val="18"/>
              </w:rPr>
              <w:t>四、入口广场、瞻仰大道、纪念广场、碑林、英烈墓园、和平广场等公共区域</w:t>
            </w:r>
          </w:p>
        </w:tc>
        <w:tc>
          <w:tcPr>
            <w:tcW w:w="2075" w:type="dxa"/>
            <w:tcBorders>
              <w:top w:val="nil"/>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1、入口广场、瞻仰大道、纪念广场、烈士墓区、和平广场等公共区域</w:t>
            </w:r>
          </w:p>
        </w:tc>
        <w:tc>
          <w:tcPr>
            <w:tcW w:w="3801"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随脏随清扫，循环环境维护。无果皮、纸屑、烟头、外包装物等各种垃圾，无杂草、无污迹、无积水，干净，无明显浮尘。无流浪的猫、狗。未达标发现一处扣0.5分</w:t>
            </w:r>
          </w:p>
        </w:tc>
        <w:tc>
          <w:tcPr>
            <w:tcW w:w="2261"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752" w:hRule="atLeast"/>
          <w:jc w:val="center"/>
        </w:trPr>
        <w:tc>
          <w:tcPr>
            <w:tcW w:w="1212" w:type="dxa"/>
            <w:vMerge w:val="continue"/>
            <w:tcBorders>
              <w:left w:val="single" w:color="auto" w:sz="4" w:space="0"/>
              <w:right w:val="single" w:color="auto" w:sz="4" w:space="0"/>
            </w:tcBorders>
            <w:vAlign w:val="center"/>
          </w:tcPr>
          <w:p>
            <w:pPr>
              <w:rPr>
                <w:sz w:val="18"/>
                <w:szCs w:val="18"/>
              </w:rPr>
            </w:pPr>
          </w:p>
        </w:tc>
        <w:tc>
          <w:tcPr>
            <w:tcW w:w="2075" w:type="dxa"/>
            <w:tcBorders>
              <w:top w:val="nil"/>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2、花园、花台、平台</w:t>
            </w:r>
          </w:p>
        </w:tc>
        <w:tc>
          <w:tcPr>
            <w:tcW w:w="3801"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边缘瓷砖干净，花台、花园内无果皮、烟头、纸屑等垃圾未达标发现一处扣0.5分</w:t>
            </w:r>
          </w:p>
        </w:tc>
        <w:tc>
          <w:tcPr>
            <w:tcW w:w="2261" w:type="dxa"/>
            <w:vMerge w:val="restart"/>
            <w:tcBorders>
              <w:top w:val="nil"/>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768" w:hRule="atLeast"/>
          <w:jc w:val="center"/>
        </w:trPr>
        <w:tc>
          <w:tcPr>
            <w:tcW w:w="1212" w:type="dxa"/>
            <w:vMerge w:val="continue"/>
            <w:tcBorders>
              <w:left w:val="single" w:color="auto" w:sz="4" w:space="0"/>
              <w:right w:val="single" w:color="auto" w:sz="4" w:space="0"/>
            </w:tcBorders>
            <w:vAlign w:val="center"/>
          </w:tcPr>
          <w:p>
            <w:pPr>
              <w:rPr>
                <w:sz w:val="18"/>
                <w:szCs w:val="18"/>
              </w:rPr>
            </w:pPr>
          </w:p>
        </w:tc>
        <w:tc>
          <w:tcPr>
            <w:tcW w:w="2075"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3、沟、坎</w:t>
            </w:r>
          </w:p>
        </w:tc>
        <w:tc>
          <w:tcPr>
            <w:tcW w:w="3801"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无果皮、纸屑、烟头，无污迹、无积水、无杂草，干净未达标发现一处扣0.5分</w:t>
            </w:r>
          </w:p>
        </w:tc>
        <w:tc>
          <w:tcPr>
            <w:tcW w:w="2261"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CellMar>
            <w:top w:w="0" w:type="dxa"/>
            <w:left w:w="108" w:type="dxa"/>
            <w:bottom w:w="0" w:type="dxa"/>
            <w:right w:w="108" w:type="dxa"/>
          </w:tblCellMar>
        </w:tblPrEx>
        <w:trPr>
          <w:trHeight w:val="540" w:hRule="atLeast"/>
          <w:jc w:val="center"/>
        </w:trPr>
        <w:tc>
          <w:tcPr>
            <w:tcW w:w="1212" w:type="dxa"/>
            <w:vMerge w:val="continue"/>
            <w:tcBorders>
              <w:left w:val="single" w:color="auto" w:sz="4" w:space="0"/>
              <w:right w:val="single" w:color="auto" w:sz="4" w:space="0"/>
            </w:tcBorders>
            <w:vAlign w:val="center"/>
          </w:tcPr>
          <w:p>
            <w:pPr>
              <w:rPr>
                <w:sz w:val="18"/>
                <w:szCs w:val="18"/>
              </w:rPr>
            </w:pPr>
          </w:p>
        </w:tc>
        <w:tc>
          <w:tcPr>
            <w:tcW w:w="2075"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4、墙面、屋檐</w:t>
            </w:r>
          </w:p>
        </w:tc>
        <w:tc>
          <w:tcPr>
            <w:tcW w:w="3801"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无污迹、无积尘、无蜘蛛网，干净，未达标发现一处扣0.5分</w:t>
            </w:r>
          </w:p>
        </w:tc>
        <w:tc>
          <w:tcPr>
            <w:tcW w:w="2261" w:type="dxa"/>
            <w:vMerge w:val="restart"/>
            <w:tcBorders>
              <w:top w:val="nil"/>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322" w:hRule="atLeast"/>
          <w:jc w:val="center"/>
        </w:trPr>
        <w:tc>
          <w:tcPr>
            <w:tcW w:w="1212" w:type="dxa"/>
            <w:vMerge w:val="continue"/>
            <w:tcBorders>
              <w:left w:val="single" w:color="auto" w:sz="4" w:space="0"/>
              <w:right w:val="single" w:color="auto" w:sz="4" w:space="0"/>
            </w:tcBorders>
            <w:vAlign w:val="center"/>
          </w:tcPr>
          <w:p>
            <w:pPr>
              <w:rPr>
                <w:sz w:val="18"/>
                <w:szCs w:val="18"/>
              </w:rPr>
            </w:pPr>
          </w:p>
        </w:tc>
        <w:tc>
          <w:tcPr>
            <w:tcW w:w="2075"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5、路灯设施</w:t>
            </w:r>
          </w:p>
        </w:tc>
        <w:tc>
          <w:tcPr>
            <w:tcW w:w="3801"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无污迹、无积尘、无蜘蛛网，干净，未达标一处扣0.5分</w:t>
            </w:r>
          </w:p>
        </w:tc>
        <w:tc>
          <w:tcPr>
            <w:tcW w:w="2261"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r>
      <w:tr>
        <w:trPr>
          <w:trHeight w:val="428" w:hRule="atLeast"/>
          <w:jc w:val="center"/>
        </w:trPr>
        <w:tc>
          <w:tcPr>
            <w:tcW w:w="1212" w:type="dxa"/>
            <w:vMerge w:val="continue"/>
            <w:tcBorders>
              <w:left w:val="single" w:color="auto" w:sz="4" w:space="0"/>
              <w:bottom w:val="single" w:color="000000" w:sz="4" w:space="0"/>
              <w:right w:val="single" w:color="auto" w:sz="4" w:space="0"/>
            </w:tcBorders>
            <w:vAlign w:val="center"/>
          </w:tcPr>
          <w:p>
            <w:pPr>
              <w:rPr>
                <w:sz w:val="18"/>
                <w:szCs w:val="18"/>
              </w:rPr>
            </w:pPr>
          </w:p>
        </w:tc>
        <w:tc>
          <w:tcPr>
            <w:tcW w:w="2075"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6、除四害</w:t>
            </w:r>
          </w:p>
        </w:tc>
        <w:tc>
          <w:tcPr>
            <w:tcW w:w="3801" w:type="dxa"/>
            <w:tcBorders>
              <w:top w:val="nil"/>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及时、有效，有记录未达标发现一处扣0.5分</w:t>
            </w:r>
          </w:p>
        </w:tc>
        <w:tc>
          <w:tcPr>
            <w:tcW w:w="2261"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2</w:t>
            </w:r>
          </w:p>
        </w:tc>
      </w:tr>
      <w:tr>
        <w:trPr>
          <w:trHeight w:val="960" w:hRule="atLeast"/>
          <w:jc w:val="center"/>
        </w:trPr>
        <w:tc>
          <w:tcPr>
            <w:tcW w:w="1212" w:type="dxa"/>
            <w:vMerge w:val="restart"/>
            <w:tcBorders>
              <w:top w:val="nil"/>
              <w:left w:val="single" w:color="auto" w:sz="4" w:space="0"/>
              <w:bottom w:val="nil"/>
              <w:right w:val="single" w:color="auto" w:sz="4" w:space="0"/>
            </w:tcBorders>
            <w:vAlign w:val="center"/>
          </w:tcPr>
          <w:p>
            <w:pPr>
              <w:rPr>
                <w:sz w:val="18"/>
                <w:szCs w:val="18"/>
              </w:rPr>
            </w:pPr>
            <w:r>
              <w:rPr>
                <w:rFonts w:hint="eastAsia"/>
                <w:sz w:val="18"/>
                <w:szCs w:val="18"/>
              </w:rPr>
              <w:t>五、生活垃圾</w:t>
            </w:r>
          </w:p>
        </w:tc>
        <w:tc>
          <w:tcPr>
            <w:tcW w:w="2075"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1、生活垃圾篓的配置</w:t>
            </w:r>
          </w:p>
        </w:tc>
        <w:tc>
          <w:tcPr>
            <w:tcW w:w="3801"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生活垃圾篓5个：游客中心1个、纪念馆底楼2个，纪念馆2楼2个，摆放合理，损坏及时更换。未达标发现一处扣0.5分</w:t>
            </w:r>
          </w:p>
        </w:tc>
        <w:tc>
          <w:tcPr>
            <w:tcW w:w="2261" w:type="dxa"/>
            <w:tcBorders>
              <w:top w:val="single" w:color="auto" w:sz="4" w:space="0"/>
              <w:left w:val="nil"/>
              <w:bottom w:val="single" w:color="auto" w:sz="4" w:space="0"/>
              <w:right w:val="single" w:color="auto" w:sz="4" w:space="0"/>
            </w:tcBorders>
            <w:noWrap/>
            <w:vAlign w:val="center"/>
          </w:tcPr>
          <w:p>
            <w:pPr>
              <w:jc w:val="center"/>
              <w:rPr>
                <w:sz w:val="18"/>
                <w:szCs w:val="18"/>
              </w:rPr>
            </w:pPr>
            <w:r>
              <w:rPr>
                <w:rFonts w:hint="eastAsia"/>
                <w:sz w:val="18"/>
                <w:szCs w:val="18"/>
              </w:rPr>
              <w:t>5</w:t>
            </w:r>
          </w:p>
        </w:tc>
      </w:tr>
      <w:tr>
        <w:tblPrEx>
          <w:tblCellMar>
            <w:top w:w="0" w:type="dxa"/>
            <w:left w:w="108" w:type="dxa"/>
            <w:bottom w:w="0" w:type="dxa"/>
            <w:right w:w="108" w:type="dxa"/>
          </w:tblCellMar>
        </w:tblPrEx>
        <w:trPr>
          <w:trHeight w:val="669" w:hRule="atLeast"/>
          <w:jc w:val="center"/>
        </w:trPr>
        <w:tc>
          <w:tcPr>
            <w:tcW w:w="1212" w:type="dxa"/>
            <w:vMerge w:val="continue"/>
            <w:tcBorders>
              <w:top w:val="nil"/>
              <w:left w:val="single" w:color="auto" w:sz="4" w:space="0"/>
              <w:bottom w:val="nil"/>
              <w:right w:val="single" w:color="auto" w:sz="4" w:space="0"/>
            </w:tcBorders>
            <w:vAlign w:val="center"/>
          </w:tcPr>
          <w:p>
            <w:pPr>
              <w:rPr>
                <w:sz w:val="18"/>
                <w:szCs w:val="18"/>
              </w:rPr>
            </w:pPr>
          </w:p>
        </w:tc>
        <w:tc>
          <w:tcPr>
            <w:tcW w:w="2075" w:type="dxa"/>
            <w:tcBorders>
              <w:top w:val="single" w:color="auto" w:sz="4" w:space="0"/>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2、更换垃圾袋</w:t>
            </w:r>
          </w:p>
        </w:tc>
        <w:tc>
          <w:tcPr>
            <w:tcW w:w="3801" w:type="dxa"/>
            <w:tcBorders>
              <w:top w:val="single" w:color="auto" w:sz="4" w:space="0"/>
              <w:left w:val="nil"/>
              <w:bottom w:val="single" w:color="auto" w:sz="4" w:space="0"/>
              <w:right w:val="single" w:color="auto" w:sz="4" w:space="0"/>
            </w:tcBorders>
            <w:noWrap/>
            <w:vAlign w:val="center"/>
          </w:tcPr>
          <w:p>
            <w:pPr>
              <w:adjustRightInd w:val="0"/>
              <w:snapToGrid w:val="0"/>
              <w:rPr>
                <w:sz w:val="18"/>
                <w:szCs w:val="18"/>
              </w:rPr>
            </w:pPr>
            <w:r>
              <w:rPr>
                <w:rFonts w:hint="eastAsia"/>
                <w:sz w:val="18"/>
                <w:szCs w:val="18"/>
              </w:rPr>
              <w:t>每天至少2次，盛装超过2/3时及时更换发现一处扣0.5分</w:t>
            </w:r>
          </w:p>
        </w:tc>
        <w:tc>
          <w:tcPr>
            <w:tcW w:w="2261" w:type="dxa"/>
            <w:tcBorders>
              <w:top w:val="single" w:color="auto" w:sz="4" w:space="0"/>
              <w:left w:val="nil"/>
              <w:bottom w:val="single" w:color="auto" w:sz="4" w:space="0"/>
              <w:right w:val="single" w:color="auto" w:sz="4" w:space="0"/>
            </w:tcBorders>
            <w:noWrap/>
            <w:vAlign w:val="center"/>
          </w:tcPr>
          <w:p>
            <w:pPr>
              <w:jc w:val="center"/>
              <w:rPr>
                <w:sz w:val="18"/>
                <w:szCs w:val="18"/>
              </w:rPr>
            </w:pPr>
            <w:r>
              <w:rPr>
                <w:rFonts w:hint="eastAsia"/>
                <w:sz w:val="18"/>
                <w:szCs w:val="18"/>
              </w:rPr>
              <w:t>2</w:t>
            </w:r>
          </w:p>
        </w:tc>
      </w:tr>
      <w:tr>
        <w:tblPrEx>
          <w:tblCellMar>
            <w:top w:w="0" w:type="dxa"/>
            <w:left w:w="108" w:type="dxa"/>
            <w:bottom w:w="0" w:type="dxa"/>
            <w:right w:w="108" w:type="dxa"/>
          </w:tblCellMar>
        </w:tblPrEx>
        <w:trPr>
          <w:trHeight w:val="718" w:hRule="atLeast"/>
          <w:jc w:val="center"/>
        </w:trPr>
        <w:tc>
          <w:tcPr>
            <w:tcW w:w="1212" w:type="dxa"/>
            <w:vMerge w:val="continue"/>
            <w:tcBorders>
              <w:top w:val="nil"/>
              <w:left w:val="single" w:color="auto" w:sz="4" w:space="0"/>
              <w:bottom w:val="nil"/>
              <w:right w:val="single" w:color="auto" w:sz="4" w:space="0"/>
            </w:tcBorders>
            <w:vAlign w:val="center"/>
          </w:tcPr>
          <w:p>
            <w:pPr>
              <w:rPr>
                <w:sz w:val="18"/>
                <w:szCs w:val="18"/>
              </w:rPr>
            </w:pPr>
          </w:p>
        </w:tc>
        <w:tc>
          <w:tcPr>
            <w:tcW w:w="2075"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3、收集、转运</w:t>
            </w:r>
          </w:p>
        </w:tc>
        <w:tc>
          <w:tcPr>
            <w:tcW w:w="3801"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实行袋装（环卫强制要求分类时必须按相关要求进行处理），及时收集、转运，日产日清，特殊情况时增加频次未达标发现一处扣0.5分</w:t>
            </w:r>
          </w:p>
        </w:tc>
        <w:tc>
          <w:tcPr>
            <w:tcW w:w="2261" w:type="dxa"/>
            <w:tcBorders>
              <w:top w:val="single" w:color="auto" w:sz="4" w:space="0"/>
              <w:left w:val="nil"/>
              <w:bottom w:val="single" w:color="auto" w:sz="4" w:space="0"/>
              <w:right w:val="single" w:color="auto" w:sz="4" w:space="0"/>
            </w:tcBorders>
            <w:noWrap/>
            <w:vAlign w:val="center"/>
          </w:tcPr>
          <w:p>
            <w:pPr>
              <w:jc w:val="center"/>
              <w:rPr>
                <w:sz w:val="18"/>
                <w:szCs w:val="18"/>
              </w:rPr>
            </w:pPr>
            <w:r>
              <w:rPr>
                <w:rFonts w:hint="eastAsia"/>
                <w:sz w:val="18"/>
                <w:szCs w:val="18"/>
              </w:rPr>
              <w:t>2</w:t>
            </w:r>
          </w:p>
        </w:tc>
      </w:tr>
      <w:tr>
        <w:tblPrEx>
          <w:tblCellMar>
            <w:top w:w="0" w:type="dxa"/>
            <w:left w:w="108" w:type="dxa"/>
            <w:bottom w:w="0" w:type="dxa"/>
            <w:right w:w="108" w:type="dxa"/>
          </w:tblCellMar>
        </w:tblPrEx>
        <w:trPr>
          <w:trHeight w:val="900"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六、其他</w:t>
            </w:r>
          </w:p>
        </w:tc>
        <w:tc>
          <w:tcPr>
            <w:tcW w:w="2075"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1、双城创建、迎检</w:t>
            </w:r>
          </w:p>
        </w:tc>
        <w:tc>
          <w:tcPr>
            <w:tcW w:w="3801"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及时派人参加，卫生未合格被通报发生一次扣3分</w:t>
            </w:r>
          </w:p>
        </w:tc>
        <w:tc>
          <w:tcPr>
            <w:tcW w:w="2261" w:type="dxa"/>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2</w:t>
            </w:r>
          </w:p>
        </w:tc>
      </w:tr>
    </w:tbl>
    <w:p>
      <w:pPr>
        <w:rPr>
          <w:szCs w:val="15"/>
        </w:rPr>
      </w:pPr>
      <w:r>
        <w:rPr>
          <w:rFonts w:hint="eastAsia"/>
          <w:szCs w:val="15"/>
        </w:rPr>
        <w:br w:type="page"/>
      </w:r>
    </w:p>
    <w:p>
      <w:pPr>
        <w:rPr>
          <w:rFonts w:ascii="宋体" w:hAnsi="宋体" w:cs="宋体"/>
          <w:szCs w:val="24"/>
        </w:rPr>
      </w:pPr>
      <w:r>
        <w:rPr>
          <w:rFonts w:hint="eastAsia" w:ascii="宋体" w:hAnsi="宋体" w:cs="宋体"/>
          <w:szCs w:val="24"/>
        </w:rPr>
        <w:t>4.3消防考核细则（满分100分）</w:t>
      </w:r>
    </w:p>
    <w:tbl>
      <w:tblPr>
        <w:tblStyle w:val="20"/>
        <w:tblpPr w:leftFromText="180" w:rightFromText="180" w:vertAnchor="text" w:horzAnchor="page" w:tblpX="1588" w:tblpY="54"/>
        <w:tblOverlap w:val="never"/>
        <w:tblW w:w="903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1483"/>
        <w:gridCol w:w="4669"/>
        <w:gridCol w:w="288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92" w:hRule="atLeast"/>
        </w:trPr>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szCs w:val="24"/>
              </w:rPr>
            </w:pPr>
            <w:r>
              <w:rPr>
                <w:rFonts w:hint="eastAsia"/>
                <w:b/>
                <w:bCs/>
                <w:szCs w:val="24"/>
              </w:rPr>
              <w:t>作业具体对象</w:t>
            </w: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rPr>
            </w:pPr>
            <w:r>
              <w:rPr>
                <w:rFonts w:hint="eastAsia"/>
                <w:b/>
                <w:bCs/>
                <w:szCs w:val="24"/>
              </w:rPr>
              <w:t>考核质量标准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rPr>
            </w:pPr>
            <w:r>
              <w:rPr>
                <w:rFonts w:hint="eastAsia"/>
                <w:b/>
                <w:bCs/>
                <w:szCs w:val="24"/>
              </w:rPr>
              <w:t>每次考核扣分标准（分）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1308" w:hRule="atLeast"/>
        </w:trPr>
        <w:tc>
          <w:tcPr>
            <w:tcW w:w="1483" w:type="dxa"/>
            <w:vMerge w:val="restart"/>
            <w:tcBorders>
              <w:top w:val="single" w:color="auto" w:sz="4" w:space="0"/>
              <w:left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rFonts w:hint="eastAsia" w:ascii="宋体" w:hAnsi="宋体" w:cs="宋体"/>
                <w:bCs/>
                <w:sz w:val="18"/>
                <w:szCs w:val="18"/>
              </w:rPr>
              <w:t>消防管理</w:t>
            </w: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rFonts w:hint="eastAsia" w:ascii="宋体" w:hAnsi="宋体" w:cs="宋体"/>
                <w:bCs/>
                <w:sz w:val="18"/>
                <w:szCs w:val="18"/>
              </w:rPr>
              <w:t>消防控制中心24小时值班、控制中心消防设备设施完好无损可随时启动、消防监控系统等智能化设施设备运行正常</w:t>
            </w:r>
            <w:r>
              <w:rPr>
                <w:rFonts w:hint="eastAsia"/>
                <w:sz w:val="18"/>
                <w:szCs w:val="18"/>
              </w:rPr>
              <w:t>未达标发现一处扣3分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1516"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rFonts w:hint="eastAsia" w:ascii="宋体" w:hAnsi="宋体" w:cs="宋体"/>
                <w:bCs/>
                <w:sz w:val="18"/>
                <w:szCs w:val="18"/>
              </w:rPr>
              <w:t>消防管理人员能熟练掌握消防设施设备的使用方法、无</w:t>
            </w:r>
            <w:r>
              <w:rPr>
                <w:sz w:val="18"/>
                <w:szCs w:val="18"/>
              </w:rPr>
              <w:t>违章关闭消防设施、无故切断消防电源</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991"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rFonts w:hint="eastAsia" w:ascii="宋体" w:hAnsi="宋体" w:cs="宋体"/>
                <w:bCs/>
                <w:sz w:val="18"/>
                <w:szCs w:val="18"/>
              </w:rPr>
              <w:t>大楼内各种消防设施定期检查，及时进行维护保养，确保无缺损，应急照明灯路标完好，紧急疏散通道通畅，无堆放杂物堵塞，保障正常运行。</w:t>
            </w:r>
            <w:r>
              <w:rPr>
                <w:rFonts w:hint="eastAsia"/>
                <w:sz w:val="18"/>
                <w:szCs w:val="18"/>
              </w:rPr>
              <w:t>未达标发现一处扣5分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1516"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rFonts w:hint="eastAsia" w:ascii="宋体" w:hAnsi="宋体" w:cs="宋体"/>
                <w:bCs/>
                <w:sz w:val="18"/>
                <w:szCs w:val="18"/>
              </w:rPr>
              <w:t>制定突发火灾应急方案，设立消防疏散图，严格执行消防管理制度，认真巡查火险隐患，确保无火灾事故发生。</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1516"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sz w:val="18"/>
                <w:szCs w:val="18"/>
              </w:rPr>
              <w:t>重点岗位消防交接班、巡查记录</w:t>
            </w:r>
            <w:r>
              <w:rPr>
                <w:rFonts w:hint="eastAsia"/>
                <w:sz w:val="18"/>
                <w:szCs w:val="18"/>
              </w:rPr>
              <w:t>完</w:t>
            </w:r>
            <w:r>
              <w:rPr>
                <w:sz w:val="18"/>
                <w:szCs w:val="18"/>
              </w:rPr>
              <w:t>全</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1020"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sz w:val="18"/>
                <w:szCs w:val="18"/>
              </w:rPr>
              <w:t>消防器材使用后立即一次性补充恢复</w:t>
            </w:r>
            <w:r>
              <w:rPr>
                <w:rFonts w:hint="eastAsia"/>
                <w:sz w:val="18"/>
                <w:szCs w:val="18"/>
              </w:rPr>
              <w:t>、</w:t>
            </w:r>
            <w:r>
              <w:rPr>
                <w:sz w:val="18"/>
                <w:szCs w:val="18"/>
              </w:rPr>
              <w:t>消防栓、灭火器材</w:t>
            </w:r>
            <w:r>
              <w:rPr>
                <w:rFonts w:hint="eastAsia"/>
                <w:sz w:val="18"/>
                <w:szCs w:val="18"/>
              </w:rPr>
              <w:t>无</w:t>
            </w:r>
            <w:r>
              <w:rPr>
                <w:sz w:val="18"/>
                <w:szCs w:val="18"/>
              </w:rPr>
              <w:t>遮挡</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701"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ind w:firstLine="360" w:firstLineChars="200"/>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sz w:val="18"/>
                <w:szCs w:val="18"/>
              </w:rPr>
              <w:t>消防控制室防火巡查</w:t>
            </w:r>
            <w:r>
              <w:rPr>
                <w:rFonts w:hint="eastAsia"/>
                <w:sz w:val="18"/>
                <w:szCs w:val="18"/>
              </w:rPr>
              <w:t>、无</w:t>
            </w:r>
            <w:r>
              <w:rPr>
                <w:sz w:val="18"/>
                <w:szCs w:val="18"/>
              </w:rPr>
              <w:t>擅自脱岗</w:t>
            </w:r>
            <w:r>
              <w:rPr>
                <w:rFonts w:hint="eastAsia"/>
                <w:sz w:val="18"/>
                <w:szCs w:val="18"/>
              </w:rPr>
              <w:t>、</w:t>
            </w:r>
            <w:r>
              <w:rPr>
                <w:sz w:val="18"/>
                <w:szCs w:val="18"/>
              </w:rPr>
              <w:t>消防</w:t>
            </w:r>
            <w:r>
              <w:rPr>
                <w:rFonts w:hint="eastAsia"/>
                <w:sz w:val="18"/>
                <w:szCs w:val="18"/>
              </w:rPr>
              <w:t>管理</w:t>
            </w:r>
            <w:r>
              <w:rPr>
                <w:sz w:val="18"/>
                <w:szCs w:val="18"/>
              </w:rPr>
              <w:t>工作有记录</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454"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ind w:firstLine="360" w:firstLineChars="200"/>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cs="宋体"/>
                <w:bCs/>
                <w:sz w:val="18"/>
                <w:szCs w:val="18"/>
              </w:rPr>
            </w:pPr>
            <w:r>
              <w:rPr>
                <w:sz w:val="18"/>
                <w:szCs w:val="18"/>
              </w:rPr>
              <w:t>消火栓按规定进行检查和季节性防护，造成影响使用和器件损坏</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454" w:hRule="atLeast"/>
        </w:trPr>
        <w:tc>
          <w:tcPr>
            <w:tcW w:w="1483" w:type="dxa"/>
            <w:vMerge w:val="continue"/>
            <w:tcBorders>
              <w:left w:val="single" w:color="auto" w:sz="4" w:space="0"/>
              <w:right w:val="single" w:color="auto" w:sz="4" w:space="0"/>
            </w:tcBorders>
            <w:shd w:val="clear" w:color="auto" w:fill="auto"/>
            <w:vAlign w:val="center"/>
          </w:tcPr>
          <w:p>
            <w:pPr>
              <w:spacing w:line="288" w:lineRule="auto"/>
              <w:ind w:firstLine="360" w:firstLineChars="200"/>
              <w:jc w:val="left"/>
              <w:rPr>
                <w:rFonts w:ascii="宋体" w:hAnsi="宋体" w:cs="宋体"/>
                <w:bCs/>
                <w:sz w:val="18"/>
                <w:szCs w:val="18"/>
              </w:rPr>
            </w:pPr>
          </w:p>
        </w:tc>
        <w:tc>
          <w:tcPr>
            <w:tcW w:w="4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sz w:val="18"/>
                <w:szCs w:val="18"/>
              </w:rPr>
            </w:pPr>
            <w:r>
              <w:rPr>
                <w:sz w:val="18"/>
                <w:szCs w:val="18"/>
              </w:rPr>
              <w:t>消防设施发防报警发生后，现场工作人员按照消防安全制度执行查明报警原因</w:t>
            </w:r>
            <w:r>
              <w:rPr>
                <w:rFonts w:hint="eastAsia"/>
                <w:sz w:val="18"/>
                <w:szCs w:val="18"/>
              </w:rPr>
              <w:t>未达标发现一处扣2分</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18"/>
                <w:szCs w:val="18"/>
              </w:rPr>
            </w:pPr>
            <w:r>
              <w:rPr>
                <w:rFonts w:hint="eastAsia"/>
                <w:sz w:val="18"/>
                <w:szCs w:val="18"/>
              </w:rPr>
              <w:t>10</w:t>
            </w:r>
          </w:p>
        </w:tc>
      </w:tr>
    </w:tbl>
    <w:p>
      <w:pPr>
        <w:rPr>
          <w:sz w:val="18"/>
          <w:szCs w:val="18"/>
        </w:rPr>
      </w:pPr>
      <w:r>
        <w:rPr>
          <w:rFonts w:hint="eastAsia"/>
          <w:sz w:val="18"/>
          <w:szCs w:val="18"/>
        </w:rPr>
        <w:br w:type="page"/>
      </w:r>
    </w:p>
    <w:p>
      <w:pPr>
        <w:jc w:val="left"/>
      </w:pPr>
      <w:r>
        <w:rPr>
          <w:rFonts w:hint="eastAsia"/>
        </w:rPr>
        <w:t>4.4园林绿化考核细则（满分100分）</w:t>
      </w:r>
    </w:p>
    <w:tbl>
      <w:tblPr>
        <w:tblStyle w:val="20"/>
        <w:tblpPr w:leftFromText="180" w:rightFromText="180" w:horzAnchor="margin" w:tblpY="621"/>
        <w:tblW w:w="9202"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555"/>
        <w:gridCol w:w="1235"/>
        <w:gridCol w:w="3689"/>
        <w:gridCol w:w="3723"/>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5" w:hRule="atLeast"/>
        </w:trPr>
        <w:tc>
          <w:tcPr>
            <w:tcW w:w="1790" w:type="dxa"/>
            <w:gridSpan w:val="2"/>
            <w:tcBorders>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考核内容</w:t>
            </w:r>
          </w:p>
        </w:tc>
        <w:tc>
          <w:tcPr>
            <w:tcW w:w="3689" w:type="dxa"/>
            <w:tcBorders>
              <w:left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养护管理要求</w:t>
            </w:r>
          </w:p>
        </w:tc>
        <w:tc>
          <w:tcPr>
            <w:tcW w:w="3723" w:type="dxa"/>
            <w:tcBorders>
              <w:left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11" w:hRule="atLeast"/>
        </w:trPr>
        <w:tc>
          <w:tcPr>
            <w:tcW w:w="555" w:type="dxa"/>
            <w:vMerge w:val="restart"/>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35"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成活率、保存率</w:t>
            </w:r>
          </w:p>
          <w:p>
            <w:pPr>
              <w:widowControl/>
              <w:jc w:val="center"/>
              <w:rPr>
                <w:rFonts w:ascii="宋体" w:hAnsi="宋体" w:cs="宋体"/>
                <w:kern w:val="0"/>
                <w:sz w:val="18"/>
                <w:szCs w:val="18"/>
              </w:rPr>
            </w:pPr>
            <w:r>
              <w:rPr>
                <w:rFonts w:hint="eastAsia" w:ascii="宋体" w:hAnsi="宋体" w:cs="宋体"/>
                <w:kern w:val="0"/>
                <w:sz w:val="18"/>
                <w:szCs w:val="18"/>
              </w:rPr>
              <w:t>15分</w:t>
            </w: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树木成活率、保存率＞95％</w:t>
            </w:r>
          </w:p>
        </w:tc>
        <w:tc>
          <w:tcPr>
            <w:tcW w:w="3723" w:type="dxa"/>
            <w:tcBorders>
              <w:left w:val="single" w:color="auto" w:sz="4" w:space="0"/>
              <w:right w:val="single" w:color="auto" w:sz="4" w:space="0"/>
            </w:tcBorders>
            <w:vAlign w:val="center"/>
          </w:tcPr>
          <w:p>
            <w:pPr>
              <w:widowControl/>
              <w:ind w:right="-122" w:rightChars="-51"/>
              <w:rPr>
                <w:rFonts w:ascii="宋体" w:hAnsi="宋体" w:cs="宋体"/>
                <w:kern w:val="0"/>
                <w:sz w:val="18"/>
                <w:szCs w:val="18"/>
              </w:rPr>
            </w:pPr>
            <w:r>
              <w:rPr>
                <w:rFonts w:hint="eastAsia" w:ascii="宋体" w:hAnsi="宋体" w:cs="宋体"/>
                <w:kern w:val="0"/>
                <w:sz w:val="18"/>
                <w:szCs w:val="18"/>
              </w:rPr>
              <w:t>每多或少1％，则奖或罚1分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9" w:hRule="atLeast"/>
        </w:trPr>
        <w:tc>
          <w:tcPr>
            <w:tcW w:w="555" w:type="dxa"/>
            <w:vMerge w:val="continue"/>
            <w:tcBorders>
              <w:top w:val="nil"/>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色块、地被无块状缺株</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累计每2m</w:t>
            </w:r>
            <w:r>
              <w:rPr>
                <w:rFonts w:hint="eastAsia" w:ascii="宋体" w:hAnsi="宋体" w:cs="宋体"/>
                <w:kern w:val="0"/>
                <w:sz w:val="18"/>
                <w:szCs w:val="18"/>
                <w:vertAlign w:val="superscript"/>
              </w:rPr>
              <w:t>2</w:t>
            </w:r>
            <w:r>
              <w:rPr>
                <w:rFonts w:hint="eastAsia" w:ascii="宋体" w:hAnsi="宋体" w:cs="宋体"/>
                <w:kern w:val="0"/>
                <w:sz w:val="18"/>
                <w:szCs w:val="18"/>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top w:val="nil"/>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草坪无＞40cm</w:t>
            </w:r>
            <w:r>
              <w:rPr>
                <w:rFonts w:hint="eastAsia" w:ascii="宋体" w:hAnsi="宋体" w:cs="宋体"/>
                <w:kern w:val="0"/>
                <w:sz w:val="18"/>
                <w:szCs w:val="18"/>
                <w:vertAlign w:val="superscript"/>
              </w:rPr>
              <w:t>2</w:t>
            </w:r>
            <w:r>
              <w:rPr>
                <w:rFonts w:hint="eastAsia" w:ascii="宋体" w:hAnsi="宋体" w:cs="宋体"/>
                <w:kern w:val="0"/>
                <w:sz w:val="18"/>
                <w:szCs w:val="18"/>
              </w:rPr>
              <w:t>黄土裸露，常年覆盖率≥95％，并及时补全</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出现＞400cm</w:t>
            </w:r>
            <w:r>
              <w:rPr>
                <w:rFonts w:hint="eastAsia" w:ascii="宋体" w:hAnsi="宋体" w:cs="宋体"/>
                <w:kern w:val="0"/>
                <w:sz w:val="18"/>
                <w:szCs w:val="18"/>
                <w:vertAlign w:val="superscript"/>
              </w:rPr>
              <w:t>2</w:t>
            </w:r>
            <w:r>
              <w:rPr>
                <w:rFonts w:hint="eastAsia" w:ascii="宋体" w:hAnsi="宋体" w:cs="宋体"/>
                <w:kern w:val="0"/>
                <w:sz w:val="18"/>
                <w:szCs w:val="18"/>
              </w:rPr>
              <w:t>的黄土，每400cm</w:t>
            </w:r>
            <w:r>
              <w:rPr>
                <w:rFonts w:hint="eastAsia" w:ascii="宋体" w:hAnsi="宋体" w:cs="宋体"/>
                <w:kern w:val="0"/>
                <w:sz w:val="18"/>
                <w:szCs w:val="18"/>
                <w:vertAlign w:val="superscript"/>
              </w:rPr>
              <w:t>2</w:t>
            </w:r>
            <w:r>
              <w:rPr>
                <w:rFonts w:hint="eastAsia" w:ascii="宋体" w:hAnsi="宋体" w:cs="宋体"/>
                <w:kern w:val="0"/>
                <w:sz w:val="18"/>
                <w:szCs w:val="18"/>
              </w:rPr>
              <w:t>扣一分，覆盖率达不到95％，每少1％扣1分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75" w:hRule="atLeast"/>
        </w:trPr>
        <w:tc>
          <w:tcPr>
            <w:tcW w:w="555" w:type="dxa"/>
            <w:vMerge w:val="continue"/>
            <w:tcBorders>
              <w:top w:val="nil"/>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死株及时更换（包括色块、地被及草坪的缺株）</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不及时更换的，每处扣1分，对</w:t>
            </w:r>
            <w:r>
              <w:rPr>
                <w:rFonts w:hint="eastAsia" w:ascii="宋体" w:hAnsi="宋体" w:cs="宋体"/>
                <w:kern w:val="0"/>
                <w:sz w:val="18"/>
                <w:szCs w:val="18"/>
                <w:lang w:eastAsia="zh-CN"/>
              </w:rPr>
              <w:t>已</w:t>
            </w:r>
            <w:r>
              <w:rPr>
                <w:rFonts w:hint="eastAsia" w:ascii="宋体" w:hAnsi="宋体" w:cs="宋体"/>
                <w:kern w:val="0"/>
                <w:sz w:val="18"/>
                <w:szCs w:val="18"/>
              </w:rPr>
              <w:t>要求更换但仍不按要求更换的（包括时间），加倍扣分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3" w:hRule="atLeast"/>
        </w:trPr>
        <w:tc>
          <w:tcPr>
            <w:tcW w:w="555" w:type="dxa"/>
            <w:vMerge w:val="restart"/>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35"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生长势</w:t>
            </w:r>
          </w:p>
          <w:p>
            <w:pPr>
              <w:widowControl/>
              <w:jc w:val="center"/>
              <w:rPr>
                <w:rFonts w:ascii="宋体" w:hAnsi="宋体" w:cs="宋体"/>
                <w:kern w:val="0"/>
                <w:sz w:val="18"/>
                <w:szCs w:val="18"/>
              </w:rPr>
            </w:pPr>
            <w:r>
              <w:rPr>
                <w:rFonts w:hint="eastAsia" w:ascii="宋体" w:hAnsi="宋体" w:cs="宋体"/>
                <w:kern w:val="0"/>
                <w:sz w:val="18"/>
                <w:szCs w:val="18"/>
              </w:rPr>
              <w:t>10分</w:t>
            </w: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各种苗木生长旺盛，比例达到95％</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明显生长不良，比例低于95％，每多1％扣1分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70"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草坪生长良好，无大范围长势衰退或者滞长现象（范围不超过100m</w:t>
            </w:r>
            <w:r>
              <w:rPr>
                <w:rFonts w:hint="eastAsia" w:ascii="宋体" w:hAnsi="宋体" w:cs="宋体"/>
                <w:kern w:val="0"/>
                <w:sz w:val="18"/>
                <w:szCs w:val="18"/>
                <w:vertAlign w:val="superscript"/>
              </w:rPr>
              <w:t>2</w:t>
            </w:r>
            <w:r>
              <w:rPr>
                <w:rFonts w:hint="eastAsia" w:ascii="宋体" w:hAnsi="宋体" w:cs="宋体"/>
                <w:kern w:val="0"/>
                <w:sz w:val="18"/>
                <w:szCs w:val="18"/>
              </w:rPr>
              <w:t>/块）</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生长期出现长势不良，按10m</w:t>
            </w:r>
            <w:r>
              <w:rPr>
                <w:rFonts w:hint="eastAsia" w:ascii="宋体" w:hAnsi="宋体" w:cs="宋体"/>
                <w:kern w:val="0"/>
                <w:sz w:val="18"/>
                <w:szCs w:val="18"/>
                <w:vertAlign w:val="superscript"/>
              </w:rPr>
              <w:t>2</w:t>
            </w:r>
            <w:r>
              <w:rPr>
                <w:rFonts w:hint="eastAsia" w:ascii="宋体" w:hAnsi="宋体" w:cs="宋体"/>
                <w:kern w:val="0"/>
                <w:sz w:val="18"/>
                <w:szCs w:val="18"/>
              </w:rPr>
              <w:t>扣一分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33" w:hRule="atLeast"/>
        </w:trPr>
        <w:tc>
          <w:tcPr>
            <w:tcW w:w="555" w:type="dxa"/>
            <w:vMerge w:val="restart"/>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35"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修剪、抹芽</w:t>
            </w:r>
          </w:p>
          <w:p>
            <w:pPr>
              <w:widowControl/>
              <w:jc w:val="center"/>
              <w:rPr>
                <w:rFonts w:ascii="宋体" w:hAnsi="宋体" w:cs="宋体"/>
                <w:kern w:val="0"/>
                <w:sz w:val="18"/>
                <w:szCs w:val="18"/>
              </w:rPr>
            </w:pPr>
            <w:r>
              <w:rPr>
                <w:rFonts w:hint="eastAsia" w:ascii="宋体" w:hAnsi="宋体" w:cs="宋体"/>
                <w:kern w:val="0"/>
                <w:sz w:val="18"/>
                <w:szCs w:val="18"/>
              </w:rPr>
              <w:t>15分</w:t>
            </w: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乔灌木修剪：根据品种、习性修剪，剥芽（含脚芽）</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违规操作扣2分/次：不及时修剪形成萌芽多，弱枝、病枝多，有折损枝等，每株扣0.5分，修剪后清理不干净的，每处扣1—3分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11"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绿篱、球类修剪：根据树种进行修剪定型，直线需直，曲线需平滑光洁。修剪必须及时到位，不得出现超过定型高度5cm情况</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未按照要求进行留养修剪，造成线条缺短或不一致的，每处扣1分；未及时修剪每次扣2分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031"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草坪修剪：草坪高度冷季型夏季控制在8—10cm以内，暖季型控制在305cm，修剪后草鞋应及时运走，扫净</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凡草坪高度超过规定的，每次扣1—2分。修剪不平整，边角有遗漏，每次扣1—2分。修剪后草屑有残留，每次扣1—2分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47" w:hRule="atLeast"/>
        </w:trPr>
        <w:tc>
          <w:tcPr>
            <w:tcW w:w="555" w:type="dxa"/>
            <w:vMerge w:val="restart"/>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35"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病虫害防治</w:t>
            </w:r>
          </w:p>
          <w:p>
            <w:pPr>
              <w:widowControl/>
              <w:jc w:val="center"/>
              <w:rPr>
                <w:rFonts w:ascii="宋体" w:hAnsi="宋体" w:cs="宋体"/>
                <w:kern w:val="0"/>
                <w:sz w:val="18"/>
                <w:szCs w:val="18"/>
              </w:rPr>
            </w:pPr>
            <w:r>
              <w:rPr>
                <w:rFonts w:hint="eastAsia" w:ascii="宋体" w:hAnsi="宋体" w:cs="宋体"/>
                <w:kern w:val="0"/>
                <w:sz w:val="18"/>
                <w:szCs w:val="18"/>
              </w:rPr>
              <w:t>10分</w:t>
            </w: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及时防治和控制病虫害，基本无病虫害造成的较大伤害</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病虫害防治不力，对植物造成损害，视情况每次扣1—3分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81"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用药符合规定，选用高效、低毒、无污染、对天敌较安全的药剂，配比正确，操作安全，不发生药害事故</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发生药害事故，视情节每次扣1—5分，费用全部自理；草坪、地被色块整片累计10cm</w:t>
            </w:r>
            <w:r>
              <w:rPr>
                <w:rFonts w:hint="eastAsia" w:ascii="宋体" w:hAnsi="宋体" w:cs="宋体"/>
                <w:kern w:val="0"/>
                <w:sz w:val="18"/>
                <w:szCs w:val="18"/>
                <w:vertAlign w:val="superscript"/>
              </w:rPr>
              <w:t>2</w:t>
            </w:r>
            <w:r>
              <w:rPr>
                <w:rFonts w:hint="eastAsia" w:ascii="宋体" w:hAnsi="宋体" w:cs="宋体"/>
                <w:kern w:val="0"/>
                <w:sz w:val="18"/>
                <w:szCs w:val="18"/>
              </w:rPr>
              <w:t>以上，树木危害明显影响景观的，蛀干害虫危害明显的，每株扣0.5分或每10m</w:t>
            </w:r>
            <w:r>
              <w:rPr>
                <w:rFonts w:hint="eastAsia" w:ascii="宋体" w:hAnsi="宋体" w:cs="宋体"/>
                <w:kern w:val="0"/>
                <w:sz w:val="18"/>
                <w:szCs w:val="18"/>
                <w:vertAlign w:val="superscript"/>
              </w:rPr>
              <w:t>2</w:t>
            </w:r>
            <w:r>
              <w:rPr>
                <w:rFonts w:hint="eastAsia" w:ascii="宋体" w:hAnsi="宋体" w:cs="宋体"/>
                <w:kern w:val="0"/>
                <w:sz w:val="18"/>
                <w:szCs w:val="18"/>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53" w:hRule="atLeast"/>
        </w:trPr>
        <w:tc>
          <w:tcPr>
            <w:tcW w:w="555" w:type="dxa"/>
            <w:vMerge w:val="restart"/>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35"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除草、松土、施肥、抗旱、排涝</w:t>
            </w:r>
          </w:p>
          <w:p>
            <w:pPr>
              <w:widowControl/>
              <w:jc w:val="center"/>
              <w:rPr>
                <w:rFonts w:ascii="宋体" w:hAnsi="宋体" w:cs="宋体"/>
                <w:kern w:val="0"/>
                <w:sz w:val="18"/>
                <w:szCs w:val="18"/>
              </w:rPr>
            </w:pPr>
            <w:r>
              <w:rPr>
                <w:rFonts w:hint="eastAsia" w:ascii="宋体" w:hAnsi="宋体" w:cs="宋体"/>
                <w:kern w:val="0"/>
                <w:sz w:val="18"/>
                <w:szCs w:val="18"/>
              </w:rPr>
              <w:t>20分</w:t>
            </w: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草坪基本无杂草、杂物；绿地内不间断地中耕除草，无大型野草及缠绕攀缘杂草，并及时清运；路边及零星区域杂草控制在5cm以下；除草剂慎用</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草种混杂，明显有杂草、杂物的，扣1—5分；绿地内明显或杂草率达2％以上的，每片扣1—6分；有大型野草等每处扣3—5分；杂草不及时清运的每处扣1—5分；路边等处杂草控制不到位的，扣1—3分；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0"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根据具体情况，及时松土、施肥、</w:t>
            </w:r>
          </w:p>
          <w:p>
            <w:pPr>
              <w:rPr>
                <w:rFonts w:ascii="宋体" w:hAnsi="宋体" w:cs="宋体"/>
                <w:kern w:val="0"/>
                <w:sz w:val="18"/>
                <w:szCs w:val="18"/>
              </w:rPr>
            </w:pPr>
            <w:r>
              <w:rPr>
                <w:rFonts w:hint="eastAsia" w:ascii="宋体" w:hAnsi="宋体" w:cs="宋体"/>
                <w:kern w:val="0"/>
                <w:sz w:val="18"/>
                <w:szCs w:val="18"/>
              </w:rPr>
              <w:t>追肥</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不及时松土、施肥，造成生长衰弱，</w:t>
            </w:r>
          </w:p>
          <w:p>
            <w:pPr>
              <w:rPr>
                <w:rFonts w:ascii="宋体" w:hAnsi="宋体" w:cs="宋体"/>
                <w:kern w:val="0"/>
                <w:sz w:val="18"/>
                <w:szCs w:val="18"/>
              </w:rPr>
            </w:pPr>
            <w:r>
              <w:rPr>
                <w:rFonts w:hint="eastAsia" w:ascii="宋体" w:hAnsi="宋体" w:cs="宋体"/>
                <w:kern w:val="0"/>
                <w:sz w:val="18"/>
                <w:szCs w:val="18"/>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及时抗旱，抗旱时间符合要求</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不及时抗旱，造成严重缺水，叶片枯萎，每次扣1—2分，抗旱时间不符，每次扣1分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0" w:hRule="atLeast"/>
        </w:trPr>
        <w:tc>
          <w:tcPr>
            <w:tcW w:w="555" w:type="dxa"/>
            <w:vMerge w:val="continue"/>
            <w:tcBorders>
              <w:right w:val="single" w:color="auto" w:sz="4" w:space="0"/>
            </w:tcBorders>
            <w:vAlign w:val="center"/>
          </w:tcPr>
          <w:p>
            <w:pPr>
              <w:widowControl/>
              <w:jc w:val="center"/>
              <w:rPr>
                <w:rFonts w:ascii="宋体" w:hAnsi="宋体" w:cs="宋体"/>
                <w:kern w:val="0"/>
                <w:sz w:val="18"/>
                <w:szCs w:val="18"/>
              </w:rPr>
            </w:pPr>
          </w:p>
        </w:tc>
        <w:tc>
          <w:tcPr>
            <w:tcW w:w="1235"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及时排涝，草坪雨后无大面积积木</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排涝不及时，雨后，雨后有超过10m</w:t>
            </w:r>
            <w:r>
              <w:rPr>
                <w:rFonts w:hint="eastAsia" w:ascii="宋体" w:hAnsi="宋体" w:cs="宋体"/>
                <w:kern w:val="0"/>
                <w:sz w:val="18"/>
                <w:szCs w:val="18"/>
                <w:vertAlign w:val="superscript"/>
              </w:rPr>
              <w:t>2</w:t>
            </w:r>
            <w:r>
              <w:rPr>
                <w:rFonts w:hint="eastAsia" w:ascii="宋体" w:hAnsi="宋体" w:cs="宋体"/>
                <w:kern w:val="0"/>
                <w:sz w:val="18"/>
                <w:szCs w:val="18"/>
              </w:rPr>
              <w:t>积水现象，每次扣1分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53" w:hRule="atLeast"/>
        </w:trPr>
        <w:tc>
          <w:tcPr>
            <w:tcW w:w="555" w:type="dxa"/>
            <w:vMerge w:val="restart"/>
            <w:tcBorders>
              <w:top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草花布置、</w:t>
            </w:r>
          </w:p>
          <w:p>
            <w:pPr>
              <w:widowControl/>
              <w:jc w:val="center"/>
              <w:rPr>
                <w:rFonts w:ascii="宋体" w:hAnsi="宋体" w:cs="宋体"/>
                <w:kern w:val="0"/>
                <w:sz w:val="18"/>
                <w:szCs w:val="18"/>
              </w:rPr>
            </w:pPr>
            <w:r>
              <w:rPr>
                <w:rFonts w:hint="eastAsia" w:ascii="宋体" w:hAnsi="宋体" w:cs="宋体"/>
                <w:kern w:val="0"/>
                <w:sz w:val="18"/>
                <w:szCs w:val="18"/>
              </w:rPr>
              <w:t>种植、养护</w:t>
            </w:r>
          </w:p>
          <w:p>
            <w:pPr>
              <w:widowControl/>
              <w:jc w:val="center"/>
              <w:rPr>
                <w:rFonts w:ascii="宋体" w:hAnsi="宋体" w:cs="宋体"/>
                <w:kern w:val="0"/>
                <w:sz w:val="18"/>
                <w:szCs w:val="18"/>
              </w:rPr>
            </w:pPr>
            <w:r>
              <w:rPr>
                <w:rFonts w:hint="eastAsia" w:ascii="宋体" w:hAnsi="宋体" w:cs="宋体"/>
                <w:kern w:val="0"/>
                <w:sz w:val="18"/>
                <w:szCs w:val="18"/>
              </w:rPr>
              <w:t>10分</w:t>
            </w:r>
          </w:p>
        </w:tc>
        <w:tc>
          <w:tcPr>
            <w:tcW w:w="3689"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保质保量完成种植布置工作</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不能按时完成的，扣2—5分；轮廓不清晰，图案不整齐美观的，每m</w:t>
            </w:r>
            <w:r>
              <w:rPr>
                <w:rFonts w:hint="eastAsia" w:ascii="宋体" w:hAnsi="宋体" w:cs="宋体"/>
                <w:kern w:val="0"/>
                <w:sz w:val="18"/>
                <w:szCs w:val="18"/>
                <w:vertAlign w:val="superscript"/>
              </w:rPr>
              <w:t>2</w:t>
            </w:r>
            <w:r>
              <w:rPr>
                <w:rFonts w:hint="eastAsia" w:ascii="宋体" w:hAnsi="宋体" w:cs="宋体"/>
                <w:kern w:val="0"/>
                <w:sz w:val="18"/>
                <w:szCs w:val="18"/>
              </w:rPr>
              <w:t>扣1—2分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68" w:hRule="atLeast"/>
        </w:trPr>
        <w:tc>
          <w:tcPr>
            <w:tcW w:w="555" w:type="dxa"/>
            <w:vMerge w:val="continue"/>
            <w:tcBorders>
              <w:right w:val="single" w:color="auto" w:sz="4" w:space="0"/>
            </w:tcBorders>
            <w:vAlign w:val="center"/>
          </w:tcPr>
          <w:p>
            <w:pPr>
              <w:widowControl/>
              <w:jc w:val="left"/>
              <w:rPr>
                <w:rFonts w:ascii="宋体" w:hAnsi="宋体" w:cs="宋体"/>
                <w:kern w:val="0"/>
                <w:sz w:val="18"/>
                <w:szCs w:val="18"/>
              </w:rPr>
            </w:pPr>
          </w:p>
        </w:tc>
        <w:tc>
          <w:tcPr>
            <w:tcW w:w="1235"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18"/>
                <w:szCs w:val="18"/>
              </w:rPr>
            </w:pPr>
          </w:p>
        </w:tc>
        <w:tc>
          <w:tcPr>
            <w:tcW w:w="3689"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按要求进行养护</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不能按要求养护的，造成严重缺水、叶片枯萎、病虫害严重、缺枝多（15株），每m</w:t>
            </w:r>
            <w:r>
              <w:rPr>
                <w:rFonts w:hint="eastAsia" w:ascii="宋体" w:hAnsi="宋体" w:cs="宋体"/>
                <w:kern w:val="0"/>
                <w:sz w:val="18"/>
                <w:szCs w:val="18"/>
                <w:vertAlign w:val="superscript"/>
              </w:rPr>
              <w:t>2</w:t>
            </w:r>
            <w:r>
              <w:rPr>
                <w:rFonts w:hint="eastAsia" w:ascii="宋体" w:hAnsi="宋体" w:cs="宋体"/>
                <w:kern w:val="0"/>
                <w:sz w:val="18"/>
                <w:szCs w:val="18"/>
              </w:rPr>
              <w:t>扣1—2分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93" w:hRule="atLeast"/>
        </w:trPr>
        <w:tc>
          <w:tcPr>
            <w:tcW w:w="1790" w:type="dxa"/>
            <w:gridSpan w:val="2"/>
            <w:tcBorders>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p>
            <w:pPr>
              <w:widowControl/>
              <w:jc w:val="center"/>
              <w:rPr>
                <w:rFonts w:ascii="宋体" w:hAnsi="宋体" w:cs="宋体"/>
                <w:kern w:val="0"/>
                <w:sz w:val="18"/>
                <w:szCs w:val="18"/>
              </w:rPr>
            </w:pPr>
            <w:r>
              <w:rPr>
                <w:rFonts w:hint="eastAsia" w:ascii="宋体" w:hAnsi="宋体" w:cs="宋体"/>
                <w:kern w:val="0"/>
                <w:sz w:val="18"/>
                <w:szCs w:val="18"/>
              </w:rPr>
              <w:t>20分</w:t>
            </w:r>
          </w:p>
        </w:tc>
        <w:tc>
          <w:tcPr>
            <w:tcW w:w="7412" w:type="dxa"/>
            <w:gridSpan w:val="2"/>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作业人员不统一着装的，每次扣1分；作业人员违反规定，与游客发生争吵的，每次扣5分，并作其他处理；作业人员拒绝执行管理者提出的整改意见的，每次扣3—5分，不按照要求执行的，每次扣2分；在灾害性天气及突发事件的抢救中，不配合完成任务的，每次扣3—5分；对绿地内的安全隐患，不及时消除或采取有效防患措施的，每处扣3—5分；对绿化养护能提出合理化建议的，养护过程中采用先进技术并有书面材料的，加1—5分。</w:t>
            </w:r>
          </w:p>
        </w:tc>
      </w:tr>
    </w:tbl>
    <w:p>
      <w:pPr>
        <w:pStyle w:val="7"/>
        <w:spacing w:line="560" w:lineRule="exact"/>
        <w:ind w:firstLine="270" w:firstLineChars="150"/>
        <w:rPr>
          <w:rFonts w:ascii="宋体"/>
          <w:sz w:val="18"/>
          <w:szCs w:val="18"/>
        </w:rPr>
      </w:pPr>
    </w:p>
    <w:p>
      <w:pPr>
        <w:pStyle w:val="7"/>
        <w:spacing w:line="560" w:lineRule="exact"/>
        <w:ind w:firstLine="360" w:firstLineChars="150"/>
        <w:rPr>
          <w:rFonts w:ascii="宋体"/>
          <w:sz w:val="24"/>
          <w:szCs w:val="24"/>
        </w:rPr>
      </w:pPr>
      <w:r>
        <w:rPr>
          <w:rFonts w:hint="eastAsia" w:ascii="宋体"/>
          <w:sz w:val="24"/>
          <w:szCs w:val="24"/>
        </w:rPr>
        <w:t>（三）考核形式</w:t>
      </w:r>
    </w:p>
    <w:p>
      <w:pPr>
        <w:pStyle w:val="7"/>
        <w:spacing w:line="560" w:lineRule="exact"/>
        <w:ind w:firstLine="480" w:firstLineChars="200"/>
        <w:rPr>
          <w:rFonts w:ascii="宋体"/>
          <w:sz w:val="24"/>
          <w:szCs w:val="24"/>
        </w:rPr>
      </w:pPr>
      <w:r>
        <w:rPr>
          <w:rFonts w:hint="eastAsia" w:ascii="宋体"/>
          <w:sz w:val="24"/>
          <w:szCs w:val="24"/>
        </w:rPr>
        <w:t>1.成交供应商自查，每月按招标文件规定完成该月物管自查，自查报告和下月物管工作计划上报纪念园管理办公室。同时，纪念园管理办公室将组织定期考核和随时抽查。</w:t>
      </w:r>
    </w:p>
    <w:p>
      <w:pPr>
        <w:pStyle w:val="7"/>
        <w:spacing w:line="560" w:lineRule="exact"/>
        <w:ind w:firstLine="480" w:firstLineChars="200"/>
        <w:rPr>
          <w:rFonts w:ascii="宋体"/>
          <w:sz w:val="24"/>
          <w:szCs w:val="24"/>
        </w:rPr>
      </w:pPr>
      <w:r>
        <w:rPr>
          <w:rFonts w:hint="eastAsia" w:ascii="宋体"/>
          <w:sz w:val="24"/>
          <w:szCs w:val="24"/>
        </w:rPr>
        <w:t>2.园区管理办公室于次月10日前向成交供应商通报上月考核情况和提出整改要求，考核情况报退役军人事务局审核后，公司按考核结果开具发票结算管理费用。</w:t>
      </w:r>
    </w:p>
    <w:p>
      <w:pPr>
        <w:pStyle w:val="7"/>
        <w:spacing w:line="560" w:lineRule="exact"/>
        <w:ind w:firstLine="480" w:firstLineChars="200"/>
        <w:rPr>
          <w:rFonts w:ascii="宋体"/>
          <w:sz w:val="24"/>
          <w:szCs w:val="24"/>
        </w:rPr>
      </w:pPr>
      <w:r>
        <w:rPr>
          <w:rFonts w:hint="eastAsia" w:ascii="宋体"/>
          <w:sz w:val="24"/>
          <w:szCs w:val="24"/>
        </w:rPr>
        <w:t>3.满意度调查：当月满意度调查平均低于80%时，采购人有权通知成交供应商整改，整改后三次仍不合格或连续三个月满意度低于80%的，采购人有权单方解除合同。</w:t>
      </w:r>
    </w:p>
    <w:p>
      <w:pPr>
        <w:pStyle w:val="7"/>
        <w:spacing w:line="560" w:lineRule="exact"/>
        <w:ind w:firstLine="480" w:firstLineChars="200"/>
        <w:rPr>
          <w:rFonts w:ascii="宋体"/>
          <w:sz w:val="24"/>
          <w:szCs w:val="24"/>
        </w:rPr>
      </w:pPr>
      <w:r>
        <w:rPr>
          <w:rFonts w:hint="eastAsia" w:ascii="宋体"/>
          <w:sz w:val="24"/>
          <w:szCs w:val="24"/>
        </w:rPr>
        <w:t>（四）满意度调查表</w:t>
      </w:r>
    </w:p>
    <w:p>
      <w:pPr>
        <w:pStyle w:val="7"/>
        <w:spacing w:line="560" w:lineRule="exact"/>
        <w:ind w:firstLine="480" w:firstLineChars="200"/>
        <w:rPr>
          <w:rFonts w:ascii="宋体"/>
          <w:sz w:val="24"/>
          <w:szCs w:val="24"/>
        </w:rPr>
      </w:pPr>
      <w:r>
        <w:rPr>
          <w:rFonts w:hint="eastAsia" w:ascii="宋体"/>
          <w:sz w:val="24"/>
          <w:szCs w:val="24"/>
        </w:rPr>
        <w:t>1.纪念园管理办公室人员对服务公司满意度调查表</w:t>
      </w:r>
    </w:p>
    <w:p>
      <w:pPr>
        <w:pStyle w:val="7"/>
        <w:spacing w:line="560" w:lineRule="exact"/>
        <w:rPr>
          <w:rFonts w:ascii="宋体"/>
          <w:szCs w:val="15"/>
        </w:rPr>
      </w:pPr>
      <w:r>
        <w:rPr>
          <w:rFonts w:hint="eastAsia" w:ascii="宋体"/>
          <w:szCs w:val="15"/>
        </w:rPr>
        <w:t xml:space="preserve">                                                 年  月  日</w:t>
      </w:r>
    </w:p>
    <w:tbl>
      <w:tblPr>
        <w:tblStyle w:val="20"/>
        <w:tblpPr w:leftFromText="180" w:rightFromText="180" w:vertAnchor="text" w:horzAnchor="margin" w:tblpXSpec="center" w:tblpY="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8"/>
        <w:gridCol w:w="851"/>
        <w:gridCol w:w="1276"/>
        <w:gridCol w:w="992"/>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98" w:type="dxa"/>
            <w:vAlign w:val="center"/>
          </w:tcPr>
          <w:p>
            <w:r>
              <w:rPr>
                <w:rFonts w:hint="eastAsia"/>
              </w:rPr>
              <w:t>项目内容</w:t>
            </w:r>
          </w:p>
        </w:tc>
        <w:tc>
          <w:tcPr>
            <w:tcW w:w="851" w:type="dxa"/>
            <w:vAlign w:val="center"/>
          </w:tcPr>
          <w:p>
            <w:r>
              <w:rPr>
                <w:rFonts w:hint="eastAsia"/>
              </w:rPr>
              <w:t>满意</w:t>
            </w:r>
          </w:p>
        </w:tc>
        <w:tc>
          <w:tcPr>
            <w:tcW w:w="1276" w:type="dxa"/>
            <w:vAlign w:val="center"/>
          </w:tcPr>
          <w:p>
            <w:r>
              <w:rPr>
                <w:rFonts w:hint="eastAsia"/>
              </w:rPr>
              <w:t>基本满意</w:t>
            </w:r>
          </w:p>
        </w:tc>
        <w:tc>
          <w:tcPr>
            <w:tcW w:w="992" w:type="dxa"/>
            <w:vAlign w:val="center"/>
          </w:tcPr>
          <w:p>
            <w:r>
              <w:rPr>
                <w:rFonts w:hint="eastAsia"/>
              </w:rPr>
              <w:t>不满意</w:t>
            </w:r>
          </w:p>
        </w:tc>
        <w:tc>
          <w:tcPr>
            <w:tcW w:w="3117" w:type="dxa"/>
            <w:vAlign w:val="center"/>
          </w:tcPr>
          <w:p>
            <w:r>
              <w:rPr>
                <w:rFonts w:hint="eastAsia"/>
              </w:rPr>
              <w:t>不满意的原因、意见和建议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98" w:type="dxa"/>
          </w:tcPr>
          <w:p>
            <w:r>
              <w:rPr>
                <w:rFonts w:hint="eastAsia"/>
              </w:rPr>
              <w:t>对环境维护质量满意度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对环境维护人员的服务质量满意度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对环境维护人员的服务态度满意度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对环境维护人员遵守劳动纪律满意度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处理特殊情况下（如下班时间或突发事件）的环境维护得及时性的满意度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与来园参观人员沟通协调的满意度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对环境维护人员着装、佩戴工作牌满意度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遵守环境维护操作规范的满意度</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tcPr>
          <w:p>
            <w:r>
              <w:rPr>
                <w:rFonts w:hint="eastAsia"/>
              </w:rPr>
              <w:t>其它</w:t>
            </w:r>
          </w:p>
        </w:tc>
        <w:tc>
          <w:tcPr>
            <w:tcW w:w="851" w:type="dxa"/>
          </w:tcPr>
          <w:p/>
        </w:tc>
        <w:tc>
          <w:tcPr>
            <w:tcW w:w="1276" w:type="dxa"/>
          </w:tcPr>
          <w:p/>
        </w:tc>
        <w:tc>
          <w:tcPr>
            <w:tcW w:w="992" w:type="dxa"/>
          </w:tcPr>
          <w:p/>
        </w:tc>
        <w:tc>
          <w:tcPr>
            <w:tcW w:w="31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4" w:type="dxa"/>
            <w:gridSpan w:val="5"/>
          </w:tcPr>
          <w:p>
            <w:r>
              <w:rPr>
                <w:rFonts w:hint="eastAsia"/>
              </w:rPr>
              <w:t>注：请在您选中的满意度选项里打√不满意的请说明原因，以便我们持续改进，谢谢您的配合！</w:t>
            </w:r>
          </w:p>
        </w:tc>
      </w:tr>
    </w:tbl>
    <w:p>
      <w:pPr>
        <w:pStyle w:val="7"/>
        <w:spacing w:line="560" w:lineRule="exact"/>
        <w:rPr>
          <w:rFonts w:ascii="宋体"/>
          <w:sz w:val="24"/>
          <w:szCs w:val="24"/>
        </w:rPr>
      </w:pPr>
      <w:r>
        <w:rPr>
          <w:rFonts w:hint="eastAsia" w:ascii="宋体"/>
          <w:sz w:val="24"/>
          <w:szCs w:val="24"/>
        </w:rPr>
        <w:t>2.来园参观人员对服务公司满意度调查表</w:t>
      </w:r>
    </w:p>
    <w:p>
      <w:pPr>
        <w:pStyle w:val="7"/>
        <w:spacing w:line="560" w:lineRule="exact"/>
        <w:ind w:firstLine="560" w:firstLineChars="200"/>
        <w:rPr>
          <w:rFonts w:ascii="宋体"/>
          <w:sz w:val="24"/>
          <w:szCs w:val="24"/>
        </w:rPr>
      </w:pPr>
      <w:r>
        <w:rPr>
          <w:rFonts w:hint="eastAsia" w:ascii="宋体"/>
          <w:szCs w:val="15"/>
        </w:rPr>
        <w:t xml:space="preserve">                                              </w:t>
      </w:r>
      <w:r>
        <w:rPr>
          <w:rFonts w:hint="eastAsia" w:ascii="宋体"/>
          <w:sz w:val="24"/>
          <w:szCs w:val="24"/>
        </w:rPr>
        <w:t xml:space="preserve">   年  月  日</w:t>
      </w:r>
    </w:p>
    <w:tbl>
      <w:tblPr>
        <w:tblStyle w:val="20"/>
        <w:tblpPr w:leftFromText="180" w:rightFromText="180" w:vertAnchor="text" w:horzAnchor="page" w:tblpX="1685" w:tblpY="5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851"/>
        <w:gridCol w:w="1276"/>
        <w:gridCol w:w="99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39" w:type="dxa"/>
          </w:tcPr>
          <w:p>
            <w:pPr>
              <w:pStyle w:val="7"/>
              <w:spacing w:line="560" w:lineRule="exact"/>
              <w:ind w:firstLine="420" w:firstLineChars="200"/>
              <w:rPr>
                <w:rFonts w:ascii="宋体"/>
                <w:sz w:val="21"/>
                <w:szCs w:val="21"/>
              </w:rPr>
            </w:pPr>
            <w:r>
              <w:rPr>
                <w:rFonts w:hint="eastAsia" w:ascii="宋体"/>
                <w:sz w:val="21"/>
                <w:szCs w:val="21"/>
              </w:rPr>
              <w:t>项目内容</w:t>
            </w:r>
          </w:p>
        </w:tc>
        <w:tc>
          <w:tcPr>
            <w:tcW w:w="851" w:type="dxa"/>
          </w:tcPr>
          <w:p>
            <w:pPr>
              <w:pStyle w:val="7"/>
              <w:spacing w:line="560" w:lineRule="exact"/>
              <w:rPr>
                <w:rFonts w:ascii="宋体"/>
                <w:sz w:val="21"/>
                <w:szCs w:val="21"/>
              </w:rPr>
            </w:pPr>
            <w:r>
              <w:rPr>
                <w:rFonts w:hint="eastAsia" w:ascii="宋体"/>
                <w:sz w:val="21"/>
                <w:szCs w:val="21"/>
              </w:rPr>
              <w:t>满意</w:t>
            </w:r>
          </w:p>
        </w:tc>
        <w:tc>
          <w:tcPr>
            <w:tcW w:w="1276" w:type="dxa"/>
          </w:tcPr>
          <w:p>
            <w:pPr>
              <w:pStyle w:val="7"/>
              <w:spacing w:line="560" w:lineRule="exact"/>
              <w:rPr>
                <w:rFonts w:ascii="宋体"/>
                <w:sz w:val="21"/>
                <w:szCs w:val="21"/>
              </w:rPr>
            </w:pPr>
            <w:r>
              <w:rPr>
                <w:rFonts w:hint="eastAsia" w:ascii="宋体"/>
                <w:sz w:val="21"/>
                <w:szCs w:val="21"/>
              </w:rPr>
              <w:t>基本满意</w:t>
            </w:r>
          </w:p>
        </w:tc>
        <w:tc>
          <w:tcPr>
            <w:tcW w:w="992" w:type="dxa"/>
          </w:tcPr>
          <w:p>
            <w:pPr>
              <w:pStyle w:val="7"/>
              <w:spacing w:line="560" w:lineRule="exact"/>
              <w:rPr>
                <w:rFonts w:ascii="宋体"/>
                <w:sz w:val="21"/>
                <w:szCs w:val="21"/>
              </w:rPr>
            </w:pPr>
            <w:r>
              <w:rPr>
                <w:rFonts w:hint="eastAsia" w:ascii="宋体"/>
                <w:sz w:val="21"/>
                <w:szCs w:val="21"/>
              </w:rPr>
              <w:t>不满意</w:t>
            </w:r>
          </w:p>
        </w:tc>
        <w:tc>
          <w:tcPr>
            <w:tcW w:w="3260" w:type="dxa"/>
          </w:tcPr>
          <w:p>
            <w:pPr>
              <w:pStyle w:val="7"/>
              <w:spacing w:line="560" w:lineRule="exact"/>
              <w:rPr>
                <w:rFonts w:ascii="宋体"/>
                <w:sz w:val="21"/>
                <w:szCs w:val="21"/>
              </w:rPr>
            </w:pPr>
            <w:r>
              <w:rPr>
                <w:rFonts w:hint="eastAsia" w:ascii="宋体"/>
                <w:sz w:val="21"/>
                <w:szCs w:val="21"/>
              </w:rPr>
              <w:t>不满意的原因、意见和建议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39" w:type="dxa"/>
          </w:tcPr>
          <w:p>
            <w:pPr>
              <w:pStyle w:val="7"/>
              <w:spacing w:line="560" w:lineRule="exact"/>
              <w:rPr>
                <w:rFonts w:ascii="宋体"/>
                <w:sz w:val="21"/>
                <w:szCs w:val="21"/>
              </w:rPr>
            </w:pPr>
            <w:r>
              <w:rPr>
                <w:rFonts w:hint="eastAsia" w:ascii="宋体"/>
                <w:sz w:val="21"/>
                <w:szCs w:val="21"/>
              </w:rPr>
              <w:t>对环境维护质量满意度</w:t>
            </w:r>
          </w:p>
        </w:tc>
        <w:tc>
          <w:tcPr>
            <w:tcW w:w="851" w:type="dxa"/>
          </w:tcPr>
          <w:p>
            <w:pPr>
              <w:pStyle w:val="7"/>
              <w:spacing w:line="560" w:lineRule="exact"/>
              <w:ind w:firstLine="420" w:firstLineChars="200"/>
              <w:rPr>
                <w:rFonts w:ascii="宋体"/>
                <w:sz w:val="21"/>
                <w:szCs w:val="21"/>
              </w:rPr>
            </w:pPr>
          </w:p>
        </w:tc>
        <w:tc>
          <w:tcPr>
            <w:tcW w:w="1276" w:type="dxa"/>
          </w:tcPr>
          <w:p>
            <w:pPr>
              <w:pStyle w:val="7"/>
              <w:spacing w:line="560" w:lineRule="exact"/>
              <w:ind w:firstLine="420" w:firstLineChars="200"/>
              <w:rPr>
                <w:rFonts w:ascii="宋体"/>
                <w:sz w:val="21"/>
                <w:szCs w:val="21"/>
              </w:rPr>
            </w:pPr>
          </w:p>
        </w:tc>
        <w:tc>
          <w:tcPr>
            <w:tcW w:w="992" w:type="dxa"/>
          </w:tcPr>
          <w:p>
            <w:pPr>
              <w:pStyle w:val="7"/>
              <w:spacing w:line="560" w:lineRule="exact"/>
              <w:ind w:firstLine="420" w:firstLineChars="200"/>
              <w:rPr>
                <w:rFonts w:ascii="宋体"/>
                <w:sz w:val="21"/>
                <w:szCs w:val="21"/>
              </w:rPr>
            </w:pPr>
          </w:p>
        </w:tc>
        <w:tc>
          <w:tcPr>
            <w:tcW w:w="3260" w:type="dxa"/>
          </w:tcPr>
          <w:p>
            <w:pPr>
              <w:pStyle w:val="7"/>
              <w:spacing w:line="560" w:lineRule="exact"/>
              <w:ind w:firstLine="420" w:firstLineChars="20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439" w:type="dxa"/>
          </w:tcPr>
          <w:p>
            <w:pPr>
              <w:pStyle w:val="7"/>
              <w:spacing w:line="560" w:lineRule="exact"/>
              <w:rPr>
                <w:rFonts w:ascii="宋体"/>
                <w:sz w:val="21"/>
                <w:szCs w:val="21"/>
              </w:rPr>
            </w:pPr>
            <w:r>
              <w:rPr>
                <w:rFonts w:hint="eastAsia" w:ascii="宋体"/>
                <w:sz w:val="21"/>
                <w:szCs w:val="21"/>
              </w:rPr>
              <w:t>对环境维护人员的服务态度满意度</w:t>
            </w:r>
          </w:p>
        </w:tc>
        <w:tc>
          <w:tcPr>
            <w:tcW w:w="851" w:type="dxa"/>
          </w:tcPr>
          <w:p>
            <w:pPr>
              <w:pStyle w:val="7"/>
              <w:spacing w:line="560" w:lineRule="exact"/>
              <w:ind w:firstLine="420" w:firstLineChars="200"/>
              <w:rPr>
                <w:rFonts w:ascii="宋体"/>
                <w:sz w:val="21"/>
                <w:szCs w:val="21"/>
              </w:rPr>
            </w:pPr>
          </w:p>
        </w:tc>
        <w:tc>
          <w:tcPr>
            <w:tcW w:w="1276" w:type="dxa"/>
          </w:tcPr>
          <w:p>
            <w:pPr>
              <w:pStyle w:val="7"/>
              <w:spacing w:line="560" w:lineRule="exact"/>
              <w:ind w:firstLine="420" w:firstLineChars="200"/>
              <w:rPr>
                <w:rFonts w:ascii="宋体"/>
                <w:sz w:val="21"/>
                <w:szCs w:val="21"/>
              </w:rPr>
            </w:pPr>
          </w:p>
        </w:tc>
        <w:tc>
          <w:tcPr>
            <w:tcW w:w="992" w:type="dxa"/>
          </w:tcPr>
          <w:p>
            <w:pPr>
              <w:pStyle w:val="7"/>
              <w:spacing w:line="560" w:lineRule="exact"/>
              <w:ind w:firstLine="420" w:firstLineChars="200"/>
              <w:rPr>
                <w:rFonts w:ascii="宋体"/>
                <w:sz w:val="21"/>
                <w:szCs w:val="21"/>
              </w:rPr>
            </w:pPr>
          </w:p>
        </w:tc>
        <w:tc>
          <w:tcPr>
            <w:tcW w:w="3260" w:type="dxa"/>
          </w:tcPr>
          <w:p>
            <w:pPr>
              <w:pStyle w:val="7"/>
              <w:spacing w:line="560" w:lineRule="exact"/>
              <w:ind w:firstLine="420" w:firstLineChars="20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439" w:type="dxa"/>
          </w:tcPr>
          <w:p>
            <w:pPr>
              <w:pStyle w:val="7"/>
              <w:spacing w:line="560" w:lineRule="exact"/>
              <w:rPr>
                <w:rFonts w:ascii="宋体"/>
                <w:sz w:val="21"/>
                <w:szCs w:val="21"/>
              </w:rPr>
            </w:pPr>
            <w:r>
              <w:rPr>
                <w:rFonts w:hint="eastAsia" w:ascii="宋体"/>
                <w:sz w:val="21"/>
                <w:szCs w:val="21"/>
              </w:rPr>
              <w:t>与来园参观人员沟通协调的满意度</w:t>
            </w:r>
          </w:p>
        </w:tc>
        <w:tc>
          <w:tcPr>
            <w:tcW w:w="851" w:type="dxa"/>
          </w:tcPr>
          <w:p>
            <w:pPr>
              <w:pStyle w:val="7"/>
              <w:spacing w:line="560" w:lineRule="exact"/>
              <w:ind w:firstLine="420" w:firstLineChars="200"/>
              <w:rPr>
                <w:rFonts w:ascii="宋体"/>
                <w:sz w:val="21"/>
                <w:szCs w:val="21"/>
              </w:rPr>
            </w:pPr>
          </w:p>
        </w:tc>
        <w:tc>
          <w:tcPr>
            <w:tcW w:w="1276" w:type="dxa"/>
          </w:tcPr>
          <w:p>
            <w:pPr>
              <w:pStyle w:val="7"/>
              <w:spacing w:line="560" w:lineRule="exact"/>
              <w:ind w:firstLine="420" w:firstLineChars="200"/>
              <w:rPr>
                <w:rFonts w:ascii="宋体"/>
                <w:sz w:val="21"/>
                <w:szCs w:val="21"/>
              </w:rPr>
            </w:pPr>
          </w:p>
        </w:tc>
        <w:tc>
          <w:tcPr>
            <w:tcW w:w="992" w:type="dxa"/>
          </w:tcPr>
          <w:p>
            <w:pPr>
              <w:pStyle w:val="7"/>
              <w:spacing w:line="560" w:lineRule="exact"/>
              <w:ind w:firstLine="420" w:firstLineChars="200"/>
              <w:rPr>
                <w:rFonts w:ascii="宋体"/>
                <w:sz w:val="21"/>
                <w:szCs w:val="21"/>
              </w:rPr>
            </w:pPr>
          </w:p>
        </w:tc>
        <w:tc>
          <w:tcPr>
            <w:tcW w:w="3260" w:type="dxa"/>
          </w:tcPr>
          <w:p>
            <w:pPr>
              <w:pStyle w:val="7"/>
              <w:spacing w:line="560" w:lineRule="exact"/>
              <w:ind w:firstLine="420" w:firstLineChars="20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39" w:type="dxa"/>
          </w:tcPr>
          <w:p>
            <w:pPr>
              <w:pStyle w:val="7"/>
              <w:spacing w:line="560" w:lineRule="exact"/>
              <w:rPr>
                <w:rFonts w:ascii="宋体"/>
                <w:sz w:val="21"/>
                <w:szCs w:val="21"/>
              </w:rPr>
            </w:pPr>
            <w:r>
              <w:rPr>
                <w:rFonts w:hint="eastAsia" w:ascii="宋体"/>
                <w:sz w:val="21"/>
                <w:szCs w:val="21"/>
              </w:rPr>
              <w:t>对服务公司人员着装、佩戴工作牌的满意度</w:t>
            </w:r>
          </w:p>
        </w:tc>
        <w:tc>
          <w:tcPr>
            <w:tcW w:w="851" w:type="dxa"/>
          </w:tcPr>
          <w:p>
            <w:pPr>
              <w:pStyle w:val="7"/>
              <w:spacing w:line="560" w:lineRule="exact"/>
              <w:ind w:firstLine="420" w:firstLineChars="200"/>
              <w:rPr>
                <w:rFonts w:ascii="宋体"/>
                <w:sz w:val="21"/>
                <w:szCs w:val="21"/>
              </w:rPr>
            </w:pPr>
          </w:p>
        </w:tc>
        <w:tc>
          <w:tcPr>
            <w:tcW w:w="1276" w:type="dxa"/>
          </w:tcPr>
          <w:p>
            <w:pPr>
              <w:pStyle w:val="7"/>
              <w:spacing w:line="560" w:lineRule="exact"/>
              <w:ind w:firstLine="420" w:firstLineChars="200"/>
              <w:rPr>
                <w:rFonts w:ascii="宋体"/>
                <w:sz w:val="21"/>
                <w:szCs w:val="21"/>
              </w:rPr>
            </w:pPr>
          </w:p>
        </w:tc>
        <w:tc>
          <w:tcPr>
            <w:tcW w:w="992" w:type="dxa"/>
          </w:tcPr>
          <w:p>
            <w:pPr>
              <w:pStyle w:val="7"/>
              <w:spacing w:line="560" w:lineRule="exact"/>
              <w:ind w:firstLine="420" w:firstLineChars="200"/>
              <w:rPr>
                <w:rFonts w:ascii="宋体"/>
                <w:sz w:val="21"/>
                <w:szCs w:val="21"/>
              </w:rPr>
            </w:pPr>
          </w:p>
        </w:tc>
        <w:tc>
          <w:tcPr>
            <w:tcW w:w="3260" w:type="dxa"/>
          </w:tcPr>
          <w:p>
            <w:pPr>
              <w:pStyle w:val="7"/>
              <w:spacing w:line="560" w:lineRule="exact"/>
              <w:ind w:firstLine="420" w:firstLineChars="20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2439" w:type="dxa"/>
          </w:tcPr>
          <w:p>
            <w:pPr>
              <w:pStyle w:val="7"/>
              <w:spacing w:line="560" w:lineRule="exact"/>
              <w:rPr>
                <w:rFonts w:ascii="宋体"/>
                <w:sz w:val="21"/>
                <w:szCs w:val="21"/>
              </w:rPr>
            </w:pPr>
            <w:r>
              <w:rPr>
                <w:rFonts w:hint="eastAsia" w:ascii="宋体"/>
                <w:sz w:val="21"/>
                <w:szCs w:val="21"/>
              </w:rPr>
              <w:t>其它</w:t>
            </w:r>
          </w:p>
        </w:tc>
        <w:tc>
          <w:tcPr>
            <w:tcW w:w="851" w:type="dxa"/>
          </w:tcPr>
          <w:p>
            <w:pPr>
              <w:pStyle w:val="7"/>
              <w:spacing w:line="560" w:lineRule="exact"/>
              <w:ind w:firstLine="420" w:firstLineChars="200"/>
              <w:rPr>
                <w:rFonts w:ascii="宋体"/>
                <w:sz w:val="21"/>
                <w:szCs w:val="21"/>
              </w:rPr>
            </w:pPr>
          </w:p>
        </w:tc>
        <w:tc>
          <w:tcPr>
            <w:tcW w:w="1276" w:type="dxa"/>
          </w:tcPr>
          <w:p>
            <w:pPr>
              <w:pStyle w:val="7"/>
              <w:spacing w:line="560" w:lineRule="exact"/>
              <w:ind w:firstLine="420" w:firstLineChars="200"/>
              <w:rPr>
                <w:rFonts w:ascii="宋体"/>
                <w:sz w:val="21"/>
                <w:szCs w:val="21"/>
              </w:rPr>
            </w:pPr>
          </w:p>
        </w:tc>
        <w:tc>
          <w:tcPr>
            <w:tcW w:w="992" w:type="dxa"/>
          </w:tcPr>
          <w:p>
            <w:pPr>
              <w:pStyle w:val="7"/>
              <w:spacing w:line="560" w:lineRule="exact"/>
              <w:ind w:firstLine="420" w:firstLineChars="200"/>
              <w:rPr>
                <w:rFonts w:ascii="宋体"/>
                <w:sz w:val="21"/>
                <w:szCs w:val="21"/>
              </w:rPr>
            </w:pPr>
          </w:p>
        </w:tc>
        <w:tc>
          <w:tcPr>
            <w:tcW w:w="3260" w:type="dxa"/>
          </w:tcPr>
          <w:p>
            <w:pPr>
              <w:pStyle w:val="7"/>
              <w:spacing w:line="560" w:lineRule="exact"/>
              <w:ind w:firstLine="420" w:firstLineChars="20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818" w:type="dxa"/>
            <w:gridSpan w:val="5"/>
          </w:tcPr>
          <w:p>
            <w:pPr>
              <w:pStyle w:val="7"/>
              <w:spacing w:line="560" w:lineRule="exact"/>
              <w:ind w:firstLine="420" w:firstLineChars="200"/>
              <w:rPr>
                <w:rFonts w:ascii="宋体"/>
                <w:sz w:val="21"/>
                <w:szCs w:val="21"/>
              </w:rPr>
            </w:pPr>
            <w:r>
              <w:rPr>
                <w:rFonts w:hint="eastAsia" w:ascii="宋体"/>
                <w:sz w:val="21"/>
                <w:szCs w:val="21"/>
              </w:rPr>
              <w:t>注：请在您选中的满意度选项里打√不满意的请说明原因，以便我们持续改进，谢谢您的配合！</w:t>
            </w:r>
          </w:p>
        </w:tc>
      </w:tr>
    </w:tbl>
    <w:p>
      <w:pPr>
        <w:pStyle w:val="7"/>
        <w:spacing w:line="560" w:lineRule="exact"/>
        <w:rPr>
          <w:rFonts w:ascii="宋体"/>
          <w:szCs w:val="15"/>
        </w:rPr>
      </w:pPr>
    </w:p>
    <w:p>
      <w:pPr>
        <w:pStyle w:val="7"/>
        <w:spacing w:line="560" w:lineRule="exact"/>
        <w:ind w:firstLine="560" w:firstLineChars="200"/>
        <w:rPr>
          <w:rFonts w:ascii="宋体"/>
          <w:szCs w:val="15"/>
        </w:rPr>
      </w:pPr>
    </w:p>
    <w:p>
      <w:pPr>
        <w:pStyle w:val="7"/>
        <w:spacing w:line="560" w:lineRule="exact"/>
        <w:rPr>
          <w:rFonts w:ascii="宋体"/>
          <w:szCs w:val="15"/>
        </w:rPr>
      </w:pPr>
    </w:p>
    <w:p/>
    <w:tbl>
      <w:tblPr>
        <w:tblStyle w:val="20"/>
        <w:tblpPr w:leftFromText="180" w:rightFromText="180" w:vertAnchor="text" w:horzAnchor="page" w:tblpX="1578" w:tblpY="8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9"/>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vAlign w:val="center"/>
          </w:tcPr>
          <w:p>
            <w:pPr>
              <w:tabs>
                <w:tab w:val="left" w:pos="4367"/>
              </w:tabs>
              <w:jc w:val="lef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ab/>
            </w:r>
          </w:p>
          <w:p>
            <w:pPr>
              <w:tabs>
                <w:tab w:val="left" w:pos="4367"/>
              </w:tabs>
              <w:jc w:val="lef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项目名称</w:t>
            </w:r>
          </w:p>
        </w:tc>
        <w:tc>
          <w:tcPr>
            <w:tcW w:w="1276" w:type="dxa"/>
            <w:vAlign w:val="center"/>
          </w:tcPr>
          <w:p>
            <w:pPr>
              <w:pStyle w:val="7"/>
              <w:spacing w:line="56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满意</w:t>
            </w:r>
          </w:p>
        </w:tc>
        <w:tc>
          <w:tcPr>
            <w:tcW w:w="1276" w:type="dxa"/>
            <w:vAlign w:val="center"/>
          </w:tcPr>
          <w:p>
            <w:pPr>
              <w:pStyle w:val="7"/>
              <w:spacing w:line="56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基本满意</w:t>
            </w:r>
          </w:p>
        </w:tc>
        <w:tc>
          <w:tcPr>
            <w:tcW w:w="1417" w:type="dxa"/>
            <w:vAlign w:val="center"/>
          </w:tcPr>
          <w:p>
            <w:pPr>
              <w:pStyle w:val="7"/>
              <w:spacing w:line="56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tcPr>
          <w:p>
            <w:pPr>
              <w:pStyle w:val="7"/>
              <w:spacing w:line="560" w:lineRule="exac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对秩序维护人员的日常安全巡逻、应急处理消防及突发治安安全事件及时性、有效性是否满意。</w:t>
            </w: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417"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tcPr>
          <w:p>
            <w:pPr>
              <w:pStyle w:val="7"/>
              <w:spacing w:line="560" w:lineRule="exac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对监控室及秩序维护人员在班在岗状况、24小时值守情况是否满意。</w:t>
            </w: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417"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tcPr>
          <w:p>
            <w:pPr>
              <w:pStyle w:val="7"/>
              <w:spacing w:line="560" w:lineRule="exac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对接收包裹、邮件等业务及其他服务是否满意。</w:t>
            </w: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417"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tcPr>
          <w:p>
            <w:pPr>
              <w:pStyle w:val="7"/>
              <w:spacing w:line="560" w:lineRule="exac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对秩序维护人员协助处理电梯安全事故、关人的应急救援有效性、及时性是否满意。</w:t>
            </w: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417"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tcPr>
          <w:p>
            <w:pPr>
              <w:pStyle w:val="7"/>
              <w:spacing w:line="560" w:lineRule="exac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对车辆的合理归位停放管理、保障医疗急救、消防通道畅通管理是否满意。</w:t>
            </w: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417"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9" w:type="dxa"/>
          </w:tcPr>
          <w:p>
            <w:pPr>
              <w:pStyle w:val="7"/>
              <w:spacing w:line="560" w:lineRule="exact"/>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对完成园区交办任务是否满意。</w:t>
            </w: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276"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c>
          <w:tcPr>
            <w:tcW w:w="1417" w:type="dxa"/>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8818" w:type="dxa"/>
            <w:gridSpan w:val="4"/>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其他意见和建议：</w:t>
            </w:r>
          </w:p>
          <w:p>
            <w:pPr>
              <w:pStyle w:val="7"/>
              <w:spacing w:line="560" w:lineRule="exact"/>
              <w:ind w:firstLine="420" w:firstLineChars="200"/>
              <w:rPr>
                <w:rFonts w:hint="eastAsia" w:ascii="宋体"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18" w:type="dxa"/>
            <w:gridSpan w:val="4"/>
          </w:tcPr>
          <w:p>
            <w:pPr>
              <w:pStyle w:val="7"/>
              <w:spacing w:line="560" w:lineRule="exact"/>
              <w:ind w:firstLine="420" w:firstLineChars="200"/>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备注：请在您充分发表自己的真实意见，在你认可意见括号内打“√”，并您请提出对秩序维护管理工作的宝贵意见和建议，以便我们持续改进，谢谢您的配合！</w:t>
            </w:r>
          </w:p>
        </w:tc>
      </w:tr>
    </w:tbl>
    <w:p>
      <w:pPr>
        <w:pStyle w:val="7"/>
        <w:spacing w:line="560" w:lineRule="exact"/>
        <w:ind w:firstLine="560" w:firstLineChars="200"/>
        <w:rPr>
          <w:rFonts w:hint="eastAsia" w:ascii="宋体" w:hAnsi="Times New Roman" w:eastAsia="宋体" w:cs="Times New Roman"/>
          <w:kern w:val="2"/>
          <w:sz w:val="28"/>
          <w:szCs w:val="28"/>
          <w:lang w:val="en-US" w:eastAsia="zh-CN" w:bidi="ar-SA"/>
        </w:rPr>
      </w:pPr>
      <w:r>
        <w:rPr>
          <w:rFonts w:hint="eastAsia" w:ascii="宋体" w:hAnsi="Times New Roman" w:eastAsia="宋体" w:cs="Times New Roman"/>
          <w:kern w:val="2"/>
          <w:sz w:val="28"/>
          <w:szCs w:val="28"/>
          <w:lang w:val="en-US" w:eastAsia="zh-CN" w:bidi="ar-SA"/>
        </w:rPr>
        <w:t>3.纪念园工作人员对秩序维护工作满意度调查表</w:t>
      </w:r>
    </w:p>
    <w:p>
      <w:pPr>
        <w:pStyle w:val="7"/>
        <w:spacing w:line="560" w:lineRule="exact"/>
        <w:rPr>
          <w:rFonts w:hint="eastAsia" w:ascii="宋体" w:hAnsi="Times New Roman" w:eastAsia="宋体" w:cs="Times New Roman"/>
          <w:kern w:val="2"/>
          <w:sz w:val="21"/>
          <w:szCs w:val="21"/>
          <w:lang w:val="en-US" w:eastAsia="zh-CN" w:bidi="ar-SA"/>
        </w:rPr>
      </w:pPr>
    </w:p>
    <w:p>
      <w:pPr>
        <w:rPr>
          <w:rFonts w:ascii="宋体"/>
          <w:szCs w:val="15"/>
        </w:rPr>
      </w:pPr>
      <w:r>
        <w:rPr>
          <w:rFonts w:hint="eastAsia" w:ascii="宋体"/>
          <w:szCs w:val="15"/>
        </w:rPr>
        <w:br w:type="page"/>
      </w:r>
    </w:p>
    <w:p>
      <w:pPr>
        <w:widowControl/>
        <w:adjustRightInd w:val="0"/>
        <w:snapToGrid w:val="0"/>
        <w:spacing w:line="560" w:lineRule="exact"/>
        <w:outlineLvl w:val="1"/>
        <w:rPr>
          <w:rFonts w:ascii="宋体" w:hAnsi="宋体" w:cs="宋体"/>
          <w:b/>
          <w:bCs/>
          <w:sz w:val="28"/>
          <w:szCs w:val="36"/>
        </w:rPr>
      </w:pPr>
      <w:r>
        <w:rPr>
          <w:rFonts w:hint="eastAsia" w:ascii="宋体" w:hAnsi="宋体" w:cs="宋体"/>
          <w:b/>
          <w:bCs/>
        </w:rPr>
        <w:t>五、商务要求（实质性要求）</w:t>
      </w:r>
    </w:p>
    <w:p>
      <w:pPr>
        <w:pStyle w:val="5"/>
        <w:spacing w:line="408" w:lineRule="auto"/>
        <w:ind w:firstLine="480"/>
        <w:rPr>
          <w:szCs w:val="15"/>
        </w:rPr>
      </w:pPr>
      <w:r>
        <w:rPr>
          <w:rFonts w:hint="eastAsia"/>
          <w:szCs w:val="15"/>
        </w:rPr>
        <w:t>1.服务期限：</w:t>
      </w:r>
      <w:r>
        <w:rPr>
          <w:rFonts w:hint="eastAsia"/>
          <w:szCs w:val="15"/>
          <w:lang w:val="en-US" w:eastAsia="zh-CN"/>
        </w:rPr>
        <w:t>3</w:t>
      </w:r>
      <w:r>
        <w:rPr>
          <w:rFonts w:hint="eastAsia"/>
          <w:szCs w:val="15"/>
        </w:rPr>
        <w:t>年</w:t>
      </w:r>
    </w:p>
    <w:p>
      <w:pPr>
        <w:pStyle w:val="5"/>
        <w:spacing w:line="408" w:lineRule="auto"/>
        <w:ind w:firstLine="480"/>
        <w:rPr>
          <w:rFonts w:ascii="宋体" w:hAnsi="Calibri" w:cs="Calibri"/>
        </w:rPr>
      </w:pPr>
      <w:r>
        <w:rPr>
          <w:rFonts w:hint="eastAsia"/>
          <w:szCs w:val="15"/>
        </w:rPr>
        <w:t>2.合同签订及履约时间：</w:t>
      </w:r>
      <w:r>
        <w:rPr>
          <w:rFonts w:hint="eastAsia" w:ascii="宋体" w:hAnsi="Calibri" w:cs="Calibri"/>
        </w:rPr>
        <w:t>合同一年一签。第一年合同期满后，根据当年考核情况决定是否续签合同，</w:t>
      </w:r>
      <w:r>
        <w:rPr>
          <w:rFonts w:hint="eastAsia" w:ascii="宋体" w:hAnsi="Calibri" w:cs="Calibri"/>
          <w:szCs w:val="24"/>
        </w:rPr>
        <w:t>全年业主单位组织不少于四次考评，平均满意度≥80%可续签下一年合同；</w:t>
      </w:r>
      <w:r>
        <w:rPr>
          <w:rFonts w:hint="eastAsia" w:ascii="宋体" w:hAnsi="Calibri" w:cs="Calibri"/>
        </w:rPr>
        <w:t>成交人未按照提供的承诺函执行的，采购人有权单方解除合同。服务期满或提前解除合同的，成交人服务时间至新公司进场交接之日。</w:t>
      </w:r>
    </w:p>
    <w:p>
      <w:pPr>
        <w:pStyle w:val="5"/>
        <w:spacing w:line="408" w:lineRule="auto"/>
        <w:ind w:firstLine="480"/>
        <w:rPr>
          <w:rFonts w:ascii="宋体" w:hAnsi="Calibri" w:cs="Calibri"/>
        </w:rPr>
      </w:pPr>
      <w:r>
        <w:rPr>
          <w:rFonts w:hint="eastAsia" w:ascii="宋体" w:hAnsi="Calibri" w:cs="Calibri"/>
        </w:rPr>
        <w:t>3.履约地点：雅安市名山区红军百丈关战役烈士纪念园</w:t>
      </w:r>
    </w:p>
    <w:p>
      <w:pPr>
        <w:spacing w:line="408" w:lineRule="auto"/>
        <w:ind w:firstLine="480" w:firstLineChars="200"/>
        <w:rPr>
          <w:rFonts w:ascii="Calibri" w:hAnsi="Calibri"/>
          <w:kern w:val="0"/>
          <w:szCs w:val="15"/>
        </w:rPr>
      </w:pPr>
      <w:r>
        <w:rPr>
          <w:rFonts w:hint="eastAsia" w:ascii="宋体" w:hAnsi="Calibri" w:cs="Calibri"/>
        </w:rPr>
        <w:t>4</w:t>
      </w:r>
      <w:r>
        <w:rPr>
          <w:rFonts w:hint="eastAsia" w:ascii="Calibri" w:hAnsi="Calibri"/>
          <w:kern w:val="0"/>
          <w:szCs w:val="15"/>
        </w:rPr>
        <w:t>.付款方式：</w:t>
      </w:r>
    </w:p>
    <w:p>
      <w:pPr>
        <w:spacing w:line="408" w:lineRule="auto"/>
        <w:ind w:firstLine="480" w:firstLineChars="200"/>
        <w:rPr>
          <w:rFonts w:ascii="Calibri" w:hAnsi="Calibri"/>
          <w:kern w:val="0"/>
          <w:szCs w:val="15"/>
        </w:rPr>
      </w:pPr>
      <w:r>
        <w:rPr>
          <w:rFonts w:hint="eastAsia" w:ascii="Calibri" w:hAnsi="Calibri"/>
          <w:kern w:val="0"/>
          <w:szCs w:val="15"/>
        </w:rPr>
        <w:t>4.1双方签订合同并生效后5个工作日内，采购人向成交供应商支付合同总金额的30%预付款</w:t>
      </w:r>
    </w:p>
    <w:p>
      <w:pPr>
        <w:spacing w:line="408" w:lineRule="auto"/>
        <w:ind w:firstLine="480" w:firstLineChars="200"/>
        <w:rPr>
          <w:rFonts w:ascii="Calibri" w:hAnsi="Calibri"/>
          <w:kern w:val="0"/>
          <w:szCs w:val="15"/>
        </w:rPr>
      </w:pPr>
      <w:r>
        <w:rPr>
          <w:rFonts w:hint="eastAsia" w:ascii="Calibri" w:hAnsi="Calibri"/>
          <w:kern w:val="0"/>
          <w:szCs w:val="15"/>
        </w:rPr>
        <w:t>4.2每半年结算一次。成交人上半个年度根据服务考核结果出具合法、完整、有效的完税发票，采购方收到发票后一个月内支付。付款金额=成交金额-考核扣款-预付款；当月度满意度调查平均低于80%时，采购人有权通知成交人整改，整改后三次仍不合格或连续三个月满意度低于80%的，采购人有权单方解除合同。</w:t>
      </w:r>
    </w:p>
    <w:p>
      <w:pPr>
        <w:spacing w:line="408" w:lineRule="auto"/>
        <w:ind w:firstLine="480" w:firstLineChars="200"/>
        <w:rPr>
          <w:rFonts w:ascii="Calibri" w:hAnsi="Calibri"/>
          <w:kern w:val="0"/>
          <w:szCs w:val="15"/>
        </w:rPr>
      </w:pPr>
      <w:r>
        <w:rPr>
          <w:rFonts w:hint="eastAsia" w:ascii="Calibri" w:hAnsi="Calibri"/>
          <w:kern w:val="0"/>
          <w:szCs w:val="15"/>
        </w:rPr>
        <w:t>4.3成交人下半个年度根据服务考核结果出具合法、完整、有效的完税发票，采购方收到发票后一个月内支付。付款金额=成交金额-考核扣款；当月度满意度调查平均低于80%时，采购人有权通知成交人整改，整改后三次仍不合格或连续三个月满意度低于80%的，采购人有权单方解除合同。</w:t>
      </w:r>
    </w:p>
    <w:p>
      <w:pPr>
        <w:shd w:val="clear"/>
        <w:spacing w:line="408" w:lineRule="auto"/>
        <w:ind w:firstLine="480" w:firstLineChars="200"/>
        <w:rPr>
          <w:rFonts w:ascii="Calibri" w:hAnsi="Calibri"/>
          <w:kern w:val="0"/>
          <w:szCs w:val="15"/>
        </w:rPr>
      </w:pPr>
      <w:r>
        <w:rPr>
          <w:rFonts w:hint="eastAsia" w:ascii="Calibri" w:hAnsi="Calibri"/>
          <w:kern w:val="0"/>
          <w:szCs w:val="15"/>
        </w:rPr>
        <w:t>5.</w:t>
      </w:r>
      <w:r>
        <w:rPr>
          <w:rFonts w:hint="eastAsia" w:ascii="宋体" w:hAnsi="宋体" w:cs="宋体"/>
          <w:szCs w:val="15"/>
        </w:rPr>
        <w:t>验收方法和标准：成交供应商与采购人参照《财政部关于进一步加强政府采购需求和履约验收管理的指导意见》（财库[2016]205号）、《雅安市财政局关于规范政府采购履约验收工作的通知》（雅财采[2021]50号）、《政府采购需求管理办法》（财库[2021]22号）文件的要求、国家有关规定、谈判文件的要求、成交供应商的响应文件的承诺及合同约定标准进行验收。</w:t>
      </w:r>
    </w:p>
    <w:p>
      <w:pPr>
        <w:spacing w:line="408" w:lineRule="auto"/>
        <w:ind w:firstLine="480" w:firstLineChars="200"/>
        <w:rPr>
          <w:rFonts w:ascii="Calibri" w:hAnsi="Calibri"/>
          <w:kern w:val="0"/>
          <w:szCs w:val="15"/>
        </w:rPr>
      </w:pPr>
      <w:r>
        <w:rPr>
          <w:rFonts w:hint="eastAsia" w:ascii="Calibri" w:hAnsi="Calibri"/>
          <w:kern w:val="0"/>
          <w:szCs w:val="15"/>
        </w:rPr>
        <w:t>6.履约验收方案：按照《政府采购需求管理办法》（财库[2021]22号）文件的规定，成交供应商按响应文件及合同要求完成项目所有服务内容后，可申请验收；采购人将邀请相关专家参与验收，验收标准及验收内容包括每一项技术和商务要求的履约情况，相关验收意见作为验收的结论。</w:t>
      </w:r>
    </w:p>
    <w:p>
      <w:pPr>
        <w:shd w:val="clear"/>
        <w:spacing w:line="440" w:lineRule="exact"/>
        <w:ind w:firstLine="470" w:firstLineChars="196"/>
        <w:rPr>
          <w:szCs w:val="20"/>
        </w:rPr>
      </w:pPr>
      <w:r>
        <w:rPr>
          <w:rFonts w:hint="eastAsia"/>
          <w:szCs w:val="20"/>
        </w:rPr>
        <w:t>7.</w:t>
      </w:r>
      <w:r>
        <w:rPr>
          <w:szCs w:val="20"/>
        </w:rPr>
        <w:t>考核标准：</w:t>
      </w:r>
    </w:p>
    <w:p>
      <w:pPr>
        <w:shd w:val="clear"/>
        <w:spacing w:line="440" w:lineRule="exact"/>
        <w:ind w:firstLine="470" w:firstLineChars="196"/>
        <w:rPr>
          <w:szCs w:val="20"/>
        </w:rPr>
      </w:pPr>
      <w:r>
        <w:rPr>
          <w:szCs w:val="20"/>
        </w:rPr>
        <w:t>（1）采购人对物业管理公司的各项物业服务内容及质量实行考核评分管理，考核评分结果作为支付物业服务管理费用</w:t>
      </w:r>
      <w:r>
        <w:rPr>
          <w:rFonts w:hint="eastAsia"/>
          <w:szCs w:val="20"/>
        </w:rPr>
        <w:t>和解除合同</w:t>
      </w:r>
      <w:r>
        <w:rPr>
          <w:szCs w:val="20"/>
        </w:rPr>
        <w:t>的依据。</w:t>
      </w:r>
    </w:p>
    <w:p>
      <w:pPr>
        <w:shd w:val="clear"/>
        <w:spacing w:line="440" w:lineRule="exact"/>
        <w:ind w:firstLine="470" w:firstLineChars="196"/>
        <w:rPr>
          <w:szCs w:val="20"/>
        </w:rPr>
      </w:pPr>
      <w:r>
        <w:rPr>
          <w:szCs w:val="20"/>
        </w:rPr>
        <w:t>（2）季度考核评分。由</w:t>
      </w:r>
      <w:r>
        <w:rPr>
          <w:rFonts w:hint="eastAsia"/>
          <w:szCs w:val="20"/>
        </w:rPr>
        <w:t>采购人</w:t>
      </w:r>
      <w:r>
        <w:rPr>
          <w:szCs w:val="20"/>
        </w:rPr>
        <w:t>牵头</w:t>
      </w:r>
      <w:r>
        <w:rPr>
          <w:rFonts w:hint="eastAsia"/>
          <w:szCs w:val="20"/>
        </w:rPr>
        <w:t>组</w:t>
      </w:r>
      <w:r>
        <w:rPr>
          <w:szCs w:val="20"/>
        </w:rPr>
        <w:t>成考评委员会，依据管理服务的要求进行</w:t>
      </w:r>
      <w:r>
        <w:rPr>
          <w:rFonts w:hint="eastAsia"/>
          <w:szCs w:val="20"/>
        </w:rPr>
        <w:t>季度</w:t>
      </w:r>
      <w:r>
        <w:rPr>
          <w:szCs w:val="20"/>
        </w:rPr>
        <w:t>考核，考核每查出一个问题扣</w:t>
      </w:r>
      <w:r>
        <w:rPr>
          <w:rFonts w:hint="eastAsia"/>
          <w:szCs w:val="20"/>
        </w:rPr>
        <w:t>1</w:t>
      </w:r>
      <w:r>
        <w:rPr>
          <w:szCs w:val="20"/>
        </w:rPr>
        <w:t>分（对应扣除当</w:t>
      </w:r>
      <w:r>
        <w:rPr>
          <w:rFonts w:hint="eastAsia"/>
          <w:szCs w:val="20"/>
        </w:rPr>
        <w:t>季</w:t>
      </w:r>
      <w:r>
        <w:rPr>
          <w:szCs w:val="20"/>
        </w:rPr>
        <w:t>物业服务费的</w:t>
      </w:r>
      <w:r>
        <w:rPr>
          <w:rFonts w:hint="eastAsia"/>
          <w:szCs w:val="20"/>
        </w:rPr>
        <w:t>0.2</w:t>
      </w:r>
      <w:r>
        <w:rPr>
          <w:szCs w:val="20"/>
        </w:rPr>
        <w:t>%），累计扣分达</w:t>
      </w:r>
      <w:r>
        <w:rPr>
          <w:rFonts w:hint="eastAsia"/>
          <w:szCs w:val="20"/>
        </w:rPr>
        <w:t>10</w:t>
      </w:r>
      <w:r>
        <w:rPr>
          <w:szCs w:val="20"/>
        </w:rPr>
        <w:t>分时，在当</w:t>
      </w:r>
      <w:r>
        <w:rPr>
          <w:rFonts w:hint="eastAsia"/>
          <w:szCs w:val="20"/>
        </w:rPr>
        <w:t>季</w:t>
      </w:r>
      <w:r>
        <w:rPr>
          <w:szCs w:val="20"/>
        </w:rPr>
        <w:t>物业服务费上扣除</w:t>
      </w:r>
      <w:r>
        <w:rPr>
          <w:rFonts w:hint="eastAsia"/>
          <w:szCs w:val="20"/>
        </w:rPr>
        <w:t>2</w:t>
      </w:r>
      <w:r>
        <w:rPr>
          <w:szCs w:val="20"/>
        </w:rPr>
        <w:t>%的基础上再加扣</w:t>
      </w:r>
      <w:r>
        <w:rPr>
          <w:rFonts w:hint="eastAsia"/>
          <w:szCs w:val="20"/>
        </w:rPr>
        <w:t>3</w:t>
      </w:r>
      <w:r>
        <w:rPr>
          <w:szCs w:val="20"/>
        </w:rPr>
        <w:t>%（即</w:t>
      </w:r>
      <w:r>
        <w:rPr>
          <w:rFonts w:hint="eastAsia"/>
          <w:szCs w:val="20"/>
        </w:rPr>
        <w:t>5</w:t>
      </w:r>
      <w:r>
        <w:rPr>
          <w:szCs w:val="20"/>
        </w:rPr>
        <w:t>%）。连续</w:t>
      </w:r>
      <w:r>
        <w:rPr>
          <w:rFonts w:hint="eastAsia"/>
          <w:szCs w:val="20"/>
        </w:rPr>
        <w:t>两</w:t>
      </w:r>
      <w:r>
        <w:rPr>
          <w:szCs w:val="20"/>
        </w:rPr>
        <w:t>个</w:t>
      </w:r>
      <w:r>
        <w:rPr>
          <w:rFonts w:hint="eastAsia"/>
          <w:szCs w:val="20"/>
        </w:rPr>
        <w:t>季度</w:t>
      </w:r>
      <w:r>
        <w:rPr>
          <w:szCs w:val="20"/>
        </w:rPr>
        <w:t>扣分在</w:t>
      </w:r>
      <w:r>
        <w:rPr>
          <w:rFonts w:hint="eastAsia"/>
          <w:szCs w:val="20"/>
        </w:rPr>
        <w:t>10</w:t>
      </w:r>
      <w:r>
        <w:rPr>
          <w:szCs w:val="20"/>
        </w:rPr>
        <w:t>分以上（含</w:t>
      </w:r>
      <w:r>
        <w:rPr>
          <w:rFonts w:hint="eastAsia"/>
          <w:szCs w:val="20"/>
        </w:rPr>
        <w:t>10</w:t>
      </w:r>
      <w:r>
        <w:rPr>
          <w:szCs w:val="20"/>
        </w:rPr>
        <w:t>分），在</w:t>
      </w:r>
      <w:r>
        <w:rPr>
          <w:rFonts w:hint="eastAsia"/>
          <w:szCs w:val="20"/>
        </w:rPr>
        <w:t>下一季</w:t>
      </w:r>
      <w:r>
        <w:rPr>
          <w:szCs w:val="20"/>
        </w:rPr>
        <w:t>度物业服务费上再加扣5%（即</w:t>
      </w:r>
      <w:r>
        <w:rPr>
          <w:rFonts w:hint="eastAsia"/>
          <w:szCs w:val="20"/>
        </w:rPr>
        <w:t>10</w:t>
      </w:r>
      <w:r>
        <w:rPr>
          <w:szCs w:val="20"/>
        </w:rPr>
        <w:t>%）</w:t>
      </w:r>
      <w:r>
        <w:rPr>
          <w:rFonts w:hint="eastAsia"/>
          <w:szCs w:val="20"/>
        </w:rPr>
        <w:t>。</w:t>
      </w:r>
      <w:r>
        <w:rPr>
          <w:szCs w:val="20"/>
        </w:rPr>
        <w:t xml:space="preserve"> </w:t>
      </w:r>
    </w:p>
    <w:p>
      <w:pPr>
        <w:shd w:val="clear"/>
        <w:spacing w:line="440" w:lineRule="exact"/>
        <w:ind w:firstLine="470" w:firstLineChars="196"/>
        <w:rPr>
          <w:szCs w:val="20"/>
        </w:rPr>
      </w:pPr>
      <w:r>
        <w:rPr>
          <w:szCs w:val="20"/>
        </w:rPr>
        <w:t>（</w:t>
      </w:r>
      <w:r>
        <w:rPr>
          <w:rFonts w:hint="eastAsia"/>
          <w:szCs w:val="20"/>
        </w:rPr>
        <w:t>3</w:t>
      </w:r>
      <w:r>
        <w:rPr>
          <w:szCs w:val="20"/>
        </w:rPr>
        <w:t>）</w:t>
      </w:r>
      <w:r>
        <w:rPr>
          <w:rFonts w:hint="eastAsia"/>
          <w:szCs w:val="20"/>
        </w:rPr>
        <w:t>终止</w:t>
      </w:r>
      <w:r>
        <w:rPr>
          <w:szCs w:val="20"/>
        </w:rPr>
        <w:t>合同。连续3个</w:t>
      </w:r>
      <w:r>
        <w:rPr>
          <w:rFonts w:hint="eastAsia"/>
          <w:szCs w:val="20"/>
        </w:rPr>
        <w:t>季度</w:t>
      </w:r>
      <w:r>
        <w:rPr>
          <w:szCs w:val="20"/>
        </w:rPr>
        <w:t>扣分在</w:t>
      </w:r>
      <w:r>
        <w:rPr>
          <w:rFonts w:hint="eastAsia"/>
          <w:szCs w:val="20"/>
        </w:rPr>
        <w:t>10</w:t>
      </w:r>
      <w:r>
        <w:rPr>
          <w:szCs w:val="20"/>
        </w:rPr>
        <w:t>分以上（含1</w:t>
      </w:r>
      <w:r>
        <w:rPr>
          <w:rFonts w:hint="eastAsia"/>
          <w:szCs w:val="20"/>
        </w:rPr>
        <w:t>0</w:t>
      </w:r>
      <w:r>
        <w:rPr>
          <w:szCs w:val="20"/>
        </w:rPr>
        <w:t>分），经整改仍无提高的</w:t>
      </w:r>
      <w:r>
        <w:rPr>
          <w:rFonts w:hint="eastAsia"/>
          <w:szCs w:val="20"/>
        </w:rPr>
        <w:t>，采购人有权终止</w:t>
      </w:r>
      <w:r>
        <w:rPr>
          <w:szCs w:val="20"/>
        </w:rPr>
        <w:t>合同。</w:t>
      </w:r>
    </w:p>
    <w:p>
      <w:pPr>
        <w:shd w:val="clear"/>
        <w:spacing w:line="408" w:lineRule="auto"/>
        <w:ind w:firstLine="480" w:firstLineChars="200"/>
        <w:rPr>
          <w:rFonts w:ascii="Calibri" w:hAnsi="Calibri"/>
          <w:kern w:val="0"/>
          <w:szCs w:val="15"/>
        </w:rPr>
      </w:pPr>
      <w:r>
        <w:rPr>
          <w:rFonts w:hint="eastAsia" w:ascii="Calibri" w:hAnsi="Calibri"/>
          <w:kern w:val="0"/>
          <w:szCs w:val="15"/>
        </w:rPr>
        <w:t>8成交人必须保障配置的服务人员薪资及福利待遇不得低于雅安市相关政策规定。如国家或地方政府的最低工资标准、保险基数上调，由成交人自行负责承担。采购人不再另行支付费用。</w:t>
      </w:r>
    </w:p>
    <w:p>
      <w:pPr>
        <w:shd w:val="clear"/>
        <w:spacing w:line="408" w:lineRule="auto"/>
        <w:ind w:firstLine="480" w:firstLineChars="200"/>
        <w:rPr>
          <w:rFonts w:ascii="Calibri" w:hAnsi="Calibri"/>
          <w:kern w:val="0"/>
          <w:szCs w:val="15"/>
        </w:rPr>
      </w:pPr>
      <w:r>
        <w:rPr>
          <w:rFonts w:hint="eastAsia" w:ascii="Calibri" w:hAnsi="Calibri"/>
          <w:kern w:val="0"/>
          <w:szCs w:val="15"/>
        </w:rPr>
        <w:t>9.该项目实施全过程安全责任均由成交供应商自行负责。</w:t>
      </w:r>
    </w:p>
    <w:p>
      <w:pPr>
        <w:widowControl/>
        <w:shd w:val="clear"/>
        <w:spacing w:line="408" w:lineRule="auto"/>
        <w:ind w:firstLine="480" w:firstLineChars="200"/>
        <w:jc w:val="left"/>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0</w:t>
      </w:r>
      <w:r>
        <w:rPr>
          <w:rFonts w:hint="eastAsia" w:ascii="宋体" w:hAnsi="宋体" w:cs="宋体"/>
          <w:szCs w:val="24"/>
        </w:rPr>
        <w:t>.违约责任</w:t>
      </w:r>
    </w:p>
    <w:p>
      <w:pPr>
        <w:spacing w:line="408" w:lineRule="auto"/>
        <w:ind w:firstLine="480" w:firstLineChars="200"/>
        <w:rPr>
          <w:rFonts w:ascii="宋体" w:hAnsi="宋体" w:cs="宋体"/>
          <w:szCs w:val="15"/>
        </w:rPr>
      </w:pPr>
      <w:r>
        <w:rPr>
          <w:rFonts w:hint="eastAsia" w:ascii="宋体" w:hAnsi="宋体" w:cs="宋体"/>
          <w:szCs w:val="15"/>
        </w:rPr>
        <w:t>1</w:t>
      </w:r>
      <w:r>
        <w:rPr>
          <w:rFonts w:hint="eastAsia" w:ascii="宋体" w:hAnsi="宋体" w:cs="宋体"/>
          <w:szCs w:val="15"/>
          <w:lang w:val="en-US" w:eastAsia="zh-CN"/>
        </w:rPr>
        <w:t>0</w:t>
      </w:r>
      <w:r>
        <w:rPr>
          <w:rFonts w:hint="eastAsia" w:ascii="宋体" w:hAnsi="宋体" w:cs="宋体"/>
          <w:szCs w:val="15"/>
        </w:rPr>
        <w:t>.1成交供应商必须严格遵守并执行合同中的各项规定，保证采购合同的正常履行。</w:t>
      </w:r>
    </w:p>
    <w:p>
      <w:pPr>
        <w:spacing w:line="408" w:lineRule="auto"/>
        <w:ind w:firstLine="480" w:firstLineChars="200"/>
        <w:rPr>
          <w:rFonts w:ascii="宋体" w:hAnsi="宋体" w:cs="宋体"/>
          <w:szCs w:val="15"/>
        </w:rPr>
      </w:pPr>
      <w:r>
        <w:rPr>
          <w:rFonts w:hint="eastAsia" w:ascii="宋体" w:hAnsi="宋体" w:cs="宋体"/>
          <w:szCs w:val="15"/>
        </w:rPr>
        <w:t>1</w:t>
      </w:r>
      <w:r>
        <w:rPr>
          <w:rFonts w:hint="eastAsia" w:ascii="宋体" w:hAnsi="宋体" w:cs="宋体"/>
          <w:szCs w:val="15"/>
          <w:lang w:val="en-US" w:eastAsia="zh-CN"/>
        </w:rPr>
        <w:t>0</w:t>
      </w:r>
      <w:r>
        <w:rPr>
          <w:rFonts w:hint="eastAsia" w:ascii="宋体" w:hAnsi="宋体" w:cs="宋体"/>
          <w:szCs w:val="15"/>
        </w:rPr>
        <w:t>.2如因成交供应商在履行职务中疏忽、失职、过错等原因给采购人造成损失、侵害或由此导致的采购人对任何第三方的法律责任，成交供应商对此承担全部责任。</w:t>
      </w:r>
    </w:p>
    <w:p>
      <w:pPr>
        <w:widowControl/>
        <w:spacing w:line="408" w:lineRule="auto"/>
        <w:ind w:firstLine="480" w:firstLineChars="200"/>
        <w:jc w:val="left"/>
        <w:rPr>
          <w:rFonts w:ascii="宋体" w:hAnsi="宋体" w:cs="宋体"/>
          <w:szCs w:val="15"/>
        </w:rPr>
      </w:pPr>
      <w:r>
        <w:rPr>
          <w:rFonts w:hint="eastAsia" w:ascii="宋体" w:hAnsi="宋体" w:cs="宋体"/>
          <w:szCs w:val="15"/>
        </w:rPr>
        <w:t>1</w:t>
      </w:r>
      <w:r>
        <w:rPr>
          <w:rFonts w:hint="eastAsia" w:ascii="宋体" w:hAnsi="宋体" w:cs="宋体"/>
          <w:szCs w:val="15"/>
          <w:lang w:val="en-US" w:eastAsia="zh-CN"/>
        </w:rPr>
        <w:t>0</w:t>
      </w:r>
      <w:r>
        <w:rPr>
          <w:rFonts w:hint="eastAsia" w:ascii="宋体" w:hAnsi="宋体" w:cs="宋体"/>
          <w:szCs w:val="15"/>
        </w:rPr>
        <w:t>.3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widowControl/>
        <w:spacing w:line="408" w:lineRule="auto"/>
        <w:ind w:firstLine="480" w:firstLineChars="200"/>
        <w:jc w:val="left"/>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.解决争议的方法</w:t>
      </w:r>
    </w:p>
    <w:p>
      <w:pPr>
        <w:widowControl/>
        <w:spacing w:line="408" w:lineRule="auto"/>
        <w:ind w:firstLine="480" w:firstLineChars="200"/>
        <w:jc w:val="left"/>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.1因服务的质量问题发生争议，由采购人或其指定的第三方机构进行质量鉴定。服务符合标准的，鉴定费由采购人承担；服务不符合质量标准的，鉴定费由供应商承担。</w:t>
      </w:r>
    </w:p>
    <w:p>
      <w:pPr>
        <w:widowControl/>
        <w:spacing w:line="408" w:lineRule="auto"/>
        <w:ind w:firstLine="480" w:firstLineChars="200"/>
        <w:jc w:val="left"/>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.2合同履行期间，若双方发生争议，双方当事人应及时协商解决，也可由当地建设行政主管部门调解。调解不成时，双方当事人同意向项目所在地人民法院起诉。</w:t>
      </w:r>
    </w:p>
    <w:p>
      <w:pPr>
        <w:widowControl/>
        <w:spacing w:line="408" w:lineRule="auto"/>
        <w:ind w:firstLine="480" w:firstLineChars="200"/>
        <w:jc w:val="left"/>
        <w:rPr>
          <w:rFonts w:ascii="宋体" w:hAnsi="宋体" w:cs="宋体"/>
        </w:rPr>
      </w:pPr>
      <w:r>
        <w:rPr>
          <w:rFonts w:hint="eastAsia" w:ascii="宋体" w:hAnsi="宋体" w:cs="宋体"/>
          <w:szCs w:val="24"/>
        </w:rPr>
        <w:t>1</w:t>
      </w:r>
      <w:r>
        <w:rPr>
          <w:rFonts w:hint="eastAsia" w:ascii="宋体" w:hAnsi="宋体" w:cs="宋体"/>
          <w:szCs w:val="24"/>
          <w:lang w:val="en-US" w:eastAsia="zh-CN"/>
        </w:rPr>
        <w:t>2</w:t>
      </w:r>
      <w:r>
        <w:rPr>
          <w:rFonts w:hint="eastAsia" w:ascii="宋体" w:hAnsi="宋体" w:cs="宋体"/>
          <w:szCs w:val="24"/>
        </w:rPr>
        <w:t>.其</w:t>
      </w:r>
      <w:r>
        <w:rPr>
          <w:rFonts w:hint="eastAsia" w:ascii="宋体" w:hAnsi="宋体" w:cs="宋体"/>
        </w:rPr>
        <w:t>他要求：采购人对所提供的资料及本工程的相关文件、科研成果拥有版权，未经采购人许可，编制单位不得复制或出版。</w:t>
      </w:r>
    </w:p>
    <w:p>
      <w:pPr>
        <w:widowControl/>
        <w:spacing w:line="408" w:lineRule="auto"/>
        <w:ind w:firstLine="480" w:firstLineChars="200"/>
        <w:jc w:val="left"/>
        <w:rPr>
          <w:rFonts w:ascii="宋体" w:hAnsi="宋体"/>
          <w:b/>
          <w:bCs/>
        </w:rPr>
      </w:pPr>
      <w:r>
        <w:rPr>
          <w:rFonts w:hint="eastAsia" w:ascii="宋体" w:hAnsi="宋体" w:cs="宋体"/>
        </w:rPr>
        <w:t>1</w:t>
      </w:r>
      <w:r>
        <w:rPr>
          <w:rFonts w:hint="eastAsia" w:ascii="宋体" w:hAnsi="宋体" w:cs="宋体"/>
          <w:lang w:val="en-US" w:eastAsia="zh-CN"/>
        </w:rPr>
        <w:t>3</w:t>
      </w:r>
      <w:r>
        <w:rPr>
          <w:rFonts w:hint="eastAsia" w:ascii="宋体" w:hAnsi="宋体" w:cs="宋体"/>
        </w:rPr>
        <w:t>.安全责任：成交供应商将负责实施过程中所有的人身安全、财产安全、环境安全、人事纠纷等，因实施过程中造成的直接或间接损失，责任均由成交供应商自行承担，成交供应</w:t>
      </w:r>
      <w:r>
        <w:rPr>
          <w:rFonts w:hint="eastAsia" w:ascii="宋体" w:hAnsi="宋体"/>
        </w:rPr>
        <w:t>商须采取严密的安全管理措施，确保该项目安全实施</w:t>
      </w:r>
      <w:r>
        <w:rPr>
          <w:rFonts w:hint="eastAsia" w:ascii="宋体" w:hAnsi="宋体"/>
          <w:lang w:eastAsia="zh-CN"/>
        </w:rPr>
        <w:t>，</w:t>
      </w:r>
      <w:r>
        <w:rPr>
          <w:rFonts w:ascii="宋体" w:hAnsi="宋体" w:eastAsia="宋体" w:cs="宋体"/>
          <w:sz w:val="24"/>
          <w:szCs w:val="24"/>
        </w:rPr>
        <w:t>投标时供应商对此项要求必须提供承诺函，格式自理。</w:t>
      </w:r>
    </w:p>
    <w:p>
      <w:pPr>
        <w:pStyle w:val="7"/>
        <w:outlineLvl w:val="1"/>
        <w:rPr>
          <w:rFonts w:ascii="宋体" w:hAnsi="宋体"/>
          <w:b/>
          <w:bCs/>
          <w:sz w:val="24"/>
        </w:rPr>
      </w:pPr>
      <w:r>
        <w:rPr>
          <w:rFonts w:hint="eastAsia" w:ascii="宋体" w:hAnsi="宋体"/>
          <w:b/>
          <w:bCs/>
          <w:sz w:val="24"/>
        </w:rPr>
        <w:t>六、其他要求（实质性要求）</w:t>
      </w:r>
    </w:p>
    <w:p>
      <w:pPr>
        <w:pStyle w:val="76"/>
        <w:spacing w:line="480" w:lineRule="exact"/>
        <w:ind w:firstLine="561"/>
        <w:jc w:val="both"/>
        <w:rPr>
          <w:rFonts w:hint="default" w:ascii="宋体" w:hAnsi="宋体" w:eastAsia="宋体" w:cs="宋体"/>
          <w:sz w:val="24"/>
          <w:szCs w:val="24"/>
        </w:rPr>
      </w:pPr>
      <w:r>
        <w:rPr>
          <w:rFonts w:ascii="宋体" w:hAnsi="宋体" w:eastAsia="宋体" w:cs="宋体"/>
          <w:sz w:val="24"/>
          <w:szCs w:val="24"/>
        </w:rPr>
        <w:t>1、成交人在领取成交通知书后3 日内，将响应文件中提供的证书、证明材料原件交由采购人审查备案，如原件存在提供虚假材料或真实派遣人员人证不一致或与投标文件中提供的材料不符，采购人有权拒绝签订服务合同并上报财政监管部门处理，如在规定时限内中标人未能递交材料原件，视为中标人拒绝与采购人签订合同。投标时供应商对此项要求必须提供承诺函，格式自理。</w:t>
      </w:r>
    </w:p>
    <w:p>
      <w:pPr>
        <w:pStyle w:val="76"/>
        <w:spacing w:line="480" w:lineRule="exact"/>
        <w:ind w:firstLine="561"/>
        <w:jc w:val="both"/>
        <w:rPr>
          <w:rFonts w:hint="default" w:ascii="宋体" w:hAnsi="宋体" w:eastAsia="宋体" w:cs="宋体"/>
          <w:sz w:val="24"/>
          <w:szCs w:val="24"/>
        </w:rPr>
      </w:pPr>
      <w:r>
        <w:rPr>
          <w:rFonts w:ascii="宋体" w:hAnsi="宋体" w:eastAsia="宋体" w:cs="宋体"/>
          <w:sz w:val="24"/>
          <w:szCs w:val="24"/>
        </w:rPr>
        <w:t>2、成交人在响应文件中明确拟派遣到本项目的所有主管人员、消防监控人员、维修工必须是实际到场派遣人员，进场时需提供的人员花名册与标文件中提供的人员一致，在首个服务期开始履行的半年内不得更换人员，在半年服务期满后，确需调换的，应提前5个工作日报采购人同意后方可调换，投标时供应商对此项要求必须提供承诺函，格式自理。</w:t>
      </w:r>
    </w:p>
    <w:p>
      <w:pPr>
        <w:widowControl/>
        <w:spacing w:line="408" w:lineRule="auto"/>
        <w:jc w:val="left"/>
        <w:outlineLvl w:val="1"/>
        <w:rPr>
          <w:b/>
          <w:bCs/>
          <w:szCs w:val="15"/>
        </w:rPr>
      </w:pPr>
      <w:r>
        <w:rPr>
          <w:rFonts w:hint="eastAsia"/>
          <w:b/>
          <w:bCs/>
          <w:szCs w:val="15"/>
        </w:rPr>
        <w:t>七、服务方案编制要求（实质性要求）</w:t>
      </w:r>
    </w:p>
    <w:p>
      <w:pPr>
        <w:pStyle w:val="5"/>
        <w:spacing w:line="408" w:lineRule="auto"/>
        <w:ind w:firstLine="480"/>
        <w:rPr>
          <w:szCs w:val="15"/>
        </w:rPr>
      </w:pPr>
      <w:r>
        <w:rPr>
          <w:rFonts w:hint="eastAsia"/>
          <w:szCs w:val="15"/>
        </w:rPr>
        <w:t>供应商根据项目实际情况，编制服务方案，包含但不限于：园林绿化维护方案、环境维护方案、秩序维护实施方案、设备设施维护方案、应急处理预案。</w:t>
      </w:r>
    </w:p>
    <w:p>
      <w:pPr>
        <w:widowControl/>
        <w:ind w:firstLine="300" w:firstLineChars="200"/>
        <w:jc w:val="left"/>
        <w:rPr>
          <w:szCs w:val="15"/>
        </w:rPr>
      </w:pPr>
      <w:r>
        <w:rPr>
          <w:rFonts w:hint="eastAsia" w:ascii="宋体" w:hAnsi="宋体" w:cs="宋体"/>
          <w:kern w:val="0"/>
          <w:sz w:val="15"/>
          <w:szCs w:val="15"/>
        </w:rPr>
        <w:t>注：上述服务方案应是专门针对本项目的，若出现项目名称、地址、物业类型、采购人单位名称与本项目采购需求不一 致的，或有漏项的，视为未实质性响应本项目。</w:t>
      </w:r>
    </w:p>
    <w:p>
      <w:pPr>
        <w:pStyle w:val="5"/>
        <w:spacing w:line="408" w:lineRule="auto"/>
        <w:ind w:firstLine="0" w:firstLineChars="0"/>
        <w:outlineLvl w:val="1"/>
        <w:rPr>
          <w:b/>
          <w:bCs/>
          <w:szCs w:val="15"/>
        </w:rPr>
      </w:pPr>
      <w:r>
        <w:rPr>
          <w:rFonts w:hint="eastAsia"/>
          <w:b/>
          <w:bCs/>
          <w:szCs w:val="15"/>
        </w:rPr>
        <w:t>八、综合实力要求（实质性要求）</w:t>
      </w:r>
    </w:p>
    <w:p>
      <w:pPr>
        <w:spacing w:line="408" w:lineRule="auto"/>
        <w:ind w:firstLine="480" w:firstLineChars="200"/>
        <w:rPr>
          <w:rFonts w:ascii="宋体" w:hAnsi="宋体"/>
          <w:szCs w:val="21"/>
        </w:rPr>
      </w:pPr>
      <w:r>
        <w:rPr>
          <w:rFonts w:hint="eastAsia"/>
          <w:szCs w:val="15"/>
        </w:rPr>
        <w:t>供应商提供2020年1月1日至今非住宅类业绩2个。</w:t>
      </w:r>
      <w:r>
        <w:rPr>
          <w:rFonts w:hint="eastAsia" w:ascii="宋体" w:hAnsi="宋体"/>
          <w:szCs w:val="21"/>
        </w:rPr>
        <w:t>合同内容需同时包含：保洁/环境维护、保安/秩序维护、绿化管理/园林绿化维护、工程维护/设施设备维护四项服务内容。</w:t>
      </w:r>
    </w:p>
    <w:p>
      <w:pPr>
        <w:pStyle w:val="7"/>
        <w:ind w:firstLine="420" w:firstLineChars="200"/>
        <w:rPr>
          <w:sz w:val="21"/>
          <w:szCs w:val="21"/>
        </w:rPr>
      </w:pPr>
      <w:r>
        <w:rPr>
          <w:rFonts w:hint="eastAsia" w:ascii="宋体" w:hAnsi="宋体"/>
          <w:sz w:val="21"/>
          <w:szCs w:val="21"/>
        </w:rPr>
        <w:t>注：提供类似业绩合同及成交（中标）通知书扫描件</w:t>
      </w:r>
    </w:p>
    <w:p>
      <w:pPr>
        <w:spacing w:line="408" w:lineRule="auto"/>
        <w:outlineLvl w:val="1"/>
        <w:rPr>
          <w:rFonts w:hint="eastAsia" w:eastAsia="宋体"/>
          <w:b/>
          <w:bCs/>
          <w:szCs w:val="24"/>
          <w:lang w:eastAsia="zh-CN"/>
        </w:rPr>
      </w:pPr>
      <w:r>
        <w:rPr>
          <w:rFonts w:hint="eastAsia"/>
          <w:b/>
          <w:bCs/>
          <w:szCs w:val="24"/>
        </w:rPr>
        <w:t xml:space="preserve">九、 </w:t>
      </w:r>
      <w:r>
        <w:rPr>
          <w:rFonts w:hint="eastAsia" w:ascii="宋体" w:hAnsi="宋体" w:cs="宋体"/>
          <w:b/>
          <w:bCs/>
          <w:kern w:val="0"/>
          <w:szCs w:val="24"/>
        </w:rPr>
        <w:t>服务费报价要求</w:t>
      </w:r>
      <w:r>
        <w:rPr>
          <w:rFonts w:hint="eastAsia" w:ascii="宋体" w:hAnsi="宋体" w:cs="宋体"/>
          <w:b/>
          <w:bCs/>
          <w:kern w:val="0"/>
          <w:szCs w:val="24"/>
          <w:lang w:eastAsia="zh-CN"/>
        </w:rPr>
        <w:t>（</w:t>
      </w:r>
      <w:r>
        <w:rPr>
          <w:rFonts w:hint="eastAsia" w:ascii="宋体" w:hAnsi="宋体" w:cs="宋体"/>
          <w:b/>
          <w:bCs/>
          <w:kern w:val="0"/>
          <w:szCs w:val="24"/>
          <w:lang w:val="en-US" w:eastAsia="zh-CN"/>
        </w:rPr>
        <w:t>实质性要求</w:t>
      </w:r>
      <w:r>
        <w:rPr>
          <w:rFonts w:hint="eastAsia" w:ascii="宋体" w:hAnsi="宋体" w:cs="宋体"/>
          <w:b/>
          <w:bCs/>
          <w:kern w:val="0"/>
          <w:szCs w:val="24"/>
          <w:lang w:eastAsia="zh-CN"/>
        </w:rPr>
        <w:t>）</w:t>
      </w:r>
    </w:p>
    <w:p>
      <w:pPr>
        <w:pStyle w:val="7"/>
        <w:rPr>
          <w:sz w:val="24"/>
          <w:szCs w:val="24"/>
        </w:rPr>
      </w:pPr>
      <w:r>
        <w:rPr>
          <w:rFonts w:hint="eastAsia" w:ascii="宋体" w:hAnsi="宋体" w:cs="宋体"/>
          <w:kern w:val="0"/>
          <w:sz w:val="24"/>
          <w:szCs w:val="24"/>
        </w:rPr>
        <w:t>（一）人工费用：</w:t>
      </w:r>
    </w:p>
    <w:p>
      <w:pPr>
        <w:widowControl/>
        <w:numPr>
          <w:ilvl w:val="0"/>
          <w:numId w:val="14"/>
        </w:numPr>
        <w:spacing w:line="520" w:lineRule="exact"/>
        <w:jc w:val="left"/>
        <w:rPr>
          <w:rFonts w:ascii="宋体" w:hAnsi="宋体" w:cs="宋体"/>
          <w:szCs w:val="24"/>
        </w:rPr>
      </w:pPr>
      <w:r>
        <w:rPr>
          <w:rFonts w:hint="eastAsia" w:ascii="宋体" w:hAnsi="宋体" w:cs="宋体"/>
          <w:kern w:val="0"/>
          <w:szCs w:val="24"/>
        </w:rPr>
        <w:t>人员工资：投标报价人员基本工资不得低于雅安市人民政府颁发的（</w:t>
      </w:r>
      <w:r>
        <w:rPr>
          <w:rFonts w:hint="eastAsia" w:ascii="宋体" w:hAnsi="宋体" w:cs="宋体"/>
          <w:szCs w:val="24"/>
        </w:rPr>
        <w:t>雅府规[2022]1号文件）所规定的工资发放标准。</w:t>
      </w:r>
    </w:p>
    <w:p>
      <w:pPr>
        <w:pStyle w:val="7"/>
        <w:numPr>
          <w:ilvl w:val="0"/>
          <w:numId w:val="14"/>
        </w:numPr>
        <w:spacing w:line="520" w:lineRule="exact"/>
        <w:rPr>
          <w:shd w:val="clear"/>
        </w:rPr>
      </w:pPr>
      <w:r>
        <w:rPr>
          <w:rFonts w:hint="eastAsia" w:ascii="宋体" w:hAnsi="宋体" w:cs="宋体"/>
          <w:sz w:val="24"/>
          <w:szCs w:val="24"/>
        </w:rPr>
        <w:t>社会保险：单位缴纳的社会保险应包含养老保险、失业保险、工伤保险、医疗保险，且缴费比例应符合项目所在地最新</w:t>
      </w:r>
      <w:r>
        <w:rPr>
          <w:rFonts w:hint="eastAsia" w:ascii="宋体" w:hAnsi="宋体" w:cs="宋体"/>
          <w:sz w:val="24"/>
          <w:szCs w:val="24"/>
          <w:shd w:val="clear"/>
        </w:rPr>
        <w:t>社保缴纳标准（雅社险函〔2023〕9 号 ）（雅医保办〔202</w:t>
      </w:r>
      <w:r>
        <w:rPr>
          <w:rFonts w:hint="eastAsia" w:ascii="宋体" w:hAnsi="宋体" w:cs="宋体"/>
          <w:sz w:val="24"/>
          <w:szCs w:val="24"/>
          <w:shd w:val="clear"/>
          <w:lang w:val="en-US" w:eastAsia="zh-CN"/>
        </w:rPr>
        <w:t>3</w:t>
      </w:r>
      <w:r>
        <w:rPr>
          <w:rFonts w:hint="eastAsia" w:ascii="宋体" w:hAnsi="宋体" w:cs="宋体"/>
          <w:sz w:val="24"/>
          <w:szCs w:val="24"/>
          <w:shd w:val="clear"/>
        </w:rPr>
        <w:t>〕</w:t>
      </w:r>
      <w:r>
        <w:rPr>
          <w:rFonts w:hint="eastAsia" w:ascii="宋体" w:hAnsi="宋体" w:cs="宋体"/>
          <w:sz w:val="24"/>
          <w:szCs w:val="24"/>
          <w:shd w:val="clear"/>
          <w:lang w:val="en-US" w:eastAsia="zh-CN"/>
        </w:rPr>
        <w:t>36</w:t>
      </w:r>
      <w:bookmarkStart w:id="2" w:name="_GoBack"/>
      <w:bookmarkEnd w:id="2"/>
      <w:r>
        <w:rPr>
          <w:rFonts w:hint="eastAsia" w:ascii="宋体" w:hAnsi="宋体" w:cs="宋体"/>
          <w:sz w:val="24"/>
          <w:szCs w:val="24"/>
          <w:shd w:val="clear"/>
        </w:rPr>
        <w:t>号）文件中规定的最新城镇职工最低缴费基数。</w:t>
      </w:r>
    </w:p>
    <w:p>
      <w:pPr>
        <w:pStyle w:val="7"/>
        <w:spacing w:line="400" w:lineRule="exact"/>
        <w:ind w:left="238"/>
        <w:rPr>
          <w:sz w:val="15"/>
          <w:szCs w:val="15"/>
        </w:rPr>
      </w:pPr>
      <w:r>
        <w:rPr>
          <w:rFonts w:hint="eastAsia" w:ascii="宋体" w:hAnsi="宋体" w:cs="宋体"/>
          <w:kern w:val="0"/>
          <w:sz w:val="15"/>
          <w:szCs w:val="15"/>
        </w:rPr>
        <w:t>注：为保证项目服务品质，本项目不得聘用兼职人员且必须全员参加国家规定的城镇职工社会保险，供应商不得以本企业或拟派遣的服务人员享受优惠或减免（包含人员基本工资、社保单位缴纳部分）相关政策，不得以免费或无偿、赠送提供服务抵减本项目实际人员运行开支而减少报价项或报价金额，否则视为未实质性响应。</w:t>
      </w:r>
    </w:p>
    <w:p>
      <w:pPr>
        <w:widowControl/>
        <w:jc w:val="left"/>
        <w:rPr>
          <w:szCs w:val="24"/>
        </w:rPr>
      </w:pPr>
      <w:r>
        <w:rPr>
          <w:rFonts w:hint="eastAsia" w:ascii="宋体" w:hAnsi="宋体" w:cs="宋体"/>
          <w:kern w:val="0"/>
          <w:szCs w:val="24"/>
        </w:rPr>
        <w:t xml:space="preserve">（二）非人工费用： </w:t>
      </w:r>
    </w:p>
    <w:p>
      <w:pPr>
        <w:widowControl/>
        <w:spacing w:line="440" w:lineRule="exact"/>
        <w:jc w:val="left"/>
        <w:rPr>
          <w:szCs w:val="24"/>
        </w:rPr>
      </w:pPr>
      <w:r>
        <w:rPr>
          <w:rFonts w:hint="eastAsia" w:ascii="宋体" w:hAnsi="宋体" w:cs="宋体"/>
          <w:kern w:val="0"/>
          <w:szCs w:val="24"/>
        </w:rPr>
        <w:t xml:space="preserve">（1）办公费、通讯费、交通费等。 </w:t>
      </w:r>
    </w:p>
    <w:p>
      <w:pPr>
        <w:widowControl/>
        <w:spacing w:line="440" w:lineRule="exact"/>
        <w:jc w:val="left"/>
        <w:rPr>
          <w:szCs w:val="24"/>
        </w:rPr>
      </w:pPr>
      <w:r>
        <w:rPr>
          <w:rFonts w:hint="eastAsia" w:ascii="宋体" w:hAnsi="宋体" w:cs="宋体"/>
          <w:kern w:val="0"/>
          <w:szCs w:val="24"/>
        </w:rPr>
        <w:t xml:space="preserve">（2）员工所需工器具费用、住宿费。 </w:t>
      </w:r>
    </w:p>
    <w:p>
      <w:pPr>
        <w:widowControl/>
        <w:spacing w:line="440" w:lineRule="exact"/>
        <w:jc w:val="left"/>
        <w:rPr>
          <w:szCs w:val="24"/>
        </w:rPr>
      </w:pPr>
      <w:r>
        <w:rPr>
          <w:rFonts w:hint="eastAsia" w:ascii="宋体" w:hAnsi="宋体" w:cs="宋体"/>
          <w:kern w:val="0"/>
          <w:szCs w:val="24"/>
        </w:rPr>
        <w:t xml:space="preserve">（3）员工基本装备，装具齐全（统一制服，武装带、橡胶棍、对话机、执勤记录仪等费用）。 </w:t>
      </w:r>
    </w:p>
    <w:p>
      <w:pPr>
        <w:widowControl/>
        <w:spacing w:line="440" w:lineRule="exact"/>
        <w:jc w:val="left"/>
        <w:rPr>
          <w:rFonts w:ascii="宋体" w:hAnsi="宋体" w:cs="宋体"/>
          <w:kern w:val="0"/>
          <w:szCs w:val="24"/>
        </w:rPr>
      </w:pPr>
      <w:r>
        <w:rPr>
          <w:rFonts w:hint="eastAsia" w:ascii="宋体" w:hAnsi="宋体" w:cs="宋体"/>
          <w:kern w:val="0"/>
          <w:szCs w:val="24"/>
        </w:rPr>
        <w:t>（4）服务区域内的日常垃圾清运、卫生消杀、除</w:t>
      </w:r>
      <w:r>
        <w:rPr>
          <w:rFonts w:ascii="DejaVuSans" w:hAnsi="DejaVuSans" w:eastAsia="DejaVuSans" w:cs="DejaVuSans"/>
          <w:kern w:val="0"/>
          <w:szCs w:val="24"/>
        </w:rPr>
        <w:t>“</w:t>
      </w:r>
      <w:r>
        <w:rPr>
          <w:rFonts w:hint="eastAsia" w:ascii="宋体" w:hAnsi="宋体" w:cs="宋体"/>
          <w:kern w:val="0"/>
          <w:szCs w:val="24"/>
        </w:rPr>
        <w:t>四害</w:t>
      </w:r>
      <w:r>
        <w:rPr>
          <w:rFonts w:ascii="DejaVuSans" w:hAnsi="DejaVuSans" w:eastAsia="DejaVuSans" w:cs="DejaVuSans"/>
          <w:kern w:val="0"/>
          <w:szCs w:val="24"/>
        </w:rPr>
        <w:t>”</w:t>
      </w:r>
      <w:r>
        <w:rPr>
          <w:rFonts w:hint="eastAsia" w:ascii="宋体" w:hAnsi="宋体" w:cs="宋体"/>
          <w:kern w:val="0"/>
          <w:szCs w:val="24"/>
        </w:rPr>
        <w:t>、病媒生物防治等费用。</w:t>
      </w:r>
    </w:p>
    <w:p>
      <w:pPr>
        <w:widowControl/>
        <w:spacing w:line="440" w:lineRule="exact"/>
        <w:jc w:val="left"/>
        <w:rPr>
          <w:szCs w:val="24"/>
        </w:rPr>
      </w:pPr>
      <w:r>
        <w:rPr>
          <w:rFonts w:hint="eastAsia" w:ascii="宋体" w:hAnsi="宋体" w:cs="宋体"/>
          <w:kern w:val="0"/>
          <w:szCs w:val="24"/>
        </w:rPr>
        <w:t xml:space="preserve">（5）供排水系统、空调设施设备、高低压配电柜运行维护费用（不含零部件更换、专项维修）。 </w:t>
      </w:r>
    </w:p>
    <w:p>
      <w:pPr>
        <w:widowControl/>
        <w:spacing w:line="440" w:lineRule="exact"/>
        <w:jc w:val="left"/>
        <w:rPr>
          <w:szCs w:val="24"/>
        </w:rPr>
      </w:pPr>
      <w:r>
        <w:rPr>
          <w:rFonts w:hint="eastAsia" w:ascii="宋体" w:hAnsi="宋体" w:cs="宋体"/>
          <w:kern w:val="0"/>
          <w:szCs w:val="24"/>
        </w:rPr>
        <w:t xml:space="preserve">（6）洗手间耗材、清洁维护、常用消耗品等不可预见费用（如：清洁工具、清洗剂、垃圾袋等低值易耗品）。 </w:t>
      </w:r>
    </w:p>
    <w:p>
      <w:pPr>
        <w:widowControl/>
        <w:spacing w:line="440" w:lineRule="exact"/>
        <w:jc w:val="left"/>
        <w:rPr>
          <w:szCs w:val="24"/>
        </w:rPr>
      </w:pPr>
      <w:r>
        <w:rPr>
          <w:rFonts w:hint="eastAsia" w:ascii="宋体" w:hAnsi="宋体" w:cs="宋体"/>
          <w:kern w:val="0"/>
          <w:szCs w:val="24"/>
        </w:rPr>
        <w:t xml:space="preserve">（7）零星绿化植物移栽费用、植物摆放的日常管理费用。 </w:t>
      </w:r>
    </w:p>
    <w:p>
      <w:pPr>
        <w:widowControl/>
        <w:spacing w:line="440" w:lineRule="exact"/>
        <w:jc w:val="left"/>
        <w:rPr>
          <w:rFonts w:ascii="宋体" w:hAnsi="宋体" w:cs="宋体"/>
          <w:kern w:val="0"/>
          <w:szCs w:val="24"/>
        </w:rPr>
      </w:pPr>
      <w:r>
        <w:rPr>
          <w:rFonts w:hint="eastAsia" w:ascii="宋体" w:hAnsi="宋体" w:cs="宋体"/>
          <w:kern w:val="0"/>
          <w:szCs w:val="24"/>
        </w:rPr>
        <w:t xml:space="preserve">（8）办公家具及采购物资的零星搬（移）动服务费用。 </w:t>
      </w:r>
    </w:p>
    <w:p>
      <w:pPr>
        <w:pStyle w:val="7"/>
        <w:rPr>
          <w:sz w:val="21"/>
          <w:szCs w:val="21"/>
        </w:rPr>
      </w:pPr>
      <w:r>
        <w:rPr>
          <w:rFonts w:hint="eastAsia" w:ascii="宋体" w:hAnsi="宋体" w:cs="宋体"/>
          <w:kern w:val="0"/>
          <w:sz w:val="21"/>
          <w:szCs w:val="21"/>
        </w:rPr>
        <w:t>注：非人工费用投标人根据企业经营情况自行测算</w:t>
      </w:r>
    </w:p>
    <w:p>
      <w:pPr>
        <w:widowControl/>
        <w:numPr>
          <w:ilvl w:val="0"/>
          <w:numId w:val="15"/>
        </w:numPr>
        <w:spacing w:line="520" w:lineRule="exact"/>
        <w:jc w:val="left"/>
        <w:rPr>
          <w:rFonts w:ascii="宋体" w:hAnsi="宋体" w:cs="宋体"/>
          <w:kern w:val="0"/>
          <w:szCs w:val="24"/>
        </w:rPr>
      </w:pPr>
      <w:r>
        <w:rPr>
          <w:rFonts w:hint="eastAsia" w:ascii="宋体" w:hAnsi="宋体" w:cs="宋体"/>
          <w:kern w:val="0"/>
          <w:szCs w:val="24"/>
        </w:rPr>
        <w:t>其他费用：公司管理费、利润和法定税金等费用。</w:t>
      </w:r>
    </w:p>
    <w:p>
      <w:pPr>
        <w:pStyle w:val="7"/>
        <w:ind w:firstLine="300" w:firstLineChars="200"/>
        <w:rPr>
          <w:sz w:val="15"/>
          <w:szCs w:val="15"/>
        </w:rPr>
      </w:pPr>
      <w:r>
        <w:rPr>
          <w:rFonts w:hint="eastAsia" w:ascii="宋体" w:hAnsi="宋体" w:cs="宋体"/>
          <w:kern w:val="0"/>
          <w:sz w:val="15"/>
          <w:szCs w:val="15"/>
        </w:rPr>
        <w:t>注：其他费用投标人根据企业经营情况自行测算</w:t>
      </w:r>
    </w:p>
    <w:p>
      <w:pPr>
        <w:pStyle w:val="7"/>
        <w:spacing w:line="520" w:lineRule="exact"/>
        <w:rPr>
          <w:sz w:val="24"/>
          <w:szCs w:val="24"/>
        </w:rPr>
      </w:pPr>
      <w:r>
        <w:rPr>
          <w:rFonts w:hint="eastAsia"/>
          <w:sz w:val="24"/>
          <w:szCs w:val="24"/>
        </w:rPr>
        <w:t>（四）专项维护经费：</w:t>
      </w:r>
    </w:p>
    <w:p>
      <w:pPr>
        <w:widowControl/>
        <w:spacing w:line="520" w:lineRule="exact"/>
        <w:jc w:val="left"/>
        <w:rPr>
          <w:b/>
          <w:bCs/>
          <w:sz w:val="24"/>
          <w:szCs w:val="24"/>
        </w:rPr>
      </w:pPr>
      <w:r>
        <w:rPr>
          <w:rFonts w:hint="eastAsia"/>
        </w:rPr>
        <w:t xml:space="preserve"> 消防设施维护保养、材料费。</w:t>
      </w:r>
      <w:r>
        <w:rPr>
          <w:rFonts w:hint="eastAsia"/>
          <w:lang w:eastAsia="zh-CN"/>
        </w:rPr>
        <w:t>（</w:t>
      </w:r>
      <w:r>
        <w:rPr>
          <w:rFonts w:hint="eastAsia"/>
          <w:b/>
          <w:bCs/>
          <w:sz w:val="24"/>
          <w:szCs w:val="24"/>
        </w:rPr>
        <w:t>为保障纪念馆消防安全，此项费用为固定支出费用年总价为≤3万元</w:t>
      </w:r>
      <w:r>
        <w:rPr>
          <w:rFonts w:hint="eastAsia"/>
          <w:lang w:eastAsia="zh-CN"/>
        </w:rPr>
        <w:t>）</w:t>
      </w:r>
    </w:p>
    <w:p>
      <w:pPr>
        <w:rPr>
          <w:rFonts w:ascii="宋体" w:hAnsi="宋体" w:cs="宋体"/>
          <w:sz w:val="32"/>
          <w:szCs w:val="32"/>
        </w:rPr>
      </w:pPr>
      <w:bookmarkStart w:id="1" w:name="_Toc217446110"/>
      <w:r>
        <w:rPr>
          <w:rFonts w:hint="eastAsia" w:ascii="宋体" w:hAnsi="宋体" w:cs="宋体"/>
          <w:sz w:val="32"/>
          <w:szCs w:val="32"/>
        </w:rPr>
        <w:br w:type="page"/>
      </w:r>
      <w:bookmarkEnd w:id="1"/>
    </w:p>
    <w:p>
      <w:pPr>
        <w:spacing w:line="360" w:lineRule="auto"/>
        <w:jc w:val="left"/>
        <w:outlineLvl w:val="0"/>
        <w:rPr>
          <w:rFonts w:ascii="宋体" w:hAnsi="宋体" w:cs="宋体"/>
          <w:b/>
          <w:bCs/>
          <w:szCs w:val="24"/>
        </w:rPr>
      </w:pPr>
      <w:r>
        <w:rPr>
          <w:rFonts w:hint="eastAsia" w:ascii="宋体" w:hAnsi="宋体" w:cs="宋体"/>
          <w:b/>
          <w:bCs/>
          <w:szCs w:val="24"/>
        </w:rPr>
        <w:t>附件2：合同草案条款</w:t>
      </w:r>
    </w:p>
    <w:p>
      <w:pPr>
        <w:tabs>
          <w:tab w:val="left" w:pos="0"/>
        </w:tabs>
        <w:wordWrap w:val="0"/>
        <w:topLinePunct/>
        <w:spacing w:line="336" w:lineRule="auto"/>
        <w:ind w:firstLine="482" w:firstLineChars="200"/>
        <w:jc w:val="left"/>
        <w:rPr>
          <w:rFonts w:ascii="宋体" w:hAnsi="宋体" w:cs="宋体"/>
          <w:szCs w:val="24"/>
        </w:rPr>
      </w:pPr>
      <w:r>
        <w:rPr>
          <w:rFonts w:hint="eastAsia" w:ascii="宋体" w:hAnsi="宋体" w:cs="宋体"/>
          <w:b/>
          <w:bCs/>
          <w:szCs w:val="24"/>
        </w:rPr>
        <w:t>说明：此合同为格式模板合同，仅作为采购人与成交供应商签订合同之时的参考，除实质性要求外，双方可根据实际情况对合同进行调整。</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合同编号：XXXX</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签订地点：XXXX</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签订时间：XXXX年XX月XX日</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采购人（甲方）：XXXXXXXXXXXXXXXX</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供应商（乙方）：XXXXXXXXXXXXXXXX</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参照《中华人民共和国政府采购法》《中华人民共和国民法典》及XX采购项目（项目编号：XX）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一、服务内容及要求</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详见本项目《竞争性谈判文件》。</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二、服务期限：</w:t>
      </w:r>
      <w:r>
        <w:rPr>
          <w:rFonts w:hint="eastAsia" w:ascii="宋体" w:hAnsi="宋体" w:cs="宋体"/>
          <w:szCs w:val="24"/>
          <w:lang w:val="en-US" w:eastAsia="zh-CN"/>
        </w:rPr>
        <w:t>3</w:t>
      </w:r>
      <w:r>
        <w:rPr>
          <w:rFonts w:hint="eastAsia" w:ascii="宋体" w:hAnsi="宋体" w:cs="宋体"/>
          <w:szCs w:val="24"/>
        </w:rPr>
        <w:t>年</w:t>
      </w:r>
      <w:r>
        <w:rPr>
          <w:rFonts w:hint="eastAsia" w:ascii="宋体" w:hAnsi="宋体" w:cs="宋体"/>
          <w:szCs w:val="24"/>
          <w:lang w:eastAsia="zh-CN"/>
        </w:rPr>
        <w:t>，</w:t>
      </w:r>
      <w:r>
        <w:rPr>
          <w:rFonts w:hint="eastAsia" w:ascii="宋体" w:hAnsi="宋体" w:cs="宋体"/>
          <w:szCs w:val="24"/>
          <w:lang w:val="en-US" w:eastAsia="zh-CN"/>
        </w:rPr>
        <w:t>合同一年一签</w:t>
      </w:r>
      <w:r>
        <w:rPr>
          <w:rFonts w:hint="eastAsia" w:ascii="宋体" w:hAnsi="宋体" w:cs="宋体"/>
          <w:szCs w:val="24"/>
        </w:rPr>
        <w:t>。</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三、付款方式</w:t>
      </w:r>
    </w:p>
    <w:p>
      <w:pPr>
        <w:spacing w:line="408" w:lineRule="auto"/>
        <w:ind w:firstLine="480" w:firstLineChars="200"/>
        <w:rPr>
          <w:rFonts w:ascii="Calibri" w:hAnsi="Calibri"/>
          <w:kern w:val="0"/>
          <w:szCs w:val="15"/>
        </w:rPr>
      </w:pPr>
      <w:r>
        <w:rPr>
          <w:rFonts w:hint="eastAsia" w:ascii="Calibri" w:hAnsi="Calibri"/>
          <w:kern w:val="0"/>
          <w:szCs w:val="15"/>
        </w:rPr>
        <w:t>1双方签订合同并生效后5个工作日内，采购人向成交供应商支付合同总金额的30%预付款</w:t>
      </w:r>
    </w:p>
    <w:p>
      <w:pPr>
        <w:spacing w:line="408" w:lineRule="auto"/>
        <w:ind w:firstLine="480" w:firstLineChars="200"/>
        <w:rPr>
          <w:rFonts w:ascii="Calibri" w:hAnsi="Calibri"/>
          <w:kern w:val="0"/>
          <w:szCs w:val="15"/>
        </w:rPr>
      </w:pPr>
      <w:r>
        <w:rPr>
          <w:rFonts w:hint="eastAsia" w:ascii="Calibri" w:hAnsi="Calibri"/>
          <w:kern w:val="0"/>
          <w:szCs w:val="15"/>
        </w:rPr>
        <w:t>2每半年结算一次。成交人上半个年度根据服务考核结果出具合法、完整、有效的完税发票，采购方收到发票后一个月内支付。付款金额=成交金额-考核扣款-预付款；当月度满意度调查平均低于80%时，采购人有权通知成交人整改，整改后三次仍不合格或连续三个月满意度低于80%的，采购人有权单方解除合同。</w:t>
      </w:r>
    </w:p>
    <w:p>
      <w:pPr>
        <w:tabs>
          <w:tab w:val="left" w:pos="0"/>
        </w:tabs>
        <w:wordWrap w:val="0"/>
        <w:topLinePunct/>
        <w:spacing w:line="336" w:lineRule="auto"/>
        <w:ind w:firstLine="480" w:firstLineChars="200"/>
        <w:rPr>
          <w:rFonts w:hint="eastAsia" w:ascii="Calibri" w:hAnsi="Calibri"/>
          <w:kern w:val="0"/>
          <w:szCs w:val="15"/>
        </w:rPr>
      </w:pPr>
      <w:r>
        <w:rPr>
          <w:rFonts w:hint="eastAsia" w:ascii="Calibri" w:hAnsi="Calibri"/>
          <w:kern w:val="0"/>
          <w:szCs w:val="15"/>
        </w:rPr>
        <w:t>3成交人下半个年度根据服务考核结果出具合法、完整、有效的完税发票，采购方收到发票后一个月内支付。付款金额=成交金额-考核扣款；当月度满意度调查平均低于80%时，采购人有权通知成交人整改，整改后三次仍不合格或连续三个月满意度低于80%的，采购人有权单方解除合同。</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四、甲方的权利与义务</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1.甲方有权对合同规定范围内供应商的服务行为进行监督和检查，拥有监管权。有权定期核对供应商提供服务配备的人数，对甲方认为不合理的部分有权下达整改通知书，并要求供应商限期整改。</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2.甲方有权依据双方签订的考评办法对供应商的服务进行定期考评，当考评结果未达到标准时，有权依法不支付剩下费用。</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3.根据本合同规定，按时向供应商支付服务费用。</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4.国家法律法规规定由甲方承担的其他责任。</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乙方的权利与义务</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1.对本合同规定的委托服务范围内享有管理权及服务义务。</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2.根据服务合同向甲方收取服务费用。</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3.及时向甲方通告本项目服务范围内有关服务的重大事项。</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4.接受项目行业管理部门及政府有关部门的指导，接受甲方的监督。</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5. 乙方在履行本合同过程中造成自身损失、第三人损失、甲方损失均由乙方承担。</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6.国家法律法规规定由乙方承担的其他责任。</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五、违约责任及解决纠纷方式</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1.甲乙双方必须遵守本合同并执行合同中的各项规定，保证本合同的正常履行。</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2.乙方单方解除本合同，乙方全额退回所收取款项，向甲方支付合同总额20%的违约金并且赔偿给甲方造成的损失。</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3.在执行本合同中发生的或与本合同有关的争端，双方应通过友好协商解决，协商不成，应提交甲方所在地人民法院诉讼解决。</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4.在诉讼期间，除正在进行诉讼部分外，合同其他部分继续进行。</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六、不可抗力事件处理</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1.在合同有效期内，任何一方因不可抗力事件导致不能履行合同，则合同履行期可延长，其延长期与不可抗力影响期相同。</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2.不可抗力事件发生后，应立即通知对方，并寄送有关权威机构出具的证明。</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3.不可抗力事件延续30天以上，双方应通过友好协商，确定是否继续履行合同。</w:t>
      </w:r>
    </w:p>
    <w:p>
      <w:pPr>
        <w:tabs>
          <w:tab w:val="left" w:pos="0"/>
        </w:tabs>
        <w:wordWrap w:val="0"/>
        <w:topLinePunct/>
        <w:spacing w:line="336" w:lineRule="auto"/>
        <w:ind w:firstLine="240" w:firstLineChars="100"/>
        <w:rPr>
          <w:rFonts w:ascii="宋体" w:hAnsi="宋体" w:cs="宋体"/>
          <w:szCs w:val="24"/>
        </w:rPr>
      </w:pPr>
      <w:r>
        <w:rPr>
          <w:rFonts w:hint="eastAsia" w:ascii="宋体" w:hAnsi="宋体" w:cs="宋体"/>
          <w:szCs w:val="24"/>
        </w:rPr>
        <w:t>七、合同生效及其他</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1.合同执行中涉及采购内容和采购资金进行补充或修改的，须经政府采购监管部门审批，并签订书面协议报政府采购监管部门备案，方可作为主合同不可割舍的一部分。</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2.双方经法定代表人或授权委托代理人签字并加盖单位公章后生效。</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有效期为     年  自   年   月  日至    年   月   日。</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其他</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1.如有未尽事宜，由双方依法订立补充合同。</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2.本合同一式叁份，自双方签章之日起生效，具有同等法律效力。甲乙双方各执壹份，汇编资料壹份。</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 xml:space="preserve">甲方：   （盖章）   </w:t>
      </w:r>
      <w:r>
        <w:rPr>
          <w:rFonts w:hint="eastAsia" w:ascii="宋体" w:hAnsi="宋体" w:cs="宋体"/>
          <w:szCs w:val="24"/>
        </w:rPr>
        <w:tab/>
      </w:r>
      <w:r>
        <w:rPr>
          <w:rFonts w:hint="eastAsia" w:ascii="宋体" w:hAnsi="宋体" w:cs="宋体"/>
          <w:szCs w:val="24"/>
        </w:rPr>
        <w:tab/>
      </w:r>
      <w:r>
        <w:rPr>
          <w:rFonts w:hint="eastAsia" w:ascii="宋体" w:hAnsi="宋体" w:cs="宋体"/>
          <w:szCs w:val="24"/>
        </w:rPr>
        <w:tab/>
      </w:r>
      <w:r>
        <w:rPr>
          <w:rFonts w:hint="eastAsia" w:ascii="宋体" w:hAnsi="宋体" w:cs="宋体"/>
          <w:szCs w:val="24"/>
        </w:rPr>
        <w:t xml:space="preserve">        乙方：   （盖章）</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甲方法定代表人                      乙方法定代表人</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或授权代理人：（签字）              或授权代理人：（签字）</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地    址：                          地    址：</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开户银行：                          开户银行：</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账    号：                          账    号：</w:t>
      </w:r>
    </w:p>
    <w:p>
      <w:pPr>
        <w:tabs>
          <w:tab w:val="left" w:pos="0"/>
        </w:tabs>
        <w:wordWrap w:val="0"/>
        <w:topLinePunct/>
        <w:spacing w:line="336" w:lineRule="auto"/>
        <w:ind w:firstLine="480" w:firstLineChars="200"/>
        <w:rPr>
          <w:rFonts w:ascii="宋体" w:hAnsi="宋体" w:cs="宋体"/>
          <w:szCs w:val="24"/>
        </w:rPr>
      </w:pPr>
      <w:r>
        <w:rPr>
          <w:rFonts w:hint="eastAsia" w:ascii="宋体" w:hAnsi="宋体" w:cs="宋体"/>
          <w:szCs w:val="24"/>
        </w:rPr>
        <w:t>电    话：                          电    话：</w:t>
      </w:r>
    </w:p>
    <w:p>
      <w:pPr>
        <w:tabs>
          <w:tab w:val="left" w:pos="0"/>
        </w:tabs>
        <w:wordWrap w:val="0"/>
        <w:topLinePunct/>
        <w:spacing w:line="360" w:lineRule="auto"/>
        <w:ind w:firstLine="480" w:firstLineChars="200"/>
        <w:rPr>
          <w:rFonts w:ascii="宋体" w:hAnsi="宋体" w:cs="宋体"/>
        </w:rPr>
      </w:pPr>
    </w:p>
    <w:sectPr>
      <w:footerReference r:id="rId4" w:type="first"/>
      <w:footerReference r:id="rId3" w:type="default"/>
      <w:pgSz w:w="11906" w:h="16838"/>
      <w:pgMar w:top="1162" w:right="1531" w:bottom="1191" w:left="1474" w:header="851" w:footer="1559" w:gutter="0"/>
      <w:pgNumType w:fmt="numberInDash" w:start="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DejaVu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2"/>
                  <w:jc w:val="right"/>
                </w:pPr>
                <w:r>
                  <w:fldChar w:fldCharType="begin"/>
                </w:r>
                <w:r>
                  <w:instrText xml:space="preserve">PAGE   \* MERGEFORMAT</w:instrText>
                </w:r>
                <w:r>
                  <w:fldChar w:fldCharType="separate"/>
                </w:r>
                <w:r>
                  <w:rPr>
                    <w:lang w:val="zh-CN"/>
                  </w:rPr>
                  <w:t>-</w:t>
                </w:r>
                <w:r>
                  <w:t xml:space="preserve"> 32 -</w:t>
                </w:r>
                <w:r>
                  <w:fldChar w:fldCharType="end"/>
                </w:r>
              </w:p>
            </w:txbxContent>
          </v:textbox>
        </v:shape>
      </w:pict>
    </w:r>
  </w:p>
  <w:p>
    <w:pPr>
      <w:pStyle w:val="1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- 0 -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466FF"/>
    <w:multiLevelType w:val="singleLevel"/>
    <w:tmpl w:val="84F466FF"/>
    <w:lvl w:ilvl="0" w:tentative="0">
      <w:start w:val="1"/>
      <w:numFmt w:val="decimal"/>
      <w:lvlText w:val="(%1)"/>
      <w:lvlJc w:val="left"/>
      <w:pPr>
        <w:ind w:left="425" w:hanging="425"/>
      </w:pPr>
      <w:rPr>
        <w:rFonts w:hint="default"/>
      </w:rPr>
    </w:lvl>
  </w:abstractNum>
  <w:abstractNum w:abstractNumId="1">
    <w:nsid w:val="9B44AF5E"/>
    <w:multiLevelType w:val="singleLevel"/>
    <w:tmpl w:val="9B44AF5E"/>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58"/>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66"/>
      <w:suff w:val="nothing"/>
      <w:lvlText w:val="第%1章 "/>
      <w:lvlJc w:val="left"/>
      <w:pPr>
        <w:tabs>
          <w:tab w:val="left" w:pos="0"/>
        </w:tabs>
        <w:ind w:left="720" w:firstLine="0"/>
      </w:pPr>
      <w:rPr>
        <w:rFonts w:hint="eastAsia" w:ascii="宋体" w:hAnsi="宋体" w:eastAsia="宋体" w:cs="宋体"/>
      </w:rPr>
    </w:lvl>
    <w:lvl w:ilvl="1" w:tentative="0">
      <w:start w:val="1"/>
      <w:numFmt w:val="chineseCounting"/>
      <w:suff w:val="nothing"/>
      <w:lvlText w:val="%2、"/>
      <w:lvlJc w:val="left"/>
      <w:pPr>
        <w:ind w:left="720" w:firstLine="0"/>
      </w:pPr>
      <w:rPr>
        <w:rFonts w:hint="eastAsia" w:ascii="宋体" w:hAnsi="宋体" w:eastAsia="宋体" w:cs="宋体"/>
      </w:rPr>
    </w:lvl>
    <w:lvl w:ilvl="2" w:tentative="0">
      <w:start w:val="1"/>
      <w:numFmt w:val="chineseCounting"/>
      <w:suff w:val="nothing"/>
      <w:lvlText w:val="(%3)"/>
      <w:lvlJc w:val="left"/>
      <w:pPr>
        <w:tabs>
          <w:tab w:val="left" w:pos="0"/>
        </w:tabs>
        <w:ind w:left="720" w:firstLine="0"/>
      </w:pPr>
      <w:rPr>
        <w:rFonts w:hint="eastAsia" w:ascii="宋体" w:hAnsi="宋体" w:eastAsia="宋体" w:cs="宋体"/>
      </w:rPr>
    </w:lvl>
    <w:lvl w:ilvl="3" w:tentative="0">
      <w:start w:val="1"/>
      <w:numFmt w:val="decimal"/>
      <w:suff w:val="nothing"/>
      <w:lvlText w:val="%4."/>
      <w:lvlJc w:val="left"/>
      <w:pPr>
        <w:tabs>
          <w:tab w:val="left" w:pos="0"/>
        </w:tabs>
        <w:ind w:left="720" w:firstLine="0"/>
      </w:pPr>
      <w:rPr>
        <w:rFonts w:hint="eastAsia" w:ascii="宋体" w:hAnsi="宋体" w:eastAsia="宋体" w:cs="宋体"/>
      </w:rPr>
    </w:lvl>
    <w:lvl w:ilvl="4" w:tentative="0">
      <w:start w:val="1"/>
      <w:numFmt w:val="decimal"/>
      <w:suff w:val="nothing"/>
      <w:lvlText w:val="%4.%5"/>
      <w:lvlJc w:val="left"/>
      <w:pPr>
        <w:ind w:left="720" w:firstLine="0"/>
      </w:pPr>
      <w:rPr>
        <w:rFonts w:hint="eastAsia" w:ascii="宋体" w:hAnsi="宋体" w:eastAsia="宋体" w:cs="宋体"/>
      </w:rPr>
    </w:lvl>
    <w:lvl w:ilvl="5" w:tentative="0">
      <w:start w:val="1"/>
      <w:numFmt w:val="decimal"/>
      <w:suff w:val="nothing"/>
      <w:lvlText w:val="(%6)"/>
      <w:lvlJc w:val="left"/>
      <w:pPr>
        <w:ind w:left="720" w:firstLine="0"/>
      </w:pPr>
      <w:rPr>
        <w:rFonts w:hint="eastAsia" w:ascii="宋体" w:hAnsi="宋体" w:eastAsia="宋体" w:cs="宋体"/>
      </w:rPr>
    </w:lvl>
    <w:lvl w:ilvl="6" w:tentative="0">
      <w:start w:val="1"/>
      <w:numFmt w:val="lowerLetter"/>
      <w:suff w:val="nothing"/>
      <w:lvlText w:val="%7．"/>
      <w:lvlJc w:val="left"/>
      <w:pPr>
        <w:ind w:left="720" w:firstLine="402"/>
      </w:pPr>
      <w:rPr>
        <w:rFonts w:hint="eastAsia"/>
      </w:rPr>
    </w:lvl>
    <w:lvl w:ilvl="7" w:tentative="0">
      <w:start w:val="1"/>
      <w:numFmt w:val="lowerLetter"/>
      <w:suff w:val="nothing"/>
      <w:lvlText w:val="%8）"/>
      <w:lvlJc w:val="left"/>
      <w:pPr>
        <w:ind w:left="720" w:firstLine="402"/>
      </w:pPr>
      <w:rPr>
        <w:rFonts w:hint="eastAsia"/>
      </w:rPr>
    </w:lvl>
    <w:lvl w:ilvl="8" w:tentative="0">
      <w:start w:val="1"/>
      <w:numFmt w:val="lowerRoman"/>
      <w:suff w:val="nothing"/>
      <w:lvlText w:val="%9. "/>
      <w:lvlJc w:val="left"/>
      <w:pPr>
        <w:ind w:left="720" w:firstLine="402"/>
      </w:pPr>
      <w:rPr>
        <w:rFonts w:hint="eastAsia"/>
      </w:rPr>
    </w:lvl>
  </w:abstractNum>
  <w:abstractNum w:abstractNumId="4">
    <w:nsid w:val="C42884D9"/>
    <w:multiLevelType w:val="singleLevel"/>
    <w:tmpl w:val="C42884D9"/>
    <w:lvl w:ilvl="0" w:tentative="0">
      <w:start w:val="1"/>
      <w:numFmt w:val="decimal"/>
      <w:lvlText w:val="(%1)"/>
      <w:lvlJc w:val="left"/>
      <w:pPr>
        <w:ind w:left="425" w:hanging="425"/>
      </w:pPr>
      <w:rPr>
        <w:rFonts w:hint="default"/>
      </w:rPr>
    </w:lvl>
  </w:abstractNum>
  <w:abstractNum w:abstractNumId="5">
    <w:nsid w:val="D03117EC"/>
    <w:multiLevelType w:val="singleLevel"/>
    <w:tmpl w:val="D03117EC"/>
    <w:lvl w:ilvl="0" w:tentative="0">
      <w:start w:val="1"/>
      <w:numFmt w:val="decimal"/>
      <w:suff w:val="nothing"/>
      <w:lvlText w:val="%1、"/>
      <w:lvlJc w:val="left"/>
      <w:pPr>
        <w:ind w:left="240"/>
      </w:p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1"/>
      <w:suff w:val="nothing"/>
      <w:lvlText w:val="(%2)"/>
      <w:lvlJc w:val="left"/>
      <w:pPr>
        <w:ind w:left="24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E574FC7B"/>
    <w:multiLevelType w:val="singleLevel"/>
    <w:tmpl w:val="E574FC7B"/>
    <w:lvl w:ilvl="0" w:tentative="0">
      <w:start w:val="1"/>
      <w:numFmt w:val="decimal"/>
      <w:lvlText w:val="(%1)"/>
      <w:lvlJc w:val="left"/>
      <w:pPr>
        <w:ind w:left="425" w:hanging="425"/>
      </w:pPr>
      <w:rPr>
        <w:rFonts w:hint="default"/>
      </w:rPr>
    </w:lvl>
  </w:abstractNum>
  <w:abstractNum w:abstractNumId="8">
    <w:nsid w:val="E7B9572D"/>
    <w:multiLevelType w:val="singleLevel"/>
    <w:tmpl w:val="E7B9572D"/>
    <w:lvl w:ilvl="0" w:tentative="0">
      <w:start w:val="1"/>
      <w:numFmt w:val="decimal"/>
      <w:lvlText w:val="(%1)"/>
      <w:lvlJc w:val="left"/>
      <w:pPr>
        <w:ind w:left="425" w:hanging="425"/>
      </w:pPr>
      <w:rPr>
        <w:rFonts w:hint="default"/>
      </w:rPr>
    </w:lvl>
  </w:abstractNum>
  <w:abstractNum w:abstractNumId="9">
    <w:nsid w:val="0F1A062F"/>
    <w:multiLevelType w:val="singleLevel"/>
    <w:tmpl w:val="0F1A062F"/>
    <w:lvl w:ilvl="0" w:tentative="0">
      <w:start w:val="2"/>
      <w:numFmt w:val="chineseCounting"/>
      <w:suff w:val="nothing"/>
      <w:lvlText w:val="%1、"/>
      <w:lvlJc w:val="left"/>
      <w:rPr>
        <w:rFonts w:hint="eastAsia"/>
      </w:rPr>
    </w:lvl>
  </w:abstractNum>
  <w:abstractNum w:abstractNumId="10">
    <w:nsid w:val="1F784CD3"/>
    <w:multiLevelType w:val="singleLevel"/>
    <w:tmpl w:val="1F784CD3"/>
    <w:lvl w:ilvl="0" w:tentative="0">
      <w:start w:val="1"/>
      <w:numFmt w:val="decimal"/>
      <w:lvlText w:val="(%1)"/>
      <w:lvlJc w:val="left"/>
      <w:pPr>
        <w:ind w:left="425" w:hanging="425"/>
      </w:pPr>
      <w:rPr>
        <w:rFonts w:hint="default"/>
      </w:rPr>
    </w:lvl>
  </w:abstractNum>
  <w:abstractNum w:abstractNumId="11">
    <w:nsid w:val="21FC50D1"/>
    <w:multiLevelType w:val="singleLevel"/>
    <w:tmpl w:val="21FC50D1"/>
    <w:lvl w:ilvl="0" w:tentative="0">
      <w:start w:val="3"/>
      <w:numFmt w:val="chineseCounting"/>
      <w:suff w:val="nothing"/>
      <w:lvlText w:val="（%1）"/>
      <w:lvlJc w:val="left"/>
      <w:rPr>
        <w:rFonts w:hint="eastAsia"/>
      </w:r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61FD2830"/>
    <w:multiLevelType w:val="singleLevel"/>
    <w:tmpl w:val="61FD2830"/>
    <w:lvl w:ilvl="0" w:tentative="0">
      <w:start w:val="1"/>
      <w:numFmt w:val="decimal"/>
      <w:lvlText w:val="(%1)"/>
      <w:lvlJc w:val="left"/>
      <w:pPr>
        <w:ind w:left="425" w:hanging="425"/>
      </w:pPr>
      <w:rPr>
        <w:rFonts w:hint="default"/>
      </w:rPr>
    </w:lvl>
  </w:abstractNum>
  <w:abstractNum w:abstractNumId="14">
    <w:nsid w:val="6EE6DB6E"/>
    <w:multiLevelType w:val="singleLevel"/>
    <w:tmpl w:val="6EE6DB6E"/>
    <w:lvl w:ilvl="0" w:tentative="0">
      <w:start w:val="1"/>
      <w:numFmt w:val="decimal"/>
      <w:lvlText w:val="(%1)"/>
      <w:lvlJc w:val="left"/>
      <w:pPr>
        <w:ind w:left="425" w:hanging="425"/>
      </w:pPr>
      <w:rPr>
        <w:rFonts w:hint="default"/>
      </w:rPr>
    </w:lvl>
  </w:abstractNum>
  <w:num w:numId="1">
    <w:abstractNumId w:val="12"/>
  </w:num>
  <w:num w:numId="2">
    <w:abstractNumId w:val="6"/>
  </w:num>
  <w:num w:numId="3">
    <w:abstractNumId w:val="2"/>
  </w:num>
  <w:num w:numId="4">
    <w:abstractNumId w:val="3"/>
  </w:num>
  <w:num w:numId="5">
    <w:abstractNumId w:val="9"/>
  </w:num>
  <w:num w:numId="6">
    <w:abstractNumId w:val="1"/>
  </w:num>
  <w:num w:numId="7">
    <w:abstractNumId w:val="0"/>
  </w:num>
  <w:num w:numId="8">
    <w:abstractNumId w:val="13"/>
  </w:num>
  <w:num w:numId="9">
    <w:abstractNumId w:val="7"/>
  </w:num>
  <w:num w:numId="10">
    <w:abstractNumId w:val="14"/>
  </w:num>
  <w:num w:numId="11">
    <w:abstractNumId w:val="10"/>
  </w:num>
  <w:num w:numId="12">
    <w:abstractNumId w:val="4"/>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yZjVkMmU5MDc4ZTJjZDI4OGU3ZjUwN2NjYjVlZjYifQ=="/>
  </w:docVars>
  <w:rsids>
    <w:rsidRoot w:val="00172A27"/>
    <w:rsid w:val="00004D68"/>
    <w:rsid w:val="0001195F"/>
    <w:rsid w:val="000122AC"/>
    <w:rsid w:val="000169D5"/>
    <w:rsid w:val="00035CDF"/>
    <w:rsid w:val="00035D18"/>
    <w:rsid w:val="00042CF6"/>
    <w:rsid w:val="00046864"/>
    <w:rsid w:val="00047CED"/>
    <w:rsid w:val="000549D8"/>
    <w:rsid w:val="00055343"/>
    <w:rsid w:val="00062173"/>
    <w:rsid w:val="00070410"/>
    <w:rsid w:val="000B1279"/>
    <w:rsid w:val="000C473C"/>
    <w:rsid w:val="000C74E3"/>
    <w:rsid w:val="000D5163"/>
    <w:rsid w:val="000D6AAC"/>
    <w:rsid w:val="000E2CD3"/>
    <w:rsid w:val="000E4142"/>
    <w:rsid w:val="000E5E5F"/>
    <w:rsid w:val="000F05AD"/>
    <w:rsid w:val="000F780B"/>
    <w:rsid w:val="00105AC9"/>
    <w:rsid w:val="0011621D"/>
    <w:rsid w:val="001238B6"/>
    <w:rsid w:val="00131103"/>
    <w:rsid w:val="00146B78"/>
    <w:rsid w:val="001515D3"/>
    <w:rsid w:val="00152905"/>
    <w:rsid w:val="0016501A"/>
    <w:rsid w:val="00165213"/>
    <w:rsid w:val="00167415"/>
    <w:rsid w:val="00171711"/>
    <w:rsid w:val="00172A27"/>
    <w:rsid w:val="00174E6A"/>
    <w:rsid w:val="00174FAD"/>
    <w:rsid w:val="00177E24"/>
    <w:rsid w:val="00183CC6"/>
    <w:rsid w:val="001A11AD"/>
    <w:rsid w:val="001A5CE4"/>
    <w:rsid w:val="001A6E3F"/>
    <w:rsid w:val="001A795F"/>
    <w:rsid w:val="001B19CE"/>
    <w:rsid w:val="001C3AE7"/>
    <w:rsid w:val="001C74AE"/>
    <w:rsid w:val="001E399F"/>
    <w:rsid w:val="001F6378"/>
    <w:rsid w:val="00212B3B"/>
    <w:rsid w:val="0022209E"/>
    <w:rsid w:val="002248AE"/>
    <w:rsid w:val="0023402D"/>
    <w:rsid w:val="00241926"/>
    <w:rsid w:val="00242B41"/>
    <w:rsid w:val="00265535"/>
    <w:rsid w:val="00296687"/>
    <w:rsid w:val="002A3897"/>
    <w:rsid w:val="002A76AD"/>
    <w:rsid w:val="002B596E"/>
    <w:rsid w:val="002B7069"/>
    <w:rsid w:val="002D364A"/>
    <w:rsid w:val="002F4A85"/>
    <w:rsid w:val="002F64B4"/>
    <w:rsid w:val="00300371"/>
    <w:rsid w:val="00302517"/>
    <w:rsid w:val="00344898"/>
    <w:rsid w:val="00346B11"/>
    <w:rsid w:val="003700E4"/>
    <w:rsid w:val="003A2C50"/>
    <w:rsid w:val="003B1639"/>
    <w:rsid w:val="003C24C7"/>
    <w:rsid w:val="003E6B16"/>
    <w:rsid w:val="003E7296"/>
    <w:rsid w:val="00401A46"/>
    <w:rsid w:val="00403EF0"/>
    <w:rsid w:val="0040575B"/>
    <w:rsid w:val="004160D2"/>
    <w:rsid w:val="00420714"/>
    <w:rsid w:val="00421D6E"/>
    <w:rsid w:val="00430A96"/>
    <w:rsid w:val="00436CBE"/>
    <w:rsid w:val="00461A89"/>
    <w:rsid w:val="00472199"/>
    <w:rsid w:val="00475467"/>
    <w:rsid w:val="00477CD1"/>
    <w:rsid w:val="00481CB9"/>
    <w:rsid w:val="00482BC5"/>
    <w:rsid w:val="00496570"/>
    <w:rsid w:val="00497084"/>
    <w:rsid w:val="00497409"/>
    <w:rsid w:val="004A0D48"/>
    <w:rsid w:val="004A1851"/>
    <w:rsid w:val="004A34F3"/>
    <w:rsid w:val="004A388F"/>
    <w:rsid w:val="004B777B"/>
    <w:rsid w:val="004D045B"/>
    <w:rsid w:val="004D0CC8"/>
    <w:rsid w:val="004E3CDE"/>
    <w:rsid w:val="005002C5"/>
    <w:rsid w:val="00506BE8"/>
    <w:rsid w:val="00507F40"/>
    <w:rsid w:val="005175B3"/>
    <w:rsid w:val="005213F8"/>
    <w:rsid w:val="00527AF5"/>
    <w:rsid w:val="0053493F"/>
    <w:rsid w:val="00534DF1"/>
    <w:rsid w:val="00552685"/>
    <w:rsid w:val="005534F0"/>
    <w:rsid w:val="005714BE"/>
    <w:rsid w:val="00580DC1"/>
    <w:rsid w:val="00591F45"/>
    <w:rsid w:val="005A4156"/>
    <w:rsid w:val="005A4445"/>
    <w:rsid w:val="005A483B"/>
    <w:rsid w:val="005A5E00"/>
    <w:rsid w:val="005A7208"/>
    <w:rsid w:val="005C690B"/>
    <w:rsid w:val="005D0A20"/>
    <w:rsid w:val="005D1264"/>
    <w:rsid w:val="005D5765"/>
    <w:rsid w:val="005D6F98"/>
    <w:rsid w:val="005E4C97"/>
    <w:rsid w:val="005F64E4"/>
    <w:rsid w:val="00602594"/>
    <w:rsid w:val="0060347E"/>
    <w:rsid w:val="00611270"/>
    <w:rsid w:val="0061386E"/>
    <w:rsid w:val="00616F34"/>
    <w:rsid w:val="006377DE"/>
    <w:rsid w:val="006445AB"/>
    <w:rsid w:val="006557BB"/>
    <w:rsid w:val="00661138"/>
    <w:rsid w:val="00675481"/>
    <w:rsid w:val="006836D3"/>
    <w:rsid w:val="006A2F65"/>
    <w:rsid w:val="006A59D1"/>
    <w:rsid w:val="006A711C"/>
    <w:rsid w:val="006A7D76"/>
    <w:rsid w:val="006B7080"/>
    <w:rsid w:val="006D1630"/>
    <w:rsid w:val="006D2F32"/>
    <w:rsid w:val="006E2F13"/>
    <w:rsid w:val="006E411C"/>
    <w:rsid w:val="006E5FB3"/>
    <w:rsid w:val="006E74DE"/>
    <w:rsid w:val="007166AB"/>
    <w:rsid w:val="00721603"/>
    <w:rsid w:val="00721AE7"/>
    <w:rsid w:val="00725E47"/>
    <w:rsid w:val="00745B39"/>
    <w:rsid w:val="00751970"/>
    <w:rsid w:val="007766AF"/>
    <w:rsid w:val="007803A7"/>
    <w:rsid w:val="00792F97"/>
    <w:rsid w:val="007A2839"/>
    <w:rsid w:val="007A29BB"/>
    <w:rsid w:val="007A37FF"/>
    <w:rsid w:val="007A64ED"/>
    <w:rsid w:val="007B7661"/>
    <w:rsid w:val="007D522B"/>
    <w:rsid w:val="007E0763"/>
    <w:rsid w:val="007E0D91"/>
    <w:rsid w:val="007E3EDD"/>
    <w:rsid w:val="007E6482"/>
    <w:rsid w:val="007F255A"/>
    <w:rsid w:val="0080067E"/>
    <w:rsid w:val="00802840"/>
    <w:rsid w:val="00803E3F"/>
    <w:rsid w:val="00807DC2"/>
    <w:rsid w:val="008214F8"/>
    <w:rsid w:val="00833228"/>
    <w:rsid w:val="00835E53"/>
    <w:rsid w:val="008363C9"/>
    <w:rsid w:val="008445C2"/>
    <w:rsid w:val="008520A1"/>
    <w:rsid w:val="00860893"/>
    <w:rsid w:val="00867417"/>
    <w:rsid w:val="00871603"/>
    <w:rsid w:val="008774F1"/>
    <w:rsid w:val="00887146"/>
    <w:rsid w:val="00896DD7"/>
    <w:rsid w:val="008A216C"/>
    <w:rsid w:val="008B1170"/>
    <w:rsid w:val="008B5F20"/>
    <w:rsid w:val="008C0D9B"/>
    <w:rsid w:val="008E5F44"/>
    <w:rsid w:val="008E627E"/>
    <w:rsid w:val="008E756C"/>
    <w:rsid w:val="008F3D24"/>
    <w:rsid w:val="008F6C9A"/>
    <w:rsid w:val="0090786C"/>
    <w:rsid w:val="009100A4"/>
    <w:rsid w:val="00922B24"/>
    <w:rsid w:val="009231A1"/>
    <w:rsid w:val="00924247"/>
    <w:rsid w:val="00926DB1"/>
    <w:rsid w:val="00931375"/>
    <w:rsid w:val="0093479F"/>
    <w:rsid w:val="009416FE"/>
    <w:rsid w:val="00941D8E"/>
    <w:rsid w:val="00957D6B"/>
    <w:rsid w:val="00960FA9"/>
    <w:rsid w:val="009660C0"/>
    <w:rsid w:val="00987DBB"/>
    <w:rsid w:val="00993E5B"/>
    <w:rsid w:val="0099669A"/>
    <w:rsid w:val="009A1C95"/>
    <w:rsid w:val="009B4786"/>
    <w:rsid w:val="009D6BC0"/>
    <w:rsid w:val="009D767D"/>
    <w:rsid w:val="00A00A29"/>
    <w:rsid w:val="00A02A89"/>
    <w:rsid w:val="00A20C2B"/>
    <w:rsid w:val="00A21F0F"/>
    <w:rsid w:val="00A2495C"/>
    <w:rsid w:val="00A30DE0"/>
    <w:rsid w:val="00A31A3D"/>
    <w:rsid w:val="00A34161"/>
    <w:rsid w:val="00A34A56"/>
    <w:rsid w:val="00A36C89"/>
    <w:rsid w:val="00A40FF2"/>
    <w:rsid w:val="00A43AEA"/>
    <w:rsid w:val="00A507A1"/>
    <w:rsid w:val="00A5552E"/>
    <w:rsid w:val="00A611D5"/>
    <w:rsid w:val="00A666B7"/>
    <w:rsid w:val="00A70AED"/>
    <w:rsid w:val="00A75125"/>
    <w:rsid w:val="00A8237A"/>
    <w:rsid w:val="00A930F3"/>
    <w:rsid w:val="00AB1CC6"/>
    <w:rsid w:val="00AB40C8"/>
    <w:rsid w:val="00AB4906"/>
    <w:rsid w:val="00AB4CA2"/>
    <w:rsid w:val="00AC02EE"/>
    <w:rsid w:val="00AC2A5B"/>
    <w:rsid w:val="00AD1BC3"/>
    <w:rsid w:val="00AD2040"/>
    <w:rsid w:val="00AD5649"/>
    <w:rsid w:val="00AD5F4D"/>
    <w:rsid w:val="00AD70A3"/>
    <w:rsid w:val="00AE0BF4"/>
    <w:rsid w:val="00AE2171"/>
    <w:rsid w:val="00AF2AAF"/>
    <w:rsid w:val="00AF3C9C"/>
    <w:rsid w:val="00AF52A0"/>
    <w:rsid w:val="00B0507A"/>
    <w:rsid w:val="00B13871"/>
    <w:rsid w:val="00B205CA"/>
    <w:rsid w:val="00B233B7"/>
    <w:rsid w:val="00B37D73"/>
    <w:rsid w:val="00B41F68"/>
    <w:rsid w:val="00B628C3"/>
    <w:rsid w:val="00B6671C"/>
    <w:rsid w:val="00B871FD"/>
    <w:rsid w:val="00B9330E"/>
    <w:rsid w:val="00BA4B9F"/>
    <w:rsid w:val="00BB30D2"/>
    <w:rsid w:val="00BB6519"/>
    <w:rsid w:val="00BC66B1"/>
    <w:rsid w:val="00BD34FF"/>
    <w:rsid w:val="00BF4DAC"/>
    <w:rsid w:val="00C05BFC"/>
    <w:rsid w:val="00C10DBE"/>
    <w:rsid w:val="00C2169E"/>
    <w:rsid w:val="00C4259A"/>
    <w:rsid w:val="00C57268"/>
    <w:rsid w:val="00C620FF"/>
    <w:rsid w:val="00C653F1"/>
    <w:rsid w:val="00C66397"/>
    <w:rsid w:val="00C74CD4"/>
    <w:rsid w:val="00C74F42"/>
    <w:rsid w:val="00CB58A5"/>
    <w:rsid w:val="00CC762D"/>
    <w:rsid w:val="00CD2A1B"/>
    <w:rsid w:val="00CE6EB6"/>
    <w:rsid w:val="00CE6EC2"/>
    <w:rsid w:val="00D04C2C"/>
    <w:rsid w:val="00D07884"/>
    <w:rsid w:val="00D1132D"/>
    <w:rsid w:val="00D1352D"/>
    <w:rsid w:val="00D260E2"/>
    <w:rsid w:val="00D328D8"/>
    <w:rsid w:val="00D44190"/>
    <w:rsid w:val="00D463F5"/>
    <w:rsid w:val="00D66E61"/>
    <w:rsid w:val="00D74174"/>
    <w:rsid w:val="00D82815"/>
    <w:rsid w:val="00D83815"/>
    <w:rsid w:val="00D94FED"/>
    <w:rsid w:val="00D95505"/>
    <w:rsid w:val="00D9570E"/>
    <w:rsid w:val="00D9750B"/>
    <w:rsid w:val="00D97A1D"/>
    <w:rsid w:val="00DB5475"/>
    <w:rsid w:val="00DB5BC5"/>
    <w:rsid w:val="00DB685E"/>
    <w:rsid w:val="00DD6079"/>
    <w:rsid w:val="00DE79DA"/>
    <w:rsid w:val="00DE7F35"/>
    <w:rsid w:val="00DF71DC"/>
    <w:rsid w:val="00E20FC6"/>
    <w:rsid w:val="00E3361D"/>
    <w:rsid w:val="00E34FEE"/>
    <w:rsid w:val="00E43A8C"/>
    <w:rsid w:val="00E57FF7"/>
    <w:rsid w:val="00E707D3"/>
    <w:rsid w:val="00E7217D"/>
    <w:rsid w:val="00EA3E25"/>
    <w:rsid w:val="00EB3F68"/>
    <w:rsid w:val="00ED0D06"/>
    <w:rsid w:val="00ED5986"/>
    <w:rsid w:val="00EF1AD3"/>
    <w:rsid w:val="00EF1F17"/>
    <w:rsid w:val="00EF4998"/>
    <w:rsid w:val="00F045F3"/>
    <w:rsid w:val="00F40C4D"/>
    <w:rsid w:val="00F47E8E"/>
    <w:rsid w:val="00F55446"/>
    <w:rsid w:val="00F556A8"/>
    <w:rsid w:val="00F60088"/>
    <w:rsid w:val="00F93E5F"/>
    <w:rsid w:val="00F96A50"/>
    <w:rsid w:val="00FB172F"/>
    <w:rsid w:val="00FC2578"/>
    <w:rsid w:val="00FD78B6"/>
    <w:rsid w:val="00FE0B92"/>
    <w:rsid w:val="00FE114B"/>
    <w:rsid w:val="00FE350A"/>
    <w:rsid w:val="00FE4E88"/>
    <w:rsid w:val="00FF4CD2"/>
    <w:rsid w:val="011E3D92"/>
    <w:rsid w:val="0136557F"/>
    <w:rsid w:val="013B0DE8"/>
    <w:rsid w:val="013B670D"/>
    <w:rsid w:val="01613FD5"/>
    <w:rsid w:val="01877B89"/>
    <w:rsid w:val="01877DA8"/>
    <w:rsid w:val="018E7169"/>
    <w:rsid w:val="01CE7DE3"/>
    <w:rsid w:val="01E74ACC"/>
    <w:rsid w:val="01E76C86"/>
    <w:rsid w:val="01F86CD9"/>
    <w:rsid w:val="020250A8"/>
    <w:rsid w:val="02301FCF"/>
    <w:rsid w:val="024743DC"/>
    <w:rsid w:val="024B6E08"/>
    <w:rsid w:val="02601F6E"/>
    <w:rsid w:val="02624177"/>
    <w:rsid w:val="028440C8"/>
    <w:rsid w:val="028D7DDE"/>
    <w:rsid w:val="0294591D"/>
    <w:rsid w:val="029A5468"/>
    <w:rsid w:val="02A12ECC"/>
    <w:rsid w:val="02B83126"/>
    <w:rsid w:val="02D61C82"/>
    <w:rsid w:val="02D6276D"/>
    <w:rsid w:val="02E01C47"/>
    <w:rsid w:val="02F51F0C"/>
    <w:rsid w:val="03167099"/>
    <w:rsid w:val="031C2553"/>
    <w:rsid w:val="03463A74"/>
    <w:rsid w:val="034872E6"/>
    <w:rsid w:val="0350044F"/>
    <w:rsid w:val="035B12CD"/>
    <w:rsid w:val="0361440A"/>
    <w:rsid w:val="036C573B"/>
    <w:rsid w:val="03822CFE"/>
    <w:rsid w:val="03975AC9"/>
    <w:rsid w:val="03EA5256"/>
    <w:rsid w:val="041119FF"/>
    <w:rsid w:val="043227AB"/>
    <w:rsid w:val="0451447E"/>
    <w:rsid w:val="04567CE7"/>
    <w:rsid w:val="04571A70"/>
    <w:rsid w:val="04575F38"/>
    <w:rsid w:val="047F4228"/>
    <w:rsid w:val="048605CC"/>
    <w:rsid w:val="048900BC"/>
    <w:rsid w:val="049D16DA"/>
    <w:rsid w:val="04B30C95"/>
    <w:rsid w:val="04BD7D66"/>
    <w:rsid w:val="04D93C47"/>
    <w:rsid w:val="05002B6F"/>
    <w:rsid w:val="0506170D"/>
    <w:rsid w:val="05171224"/>
    <w:rsid w:val="051E35AD"/>
    <w:rsid w:val="053973EC"/>
    <w:rsid w:val="05445A1E"/>
    <w:rsid w:val="054D158E"/>
    <w:rsid w:val="05614B95"/>
    <w:rsid w:val="057650C3"/>
    <w:rsid w:val="057F6DC9"/>
    <w:rsid w:val="05834B0B"/>
    <w:rsid w:val="05B64EE1"/>
    <w:rsid w:val="05BF1062"/>
    <w:rsid w:val="05D62E8D"/>
    <w:rsid w:val="05E11832"/>
    <w:rsid w:val="05E158CB"/>
    <w:rsid w:val="05F81055"/>
    <w:rsid w:val="05FB6D97"/>
    <w:rsid w:val="06113DBC"/>
    <w:rsid w:val="06345BD0"/>
    <w:rsid w:val="06450013"/>
    <w:rsid w:val="067032E2"/>
    <w:rsid w:val="067526A6"/>
    <w:rsid w:val="067D1574"/>
    <w:rsid w:val="06936FD0"/>
    <w:rsid w:val="06E17D3B"/>
    <w:rsid w:val="070B6B66"/>
    <w:rsid w:val="070F5AC9"/>
    <w:rsid w:val="0717375D"/>
    <w:rsid w:val="072A7934"/>
    <w:rsid w:val="072F0AE6"/>
    <w:rsid w:val="073F2CB4"/>
    <w:rsid w:val="07604AA6"/>
    <w:rsid w:val="07807DE1"/>
    <w:rsid w:val="079E5C2C"/>
    <w:rsid w:val="07B05960"/>
    <w:rsid w:val="07BD6940"/>
    <w:rsid w:val="07FD0003"/>
    <w:rsid w:val="07FE59F4"/>
    <w:rsid w:val="080B2A63"/>
    <w:rsid w:val="084120E9"/>
    <w:rsid w:val="08536A17"/>
    <w:rsid w:val="08600F8F"/>
    <w:rsid w:val="08B51480"/>
    <w:rsid w:val="08C07E24"/>
    <w:rsid w:val="08D613F6"/>
    <w:rsid w:val="08DF1D54"/>
    <w:rsid w:val="08E65ADD"/>
    <w:rsid w:val="08FD6983"/>
    <w:rsid w:val="08FE3363"/>
    <w:rsid w:val="09206467"/>
    <w:rsid w:val="0955056D"/>
    <w:rsid w:val="095E1B17"/>
    <w:rsid w:val="09646A02"/>
    <w:rsid w:val="09815806"/>
    <w:rsid w:val="09820527"/>
    <w:rsid w:val="0983157E"/>
    <w:rsid w:val="099A44CF"/>
    <w:rsid w:val="09AF2373"/>
    <w:rsid w:val="0A124C47"/>
    <w:rsid w:val="0A333957"/>
    <w:rsid w:val="0A3867FB"/>
    <w:rsid w:val="0A5B101A"/>
    <w:rsid w:val="0A7D624C"/>
    <w:rsid w:val="0AB654F5"/>
    <w:rsid w:val="0ACC2AB1"/>
    <w:rsid w:val="0AE61DC4"/>
    <w:rsid w:val="0AEC6CAF"/>
    <w:rsid w:val="0B0A5387"/>
    <w:rsid w:val="0B1541F1"/>
    <w:rsid w:val="0B154457"/>
    <w:rsid w:val="0B1B7A70"/>
    <w:rsid w:val="0B354BE8"/>
    <w:rsid w:val="0B510CC2"/>
    <w:rsid w:val="0B5605CC"/>
    <w:rsid w:val="0B7D1FFD"/>
    <w:rsid w:val="0BA6170E"/>
    <w:rsid w:val="0BAB33A4"/>
    <w:rsid w:val="0BCF2858"/>
    <w:rsid w:val="0C152235"/>
    <w:rsid w:val="0C1A784C"/>
    <w:rsid w:val="0C20009F"/>
    <w:rsid w:val="0C324B95"/>
    <w:rsid w:val="0C5152CB"/>
    <w:rsid w:val="0C71390F"/>
    <w:rsid w:val="0C78608F"/>
    <w:rsid w:val="0C994AB9"/>
    <w:rsid w:val="0C9F6722"/>
    <w:rsid w:val="0CB97065"/>
    <w:rsid w:val="0CBD7377"/>
    <w:rsid w:val="0CCC4C4B"/>
    <w:rsid w:val="0CD45C4C"/>
    <w:rsid w:val="0CDA579F"/>
    <w:rsid w:val="0CF14A50"/>
    <w:rsid w:val="0CFF1834"/>
    <w:rsid w:val="0D0E3435"/>
    <w:rsid w:val="0D172B0D"/>
    <w:rsid w:val="0D240982"/>
    <w:rsid w:val="0D755681"/>
    <w:rsid w:val="0D817B82"/>
    <w:rsid w:val="0DA118CA"/>
    <w:rsid w:val="0DB60E48"/>
    <w:rsid w:val="0DC14423"/>
    <w:rsid w:val="0DC857B1"/>
    <w:rsid w:val="0DE819AF"/>
    <w:rsid w:val="0DE92867"/>
    <w:rsid w:val="0DEA1D13"/>
    <w:rsid w:val="0DEF71E2"/>
    <w:rsid w:val="0DFC18FF"/>
    <w:rsid w:val="0E197DBB"/>
    <w:rsid w:val="0E25441F"/>
    <w:rsid w:val="0E2F5830"/>
    <w:rsid w:val="0E444E2D"/>
    <w:rsid w:val="0E45569F"/>
    <w:rsid w:val="0E741495"/>
    <w:rsid w:val="0E7B0A75"/>
    <w:rsid w:val="0E7E4DAD"/>
    <w:rsid w:val="0E8F335A"/>
    <w:rsid w:val="0E9C2E85"/>
    <w:rsid w:val="0E9E6512"/>
    <w:rsid w:val="0EC314AD"/>
    <w:rsid w:val="0EE859DF"/>
    <w:rsid w:val="0EEB6631"/>
    <w:rsid w:val="0F1C3708"/>
    <w:rsid w:val="0F292B52"/>
    <w:rsid w:val="0F2A0137"/>
    <w:rsid w:val="0F362BEE"/>
    <w:rsid w:val="0F474DFC"/>
    <w:rsid w:val="0F5117D6"/>
    <w:rsid w:val="0FAD1102"/>
    <w:rsid w:val="0FC57BC1"/>
    <w:rsid w:val="0FCB1589"/>
    <w:rsid w:val="0FEB5787"/>
    <w:rsid w:val="101C0036"/>
    <w:rsid w:val="101C1DE4"/>
    <w:rsid w:val="10364C2F"/>
    <w:rsid w:val="105E064F"/>
    <w:rsid w:val="106909FA"/>
    <w:rsid w:val="10701085"/>
    <w:rsid w:val="1074577C"/>
    <w:rsid w:val="108B1BC2"/>
    <w:rsid w:val="109B004F"/>
    <w:rsid w:val="109E0A4B"/>
    <w:rsid w:val="10D718F1"/>
    <w:rsid w:val="10EC4DEE"/>
    <w:rsid w:val="10F644F5"/>
    <w:rsid w:val="10F72CE5"/>
    <w:rsid w:val="110E3E23"/>
    <w:rsid w:val="115C7B41"/>
    <w:rsid w:val="116A6B7F"/>
    <w:rsid w:val="11715B79"/>
    <w:rsid w:val="117232F7"/>
    <w:rsid w:val="1186516D"/>
    <w:rsid w:val="119368FA"/>
    <w:rsid w:val="11E63D1D"/>
    <w:rsid w:val="11F71F1E"/>
    <w:rsid w:val="120B2110"/>
    <w:rsid w:val="121F796A"/>
    <w:rsid w:val="1226519C"/>
    <w:rsid w:val="12331667"/>
    <w:rsid w:val="12802AFE"/>
    <w:rsid w:val="128C3544"/>
    <w:rsid w:val="12993596"/>
    <w:rsid w:val="12BE7183"/>
    <w:rsid w:val="12C10A21"/>
    <w:rsid w:val="12C806A5"/>
    <w:rsid w:val="12D93FBD"/>
    <w:rsid w:val="12DC585B"/>
    <w:rsid w:val="13001549"/>
    <w:rsid w:val="13050C7D"/>
    <w:rsid w:val="13113D79"/>
    <w:rsid w:val="1336140F"/>
    <w:rsid w:val="13637D2A"/>
    <w:rsid w:val="136E6DFB"/>
    <w:rsid w:val="137311A7"/>
    <w:rsid w:val="139C5358"/>
    <w:rsid w:val="13A206DE"/>
    <w:rsid w:val="13D33102"/>
    <w:rsid w:val="13E175CD"/>
    <w:rsid w:val="13EC5F71"/>
    <w:rsid w:val="13FB7F63"/>
    <w:rsid w:val="141D25CF"/>
    <w:rsid w:val="142D220A"/>
    <w:rsid w:val="142F2C7F"/>
    <w:rsid w:val="1468226E"/>
    <w:rsid w:val="14702969"/>
    <w:rsid w:val="14883FDA"/>
    <w:rsid w:val="14A10B0A"/>
    <w:rsid w:val="14A14FAE"/>
    <w:rsid w:val="14B14D5E"/>
    <w:rsid w:val="14C03686"/>
    <w:rsid w:val="14C33176"/>
    <w:rsid w:val="150F3CC6"/>
    <w:rsid w:val="152359C3"/>
    <w:rsid w:val="155913E5"/>
    <w:rsid w:val="15603FB5"/>
    <w:rsid w:val="15632701"/>
    <w:rsid w:val="157F53DD"/>
    <w:rsid w:val="159930BA"/>
    <w:rsid w:val="15A44D56"/>
    <w:rsid w:val="15A703A2"/>
    <w:rsid w:val="15A941E8"/>
    <w:rsid w:val="15C77CA7"/>
    <w:rsid w:val="15CE1CF5"/>
    <w:rsid w:val="15CE1DD3"/>
    <w:rsid w:val="15DA2525"/>
    <w:rsid w:val="15E21563"/>
    <w:rsid w:val="15E909BB"/>
    <w:rsid w:val="15F81653"/>
    <w:rsid w:val="16083DCB"/>
    <w:rsid w:val="16223ECC"/>
    <w:rsid w:val="163F05DA"/>
    <w:rsid w:val="16414353"/>
    <w:rsid w:val="164A00E1"/>
    <w:rsid w:val="16650B2B"/>
    <w:rsid w:val="16693050"/>
    <w:rsid w:val="166C5148"/>
    <w:rsid w:val="168028A2"/>
    <w:rsid w:val="16AF3C57"/>
    <w:rsid w:val="16BF171B"/>
    <w:rsid w:val="16CC4F72"/>
    <w:rsid w:val="16D22811"/>
    <w:rsid w:val="170C256E"/>
    <w:rsid w:val="17471E3D"/>
    <w:rsid w:val="174A7237"/>
    <w:rsid w:val="175464E6"/>
    <w:rsid w:val="17681DB3"/>
    <w:rsid w:val="17A00120"/>
    <w:rsid w:val="17A34B99"/>
    <w:rsid w:val="17A41C24"/>
    <w:rsid w:val="17B40B54"/>
    <w:rsid w:val="17CE60BA"/>
    <w:rsid w:val="17E256C1"/>
    <w:rsid w:val="17F84EE5"/>
    <w:rsid w:val="180A2635"/>
    <w:rsid w:val="183870C1"/>
    <w:rsid w:val="183F0D66"/>
    <w:rsid w:val="184A3267"/>
    <w:rsid w:val="184B0F29"/>
    <w:rsid w:val="18572EA7"/>
    <w:rsid w:val="18752F5D"/>
    <w:rsid w:val="187A3B4C"/>
    <w:rsid w:val="188624F1"/>
    <w:rsid w:val="18934C0E"/>
    <w:rsid w:val="18AF4FA8"/>
    <w:rsid w:val="18C500C3"/>
    <w:rsid w:val="18E9208C"/>
    <w:rsid w:val="18EE0096"/>
    <w:rsid w:val="190316D5"/>
    <w:rsid w:val="192B3098"/>
    <w:rsid w:val="19355CC5"/>
    <w:rsid w:val="197114E1"/>
    <w:rsid w:val="19782B49"/>
    <w:rsid w:val="19863F19"/>
    <w:rsid w:val="19A90B8D"/>
    <w:rsid w:val="19AA0461"/>
    <w:rsid w:val="19AB3C03"/>
    <w:rsid w:val="19C712E3"/>
    <w:rsid w:val="19E915B1"/>
    <w:rsid w:val="19EE2A43"/>
    <w:rsid w:val="1A0758B3"/>
    <w:rsid w:val="1A302494"/>
    <w:rsid w:val="1A343975"/>
    <w:rsid w:val="1A352420"/>
    <w:rsid w:val="1A512FD2"/>
    <w:rsid w:val="1A636DCB"/>
    <w:rsid w:val="1A6C3968"/>
    <w:rsid w:val="1A7A7874"/>
    <w:rsid w:val="1A9A6737"/>
    <w:rsid w:val="1AAD2214"/>
    <w:rsid w:val="1AB033CC"/>
    <w:rsid w:val="1ACB68E1"/>
    <w:rsid w:val="1AD15AAB"/>
    <w:rsid w:val="1AD95B0F"/>
    <w:rsid w:val="1B275287"/>
    <w:rsid w:val="1B305EBB"/>
    <w:rsid w:val="1B356450"/>
    <w:rsid w:val="1B3E3557"/>
    <w:rsid w:val="1B475C19"/>
    <w:rsid w:val="1B5A1A13"/>
    <w:rsid w:val="1B6D5BEA"/>
    <w:rsid w:val="1B764F34"/>
    <w:rsid w:val="1B770817"/>
    <w:rsid w:val="1B79355F"/>
    <w:rsid w:val="1B7D29B4"/>
    <w:rsid w:val="1B852F33"/>
    <w:rsid w:val="1B9065A0"/>
    <w:rsid w:val="1B9D2006"/>
    <w:rsid w:val="1BD25A4D"/>
    <w:rsid w:val="1BE0016A"/>
    <w:rsid w:val="1BE112F5"/>
    <w:rsid w:val="1BF9747E"/>
    <w:rsid w:val="1C0A51E7"/>
    <w:rsid w:val="1C120A89"/>
    <w:rsid w:val="1C167AAF"/>
    <w:rsid w:val="1C205BDE"/>
    <w:rsid w:val="1C8D18C3"/>
    <w:rsid w:val="1C9A47BD"/>
    <w:rsid w:val="1C9C6787"/>
    <w:rsid w:val="1C9F1DD3"/>
    <w:rsid w:val="1CB75B74"/>
    <w:rsid w:val="1CBA09BB"/>
    <w:rsid w:val="1CD27612"/>
    <w:rsid w:val="1CD6156D"/>
    <w:rsid w:val="1CE53EAD"/>
    <w:rsid w:val="1D1A741A"/>
    <w:rsid w:val="1D213F35"/>
    <w:rsid w:val="1D2A375F"/>
    <w:rsid w:val="1D2D3883"/>
    <w:rsid w:val="1D35712F"/>
    <w:rsid w:val="1D3A1AFC"/>
    <w:rsid w:val="1D5D7607"/>
    <w:rsid w:val="1D70551D"/>
    <w:rsid w:val="1D797AC3"/>
    <w:rsid w:val="1D840FC9"/>
    <w:rsid w:val="1D8B67FB"/>
    <w:rsid w:val="1DAC0C4B"/>
    <w:rsid w:val="1DBA4DC5"/>
    <w:rsid w:val="1DCD642E"/>
    <w:rsid w:val="1DD67A76"/>
    <w:rsid w:val="1E1862E1"/>
    <w:rsid w:val="1E1B36DB"/>
    <w:rsid w:val="1E206F43"/>
    <w:rsid w:val="1E3D3DC6"/>
    <w:rsid w:val="1E4F7829"/>
    <w:rsid w:val="1E7C2913"/>
    <w:rsid w:val="1E8A0007"/>
    <w:rsid w:val="1EDB6AB5"/>
    <w:rsid w:val="1EED151B"/>
    <w:rsid w:val="1EEE2B9E"/>
    <w:rsid w:val="1EF06916"/>
    <w:rsid w:val="1F2667DB"/>
    <w:rsid w:val="1F38650F"/>
    <w:rsid w:val="1F552E57"/>
    <w:rsid w:val="1F584BFE"/>
    <w:rsid w:val="1F6115C2"/>
    <w:rsid w:val="1F82454D"/>
    <w:rsid w:val="1F8359DC"/>
    <w:rsid w:val="1F841754"/>
    <w:rsid w:val="1F8B5AF7"/>
    <w:rsid w:val="1F901EA7"/>
    <w:rsid w:val="1F903C55"/>
    <w:rsid w:val="1F994C45"/>
    <w:rsid w:val="1FAE47E2"/>
    <w:rsid w:val="1FBA5176"/>
    <w:rsid w:val="1FC23CA6"/>
    <w:rsid w:val="1FC55BF9"/>
    <w:rsid w:val="1FDC50EC"/>
    <w:rsid w:val="1FFE5062"/>
    <w:rsid w:val="2000527E"/>
    <w:rsid w:val="200C59D1"/>
    <w:rsid w:val="20287E51"/>
    <w:rsid w:val="204C04C4"/>
    <w:rsid w:val="204E38F9"/>
    <w:rsid w:val="206D5E87"/>
    <w:rsid w:val="207672EF"/>
    <w:rsid w:val="20831A23"/>
    <w:rsid w:val="208B7687"/>
    <w:rsid w:val="20A0213C"/>
    <w:rsid w:val="20B16579"/>
    <w:rsid w:val="20D504B9"/>
    <w:rsid w:val="20D858B3"/>
    <w:rsid w:val="20FE35BD"/>
    <w:rsid w:val="21190222"/>
    <w:rsid w:val="214C62A1"/>
    <w:rsid w:val="215862F6"/>
    <w:rsid w:val="215F4227"/>
    <w:rsid w:val="216B497A"/>
    <w:rsid w:val="21771570"/>
    <w:rsid w:val="217809B6"/>
    <w:rsid w:val="21791265"/>
    <w:rsid w:val="21817CF9"/>
    <w:rsid w:val="2182090C"/>
    <w:rsid w:val="21AE2AB8"/>
    <w:rsid w:val="21AF75FD"/>
    <w:rsid w:val="21B75E11"/>
    <w:rsid w:val="2214469D"/>
    <w:rsid w:val="222122BA"/>
    <w:rsid w:val="222F7700"/>
    <w:rsid w:val="224A27E1"/>
    <w:rsid w:val="22525F24"/>
    <w:rsid w:val="228F28EA"/>
    <w:rsid w:val="22916662"/>
    <w:rsid w:val="22D02936"/>
    <w:rsid w:val="22DD5403"/>
    <w:rsid w:val="22EB1DBD"/>
    <w:rsid w:val="22EC5646"/>
    <w:rsid w:val="23272B22"/>
    <w:rsid w:val="233C0D56"/>
    <w:rsid w:val="2350129B"/>
    <w:rsid w:val="238A3A61"/>
    <w:rsid w:val="23920EF7"/>
    <w:rsid w:val="23A41016"/>
    <w:rsid w:val="23BF7B2A"/>
    <w:rsid w:val="23DF44E0"/>
    <w:rsid w:val="23EE1B8B"/>
    <w:rsid w:val="23F94EF4"/>
    <w:rsid w:val="240D3AC6"/>
    <w:rsid w:val="242E1C8E"/>
    <w:rsid w:val="2452059A"/>
    <w:rsid w:val="245D1252"/>
    <w:rsid w:val="245E2574"/>
    <w:rsid w:val="248C70E1"/>
    <w:rsid w:val="24B672B1"/>
    <w:rsid w:val="24BB1774"/>
    <w:rsid w:val="24C14AD9"/>
    <w:rsid w:val="24E707BB"/>
    <w:rsid w:val="24FF3D57"/>
    <w:rsid w:val="2519191C"/>
    <w:rsid w:val="2523176D"/>
    <w:rsid w:val="253908EB"/>
    <w:rsid w:val="25555734"/>
    <w:rsid w:val="257629B2"/>
    <w:rsid w:val="258C4EBE"/>
    <w:rsid w:val="25B76E15"/>
    <w:rsid w:val="25C32672"/>
    <w:rsid w:val="25D24FC7"/>
    <w:rsid w:val="2609143A"/>
    <w:rsid w:val="260D4251"/>
    <w:rsid w:val="261A0BE6"/>
    <w:rsid w:val="26211B75"/>
    <w:rsid w:val="26345C82"/>
    <w:rsid w:val="263B1CAD"/>
    <w:rsid w:val="26413EFB"/>
    <w:rsid w:val="26543C2E"/>
    <w:rsid w:val="265E4AAD"/>
    <w:rsid w:val="26615AF1"/>
    <w:rsid w:val="266F2816"/>
    <w:rsid w:val="268E40FB"/>
    <w:rsid w:val="268F110A"/>
    <w:rsid w:val="26A03B1C"/>
    <w:rsid w:val="26AA5F44"/>
    <w:rsid w:val="26B172D2"/>
    <w:rsid w:val="26C50688"/>
    <w:rsid w:val="26DE5BEE"/>
    <w:rsid w:val="26F77973"/>
    <w:rsid w:val="27174C5C"/>
    <w:rsid w:val="271D406D"/>
    <w:rsid w:val="2739612C"/>
    <w:rsid w:val="27422761"/>
    <w:rsid w:val="27427F2B"/>
    <w:rsid w:val="27560608"/>
    <w:rsid w:val="275D4D64"/>
    <w:rsid w:val="276E2934"/>
    <w:rsid w:val="276E6F72"/>
    <w:rsid w:val="27873B8F"/>
    <w:rsid w:val="278E3136"/>
    <w:rsid w:val="27A36EE5"/>
    <w:rsid w:val="27AF1AC7"/>
    <w:rsid w:val="27B84691"/>
    <w:rsid w:val="27C11E62"/>
    <w:rsid w:val="27C923FA"/>
    <w:rsid w:val="27D42A4E"/>
    <w:rsid w:val="27F62540"/>
    <w:rsid w:val="2823498E"/>
    <w:rsid w:val="284B18E0"/>
    <w:rsid w:val="285213F6"/>
    <w:rsid w:val="28642123"/>
    <w:rsid w:val="288307FB"/>
    <w:rsid w:val="28BD79D7"/>
    <w:rsid w:val="28CC03F4"/>
    <w:rsid w:val="28E219C5"/>
    <w:rsid w:val="28EF572D"/>
    <w:rsid w:val="28F17E5A"/>
    <w:rsid w:val="28FC05AD"/>
    <w:rsid w:val="2939611D"/>
    <w:rsid w:val="29543F45"/>
    <w:rsid w:val="2976035F"/>
    <w:rsid w:val="29782306"/>
    <w:rsid w:val="298C1931"/>
    <w:rsid w:val="299A404E"/>
    <w:rsid w:val="29C015DB"/>
    <w:rsid w:val="29C726BC"/>
    <w:rsid w:val="29D470E3"/>
    <w:rsid w:val="29DD3F3B"/>
    <w:rsid w:val="29F07CB0"/>
    <w:rsid w:val="2A062119"/>
    <w:rsid w:val="2A442874"/>
    <w:rsid w:val="2A4B359A"/>
    <w:rsid w:val="2A7213D3"/>
    <w:rsid w:val="2AE94307"/>
    <w:rsid w:val="2AF1166B"/>
    <w:rsid w:val="2B05400E"/>
    <w:rsid w:val="2B1550FC"/>
    <w:rsid w:val="2B1F4FD9"/>
    <w:rsid w:val="2B361F55"/>
    <w:rsid w:val="2B4C581C"/>
    <w:rsid w:val="2B536BAA"/>
    <w:rsid w:val="2B5461BB"/>
    <w:rsid w:val="2B640A6E"/>
    <w:rsid w:val="2BA86D7B"/>
    <w:rsid w:val="2BB46F1D"/>
    <w:rsid w:val="2BBE5FA2"/>
    <w:rsid w:val="2BCE7FDF"/>
    <w:rsid w:val="2BE912BD"/>
    <w:rsid w:val="2BF1121B"/>
    <w:rsid w:val="2BFD76DA"/>
    <w:rsid w:val="2BFF71DE"/>
    <w:rsid w:val="2C052C08"/>
    <w:rsid w:val="2C1413B5"/>
    <w:rsid w:val="2C1D4AC2"/>
    <w:rsid w:val="2C5A7AC4"/>
    <w:rsid w:val="2C752B50"/>
    <w:rsid w:val="2C931228"/>
    <w:rsid w:val="2CA43435"/>
    <w:rsid w:val="2CB230DE"/>
    <w:rsid w:val="2CC66B06"/>
    <w:rsid w:val="2CF63C91"/>
    <w:rsid w:val="2D1A7254"/>
    <w:rsid w:val="2D360350"/>
    <w:rsid w:val="2D5E5392"/>
    <w:rsid w:val="2D835227"/>
    <w:rsid w:val="2D886230"/>
    <w:rsid w:val="2DA134D1"/>
    <w:rsid w:val="2DD83397"/>
    <w:rsid w:val="2DDC57AF"/>
    <w:rsid w:val="2DE133A7"/>
    <w:rsid w:val="2E071305"/>
    <w:rsid w:val="2E200FD9"/>
    <w:rsid w:val="2E213028"/>
    <w:rsid w:val="2E484053"/>
    <w:rsid w:val="2E5E3B86"/>
    <w:rsid w:val="2E642E7C"/>
    <w:rsid w:val="2E742E5E"/>
    <w:rsid w:val="2E7C6529"/>
    <w:rsid w:val="2E7F1A64"/>
    <w:rsid w:val="2E8E614B"/>
    <w:rsid w:val="2E9063A3"/>
    <w:rsid w:val="2E9D1769"/>
    <w:rsid w:val="2EAD65D1"/>
    <w:rsid w:val="2EB86D24"/>
    <w:rsid w:val="2EB93809"/>
    <w:rsid w:val="2EBD433B"/>
    <w:rsid w:val="2ED33B5E"/>
    <w:rsid w:val="2EE126E1"/>
    <w:rsid w:val="2EFB5FC5"/>
    <w:rsid w:val="2F011F81"/>
    <w:rsid w:val="2F6649D2"/>
    <w:rsid w:val="2F937005"/>
    <w:rsid w:val="2FBF7622"/>
    <w:rsid w:val="2FE6088E"/>
    <w:rsid w:val="2FEA115F"/>
    <w:rsid w:val="2FF40230"/>
    <w:rsid w:val="30030473"/>
    <w:rsid w:val="303B19BB"/>
    <w:rsid w:val="303F667A"/>
    <w:rsid w:val="3045610F"/>
    <w:rsid w:val="305111DE"/>
    <w:rsid w:val="30615592"/>
    <w:rsid w:val="307B60BB"/>
    <w:rsid w:val="309D2223"/>
    <w:rsid w:val="30A37695"/>
    <w:rsid w:val="30CD3A1F"/>
    <w:rsid w:val="30D94050"/>
    <w:rsid w:val="30E120B8"/>
    <w:rsid w:val="30E12562"/>
    <w:rsid w:val="30E91417"/>
    <w:rsid w:val="30F40380"/>
    <w:rsid w:val="30F82B94"/>
    <w:rsid w:val="30FA3624"/>
    <w:rsid w:val="31197F39"/>
    <w:rsid w:val="31215055"/>
    <w:rsid w:val="31257C21"/>
    <w:rsid w:val="31350B00"/>
    <w:rsid w:val="313B6DB1"/>
    <w:rsid w:val="314E5A87"/>
    <w:rsid w:val="31662A68"/>
    <w:rsid w:val="31666FCC"/>
    <w:rsid w:val="317909ED"/>
    <w:rsid w:val="317A4765"/>
    <w:rsid w:val="317E332D"/>
    <w:rsid w:val="31850858"/>
    <w:rsid w:val="31A35A6A"/>
    <w:rsid w:val="31B71C9E"/>
    <w:rsid w:val="31B934DF"/>
    <w:rsid w:val="31BE740D"/>
    <w:rsid w:val="31C74107"/>
    <w:rsid w:val="31C803EC"/>
    <w:rsid w:val="31D9592F"/>
    <w:rsid w:val="31DC5C3F"/>
    <w:rsid w:val="31E83DC4"/>
    <w:rsid w:val="32097DE3"/>
    <w:rsid w:val="32144BB9"/>
    <w:rsid w:val="321D581C"/>
    <w:rsid w:val="32396A92"/>
    <w:rsid w:val="323A4620"/>
    <w:rsid w:val="323D1A1A"/>
    <w:rsid w:val="32454D73"/>
    <w:rsid w:val="328D4F05"/>
    <w:rsid w:val="328D5743"/>
    <w:rsid w:val="328E57A5"/>
    <w:rsid w:val="32986F72"/>
    <w:rsid w:val="32C57348"/>
    <w:rsid w:val="32D6316E"/>
    <w:rsid w:val="32DF399A"/>
    <w:rsid w:val="32E60304"/>
    <w:rsid w:val="32FB3683"/>
    <w:rsid w:val="331B3E73"/>
    <w:rsid w:val="33235737"/>
    <w:rsid w:val="332E3A59"/>
    <w:rsid w:val="336A0113"/>
    <w:rsid w:val="336B3220"/>
    <w:rsid w:val="336D0DF3"/>
    <w:rsid w:val="336D632F"/>
    <w:rsid w:val="33775400"/>
    <w:rsid w:val="33A74B31"/>
    <w:rsid w:val="33A90616"/>
    <w:rsid w:val="33C87A09"/>
    <w:rsid w:val="33D535A4"/>
    <w:rsid w:val="346F4E5F"/>
    <w:rsid w:val="347B2CCE"/>
    <w:rsid w:val="34963664"/>
    <w:rsid w:val="349873DC"/>
    <w:rsid w:val="349A75F8"/>
    <w:rsid w:val="349E1C62"/>
    <w:rsid w:val="34A86FE1"/>
    <w:rsid w:val="34B066A0"/>
    <w:rsid w:val="34B61F58"/>
    <w:rsid w:val="34CE372A"/>
    <w:rsid w:val="34D0301A"/>
    <w:rsid w:val="34E255DA"/>
    <w:rsid w:val="34EC58DA"/>
    <w:rsid w:val="350902DA"/>
    <w:rsid w:val="353C245D"/>
    <w:rsid w:val="35494B7A"/>
    <w:rsid w:val="35553A45"/>
    <w:rsid w:val="358D6E3D"/>
    <w:rsid w:val="35AD6EB7"/>
    <w:rsid w:val="35B00755"/>
    <w:rsid w:val="35C310DD"/>
    <w:rsid w:val="35D86C1A"/>
    <w:rsid w:val="35E6686D"/>
    <w:rsid w:val="35EA010B"/>
    <w:rsid w:val="35F44AE6"/>
    <w:rsid w:val="35FD370E"/>
    <w:rsid w:val="36045951"/>
    <w:rsid w:val="36050AA1"/>
    <w:rsid w:val="36266C69"/>
    <w:rsid w:val="363104CA"/>
    <w:rsid w:val="363C139D"/>
    <w:rsid w:val="36542F7D"/>
    <w:rsid w:val="365E4655"/>
    <w:rsid w:val="36603F29"/>
    <w:rsid w:val="36632192"/>
    <w:rsid w:val="368A369C"/>
    <w:rsid w:val="368E4F3A"/>
    <w:rsid w:val="3695370C"/>
    <w:rsid w:val="36C73FA8"/>
    <w:rsid w:val="36D52B69"/>
    <w:rsid w:val="36EF2CA5"/>
    <w:rsid w:val="36F34D9D"/>
    <w:rsid w:val="37256F21"/>
    <w:rsid w:val="37732448"/>
    <w:rsid w:val="377D6E3B"/>
    <w:rsid w:val="3781684D"/>
    <w:rsid w:val="379E2231"/>
    <w:rsid w:val="37BF1123"/>
    <w:rsid w:val="37C23803"/>
    <w:rsid w:val="37C624B2"/>
    <w:rsid w:val="37D526F5"/>
    <w:rsid w:val="37DB1585"/>
    <w:rsid w:val="37DE1540"/>
    <w:rsid w:val="37DE3C9F"/>
    <w:rsid w:val="37E82428"/>
    <w:rsid w:val="380D1E8F"/>
    <w:rsid w:val="38134CA0"/>
    <w:rsid w:val="383878EB"/>
    <w:rsid w:val="38471845"/>
    <w:rsid w:val="38563836"/>
    <w:rsid w:val="3868701E"/>
    <w:rsid w:val="388A34DF"/>
    <w:rsid w:val="388E51E6"/>
    <w:rsid w:val="38D96215"/>
    <w:rsid w:val="38DD3F57"/>
    <w:rsid w:val="38E01351"/>
    <w:rsid w:val="38E569A4"/>
    <w:rsid w:val="39227BBC"/>
    <w:rsid w:val="393B6B9C"/>
    <w:rsid w:val="395104A1"/>
    <w:rsid w:val="395B4E7C"/>
    <w:rsid w:val="396D70FD"/>
    <w:rsid w:val="397F30DC"/>
    <w:rsid w:val="39816C0E"/>
    <w:rsid w:val="398535D4"/>
    <w:rsid w:val="399F120C"/>
    <w:rsid w:val="39C5073C"/>
    <w:rsid w:val="39CB5136"/>
    <w:rsid w:val="39E9692C"/>
    <w:rsid w:val="39FE4185"/>
    <w:rsid w:val="3A1122D3"/>
    <w:rsid w:val="3A6F5083"/>
    <w:rsid w:val="3A78246B"/>
    <w:rsid w:val="3AAD7A47"/>
    <w:rsid w:val="3AB93D8E"/>
    <w:rsid w:val="3ADD35FA"/>
    <w:rsid w:val="3B0276B8"/>
    <w:rsid w:val="3B0C3CF6"/>
    <w:rsid w:val="3B201ED9"/>
    <w:rsid w:val="3B33651B"/>
    <w:rsid w:val="3B53405D"/>
    <w:rsid w:val="3B914B85"/>
    <w:rsid w:val="3BA64A15"/>
    <w:rsid w:val="3BAA4139"/>
    <w:rsid w:val="3BB83468"/>
    <w:rsid w:val="3BC62A80"/>
    <w:rsid w:val="3BCF6409"/>
    <w:rsid w:val="3BD958DE"/>
    <w:rsid w:val="3BDF153A"/>
    <w:rsid w:val="3BF13ACF"/>
    <w:rsid w:val="3C190940"/>
    <w:rsid w:val="3C1E0B0E"/>
    <w:rsid w:val="3C2C6D62"/>
    <w:rsid w:val="3C2D1787"/>
    <w:rsid w:val="3C406CD7"/>
    <w:rsid w:val="3C4B1C3D"/>
    <w:rsid w:val="3C4F5F6E"/>
    <w:rsid w:val="3C7050E2"/>
    <w:rsid w:val="3C7A49CD"/>
    <w:rsid w:val="3C7C5835"/>
    <w:rsid w:val="3CAC611A"/>
    <w:rsid w:val="3CC21475"/>
    <w:rsid w:val="3CC87BB7"/>
    <w:rsid w:val="3CD411CD"/>
    <w:rsid w:val="3CDE029E"/>
    <w:rsid w:val="3CEB6517"/>
    <w:rsid w:val="3CF719D1"/>
    <w:rsid w:val="3D1D7758"/>
    <w:rsid w:val="3D685560"/>
    <w:rsid w:val="3D985993"/>
    <w:rsid w:val="3D9A41C5"/>
    <w:rsid w:val="3DA05C59"/>
    <w:rsid w:val="3DC82D1C"/>
    <w:rsid w:val="3DC9292C"/>
    <w:rsid w:val="3DCA7158"/>
    <w:rsid w:val="3DEC0798"/>
    <w:rsid w:val="3E375EB7"/>
    <w:rsid w:val="3E5F540E"/>
    <w:rsid w:val="3E674FA9"/>
    <w:rsid w:val="3E794105"/>
    <w:rsid w:val="3EB219E2"/>
    <w:rsid w:val="3EE14075"/>
    <w:rsid w:val="3F026EFB"/>
    <w:rsid w:val="3F03297E"/>
    <w:rsid w:val="3F0E25A4"/>
    <w:rsid w:val="3F3D7F33"/>
    <w:rsid w:val="3F406FEE"/>
    <w:rsid w:val="3F634A8A"/>
    <w:rsid w:val="3F6530F9"/>
    <w:rsid w:val="3F6727CC"/>
    <w:rsid w:val="3F80563C"/>
    <w:rsid w:val="3F8A0269"/>
    <w:rsid w:val="3FA11512"/>
    <w:rsid w:val="3FA1247B"/>
    <w:rsid w:val="3FB84DD6"/>
    <w:rsid w:val="3FBD063E"/>
    <w:rsid w:val="3FCE63A8"/>
    <w:rsid w:val="3FCF7B29"/>
    <w:rsid w:val="3FE200A5"/>
    <w:rsid w:val="3FF878C8"/>
    <w:rsid w:val="40161AFD"/>
    <w:rsid w:val="401E0D3F"/>
    <w:rsid w:val="40300A76"/>
    <w:rsid w:val="40325A0C"/>
    <w:rsid w:val="40342B29"/>
    <w:rsid w:val="40445B2C"/>
    <w:rsid w:val="40464190"/>
    <w:rsid w:val="404843AC"/>
    <w:rsid w:val="405014B2"/>
    <w:rsid w:val="405B589C"/>
    <w:rsid w:val="405E7332"/>
    <w:rsid w:val="406C796F"/>
    <w:rsid w:val="40780661"/>
    <w:rsid w:val="407F3B46"/>
    <w:rsid w:val="40A323F1"/>
    <w:rsid w:val="40B82145"/>
    <w:rsid w:val="40D45C40"/>
    <w:rsid w:val="40D479EE"/>
    <w:rsid w:val="40E165AE"/>
    <w:rsid w:val="40FC6F44"/>
    <w:rsid w:val="41250249"/>
    <w:rsid w:val="41285F8B"/>
    <w:rsid w:val="41401527"/>
    <w:rsid w:val="414C45F2"/>
    <w:rsid w:val="41522B53"/>
    <w:rsid w:val="41601281"/>
    <w:rsid w:val="41692665"/>
    <w:rsid w:val="416D1FB5"/>
    <w:rsid w:val="417967E7"/>
    <w:rsid w:val="41866D93"/>
    <w:rsid w:val="418C02C8"/>
    <w:rsid w:val="41962EF5"/>
    <w:rsid w:val="419F1537"/>
    <w:rsid w:val="41A12E72"/>
    <w:rsid w:val="41DD28D2"/>
    <w:rsid w:val="41DE77AC"/>
    <w:rsid w:val="41E2611D"/>
    <w:rsid w:val="42002A64"/>
    <w:rsid w:val="420D1006"/>
    <w:rsid w:val="420F2CA7"/>
    <w:rsid w:val="42181B5C"/>
    <w:rsid w:val="421A1D78"/>
    <w:rsid w:val="42254BED"/>
    <w:rsid w:val="422D2660"/>
    <w:rsid w:val="42360E58"/>
    <w:rsid w:val="424961B9"/>
    <w:rsid w:val="424E557E"/>
    <w:rsid w:val="426A1949"/>
    <w:rsid w:val="428803D5"/>
    <w:rsid w:val="429B423E"/>
    <w:rsid w:val="42A45AE6"/>
    <w:rsid w:val="42DA731F"/>
    <w:rsid w:val="42DE16E9"/>
    <w:rsid w:val="42E63A08"/>
    <w:rsid w:val="43040332"/>
    <w:rsid w:val="431E5744"/>
    <w:rsid w:val="43292CA9"/>
    <w:rsid w:val="4338113E"/>
    <w:rsid w:val="433A5366"/>
    <w:rsid w:val="436A288B"/>
    <w:rsid w:val="43735444"/>
    <w:rsid w:val="43747266"/>
    <w:rsid w:val="4392593E"/>
    <w:rsid w:val="43A764CD"/>
    <w:rsid w:val="43B43955"/>
    <w:rsid w:val="43C20D21"/>
    <w:rsid w:val="43E048FB"/>
    <w:rsid w:val="43F01246"/>
    <w:rsid w:val="43F21BB8"/>
    <w:rsid w:val="43FE4D82"/>
    <w:rsid w:val="44095A75"/>
    <w:rsid w:val="44140054"/>
    <w:rsid w:val="441652D8"/>
    <w:rsid w:val="44185E43"/>
    <w:rsid w:val="445826E4"/>
    <w:rsid w:val="445F3A72"/>
    <w:rsid w:val="44784B34"/>
    <w:rsid w:val="449F47B6"/>
    <w:rsid w:val="44A24650"/>
    <w:rsid w:val="44A27E03"/>
    <w:rsid w:val="44A91191"/>
    <w:rsid w:val="44D34460"/>
    <w:rsid w:val="44DC0B83"/>
    <w:rsid w:val="44E146AA"/>
    <w:rsid w:val="44EC107E"/>
    <w:rsid w:val="44FC5765"/>
    <w:rsid w:val="45216F7A"/>
    <w:rsid w:val="45232CF2"/>
    <w:rsid w:val="453273D9"/>
    <w:rsid w:val="45462E84"/>
    <w:rsid w:val="454A5158"/>
    <w:rsid w:val="45514AA2"/>
    <w:rsid w:val="45646114"/>
    <w:rsid w:val="45716109"/>
    <w:rsid w:val="4577128F"/>
    <w:rsid w:val="457C2402"/>
    <w:rsid w:val="459301E7"/>
    <w:rsid w:val="45A1630C"/>
    <w:rsid w:val="45C73FC5"/>
    <w:rsid w:val="46080139"/>
    <w:rsid w:val="46164604"/>
    <w:rsid w:val="462C02CC"/>
    <w:rsid w:val="463827CD"/>
    <w:rsid w:val="46493D09"/>
    <w:rsid w:val="46503FBA"/>
    <w:rsid w:val="46751B45"/>
    <w:rsid w:val="46BF2EEE"/>
    <w:rsid w:val="46F506BE"/>
    <w:rsid w:val="46F70082"/>
    <w:rsid w:val="4707219F"/>
    <w:rsid w:val="470C5FDA"/>
    <w:rsid w:val="470D1EAB"/>
    <w:rsid w:val="471432D0"/>
    <w:rsid w:val="471630E1"/>
    <w:rsid w:val="47172AAD"/>
    <w:rsid w:val="47242D51"/>
    <w:rsid w:val="47654DE1"/>
    <w:rsid w:val="478A3F61"/>
    <w:rsid w:val="4792537F"/>
    <w:rsid w:val="47943897"/>
    <w:rsid w:val="479903C6"/>
    <w:rsid w:val="47A34E7C"/>
    <w:rsid w:val="47AD0F98"/>
    <w:rsid w:val="47C67A52"/>
    <w:rsid w:val="47DB3D58"/>
    <w:rsid w:val="47E0311C"/>
    <w:rsid w:val="47F15D5F"/>
    <w:rsid w:val="47F37099"/>
    <w:rsid w:val="48052B82"/>
    <w:rsid w:val="48196067"/>
    <w:rsid w:val="482546CD"/>
    <w:rsid w:val="48272AF9"/>
    <w:rsid w:val="48276F9D"/>
    <w:rsid w:val="48315726"/>
    <w:rsid w:val="48363B55"/>
    <w:rsid w:val="48390A7E"/>
    <w:rsid w:val="483A1661"/>
    <w:rsid w:val="483B65A4"/>
    <w:rsid w:val="484C0702"/>
    <w:rsid w:val="4875073E"/>
    <w:rsid w:val="48752822"/>
    <w:rsid w:val="488D484B"/>
    <w:rsid w:val="48A56114"/>
    <w:rsid w:val="48C91E02"/>
    <w:rsid w:val="48FD385A"/>
    <w:rsid w:val="491D214E"/>
    <w:rsid w:val="49257013"/>
    <w:rsid w:val="49276548"/>
    <w:rsid w:val="492E6109"/>
    <w:rsid w:val="494C7225"/>
    <w:rsid w:val="49510E04"/>
    <w:rsid w:val="4953791E"/>
    <w:rsid w:val="495851E9"/>
    <w:rsid w:val="498A77E3"/>
    <w:rsid w:val="49C12AD9"/>
    <w:rsid w:val="49CA5E32"/>
    <w:rsid w:val="49F44C5D"/>
    <w:rsid w:val="49F66C27"/>
    <w:rsid w:val="49FE3D2D"/>
    <w:rsid w:val="4A031344"/>
    <w:rsid w:val="4A064990"/>
    <w:rsid w:val="4A091E94"/>
    <w:rsid w:val="4A29079B"/>
    <w:rsid w:val="4A2B43F6"/>
    <w:rsid w:val="4A743F6F"/>
    <w:rsid w:val="4A743FEF"/>
    <w:rsid w:val="4A767D68"/>
    <w:rsid w:val="4AA03036"/>
    <w:rsid w:val="4AA523FB"/>
    <w:rsid w:val="4AAC3789"/>
    <w:rsid w:val="4ABA78BA"/>
    <w:rsid w:val="4ABB1C1E"/>
    <w:rsid w:val="4AC44463"/>
    <w:rsid w:val="4AD5472C"/>
    <w:rsid w:val="4ADF6117"/>
    <w:rsid w:val="4AE80256"/>
    <w:rsid w:val="4AE90539"/>
    <w:rsid w:val="4B0B6702"/>
    <w:rsid w:val="4B125CE2"/>
    <w:rsid w:val="4B2477C4"/>
    <w:rsid w:val="4B490FD8"/>
    <w:rsid w:val="4B4D5D5F"/>
    <w:rsid w:val="4B551344"/>
    <w:rsid w:val="4B55797D"/>
    <w:rsid w:val="4B5621A8"/>
    <w:rsid w:val="4B75001F"/>
    <w:rsid w:val="4B78366B"/>
    <w:rsid w:val="4B840CC9"/>
    <w:rsid w:val="4BA25610"/>
    <w:rsid w:val="4BA803F5"/>
    <w:rsid w:val="4BA83F51"/>
    <w:rsid w:val="4BB46D99"/>
    <w:rsid w:val="4BB84EE9"/>
    <w:rsid w:val="4BBA3C84"/>
    <w:rsid w:val="4BC00DDC"/>
    <w:rsid w:val="4BC766E6"/>
    <w:rsid w:val="4BCA295A"/>
    <w:rsid w:val="4BD637AE"/>
    <w:rsid w:val="4BEA1743"/>
    <w:rsid w:val="4BEB5919"/>
    <w:rsid w:val="4C0D64AA"/>
    <w:rsid w:val="4C602A7D"/>
    <w:rsid w:val="4C650094"/>
    <w:rsid w:val="4C6F3738"/>
    <w:rsid w:val="4C7C718B"/>
    <w:rsid w:val="4C982217"/>
    <w:rsid w:val="4CAD5931"/>
    <w:rsid w:val="4CAD789E"/>
    <w:rsid w:val="4CB44B77"/>
    <w:rsid w:val="4CC07196"/>
    <w:rsid w:val="4CC53416"/>
    <w:rsid w:val="4D1A0E7E"/>
    <w:rsid w:val="4D2B308B"/>
    <w:rsid w:val="4D37727D"/>
    <w:rsid w:val="4D3D31CD"/>
    <w:rsid w:val="4D3F08E5"/>
    <w:rsid w:val="4D493511"/>
    <w:rsid w:val="4D537EEC"/>
    <w:rsid w:val="4D54433B"/>
    <w:rsid w:val="4D761E2D"/>
    <w:rsid w:val="4D76426D"/>
    <w:rsid w:val="4D7D1281"/>
    <w:rsid w:val="4D862070"/>
    <w:rsid w:val="4D897DB2"/>
    <w:rsid w:val="4D981DA3"/>
    <w:rsid w:val="4DA04FEC"/>
    <w:rsid w:val="4DA30E74"/>
    <w:rsid w:val="4DA94B19"/>
    <w:rsid w:val="4DB80B05"/>
    <w:rsid w:val="4DB8248E"/>
    <w:rsid w:val="4DC3082F"/>
    <w:rsid w:val="4DD61DCF"/>
    <w:rsid w:val="4DF27705"/>
    <w:rsid w:val="4E0B07C7"/>
    <w:rsid w:val="4E0F475B"/>
    <w:rsid w:val="4E1B3100"/>
    <w:rsid w:val="4E1C6E78"/>
    <w:rsid w:val="4E434405"/>
    <w:rsid w:val="4E4D5283"/>
    <w:rsid w:val="4E560053"/>
    <w:rsid w:val="4E65437B"/>
    <w:rsid w:val="4E6A373F"/>
    <w:rsid w:val="4E6E1EB7"/>
    <w:rsid w:val="4E772300"/>
    <w:rsid w:val="4E7B5C9C"/>
    <w:rsid w:val="4E7E543D"/>
    <w:rsid w:val="4ED26DB7"/>
    <w:rsid w:val="4F082F58"/>
    <w:rsid w:val="4F5D14F6"/>
    <w:rsid w:val="4F5E58EC"/>
    <w:rsid w:val="4F5F701C"/>
    <w:rsid w:val="4F6A776F"/>
    <w:rsid w:val="4F93316A"/>
    <w:rsid w:val="4F955EDC"/>
    <w:rsid w:val="4FAB400F"/>
    <w:rsid w:val="4FBE01E7"/>
    <w:rsid w:val="4FD96F6C"/>
    <w:rsid w:val="4FE8328A"/>
    <w:rsid w:val="4FFA563B"/>
    <w:rsid w:val="501174D1"/>
    <w:rsid w:val="501222E0"/>
    <w:rsid w:val="501E2A33"/>
    <w:rsid w:val="50302767"/>
    <w:rsid w:val="50377F99"/>
    <w:rsid w:val="503E62B8"/>
    <w:rsid w:val="504C6228"/>
    <w:rsid w:val="504F17F3"/>
    <w:rsid w:val="505226DD"/>
    <w:rsid w:val="50552513"/>
    <w:rsid w:val="50793E9C"/>
    <w:rsid w:val="50854860"/>
    <w:rsid w:val="50885825"/>
    <w:rsid w:val="50DD469C"/>
    <w:rsid w:val="51183927"/>
    <w:rsid w:val="51312C3A"/>
    <w:rsid w:val="51750D79"/>
    <w:rsid w:val="51AE6039"/>
    <w:rsid w:val="51DE2CB7"/>
    <w:rsid w:val="51F2421C"/>
    <w:rsid w:val="520D327C"/>
    <w:rsid w:val="521560B8"/>
    <w:rsid w:val="524B12C9"/>
    <w:rsid w:val="52816F9E"/>
    <w:rsid w:val="52867875"/>
    <w:rsid w:val="52A36E0D"/>
    <w:rsid w:val="52A86F2C"/>
    <w:rsid w:val="52B920FE"/>
    <w:rsid w:val="530F2B07"/>
    <w:rsid w:val="531243A6"/>
    <w:rsid w:val="53146370"/>
    <w:rsid w:val="531855E2"/>
    <w:rsid w:val="53227D17"/>
    <w:rsid w:val="532F2F36"/>
    <w:rsid w:val="53400F13"/>
    <w:rsid w:val="53407165"/>
    <w:rsid w:val="536A5F90"/>
    <w:rsid w:val="53715570"/>
    <w:rsid w:val="53723D32"/>
    <w:rsid w:val="53852DC9"/>
    <w:rsid w:val="5397660A"/>
    <w:rsid w:val="53C90F08"/>
    <w:rsid w:val="53DA3115"/>
    <w:rsid w:val="53E92552"/>
    <w:rsid w:val="53FD14BF"/>
    <w:rsid w:val="54014B46"/>
    <w:rsid w:val="541157BF"/>
    <w:rsid w:val="54370698"/>
    <w:rsid w:val="544E58B1"/>
    <w:rsid w:val="54505185"/>
    <w:rsid w:val="545F707D"/>
    <w:rsid w:val="5475065B"/>
    <w:rsid w:val="547A02DD"/>
    <w:rsid w:val="54A159E1"/>
    <w:rsid w:val="54A51975"/>
    <w:rsid w:val="54B41BB8"/>
    <w:rsid w:val="54BE6593"/>
    <w:rsid w:val="54C87412"/>
    <w:rsid w:val="54D90A3A"/>
    <w:rsid w:val="54E016AD"/>
    <w:rsid w:val="54EB4EAE"/>
    <w:rsid w:val="55112918"/>
    <w:rsid w:val="55366A71"/>
    <w:rsid w:val="554E3DBB"/>
    <w:rsid w:val="556F3D31"/>
    <w:rsid w:val="556F788D"/>
    <w:rsid w:val="557D01FC"/>
    <w:rsid w:val="55A241AB"/>
    <w:rsid w:val="55B169C0"/>
    <w:rsid w:val="55C45E2B"/>
    <w:rsid w:val="55C81931"/>
    <w:rsid w:val="55E4027B"/>
    <w:rsid w:val="55FE7C43"/>
    <w:rsid w:val="560A5808"/>
    <w:rsid w:val="56135E24"/>
    <w:rsid w:val="561635ED"/>
    <w:rsid w:val="56262642"/>
    <w:rsid w:val="563C3FD2"/>
    <w:rsid w:val="5658654F"/>
    <w:rsid w:val="565C2507"/>
    <w:rsid w:val="56670ABB"/>
    <w:rsid w:val="56674A08"/>
    <w:rsid w:val="56725887"/>
    <w:rsid w:val="567315FF"/>
    <w:rsid w:val="56867584"/>
    <w:rsid w:val="56927CD7"/>
    <w:rsid w:val="569A2C62"/>
    <w:rsid w:val="56A55572"/>
    <w:rsid w:val="56C07566"/>
    <w:rsid w:val="56EA18C1"/>
    <w:rsid w:val="570A1F63"/>
    <w:rsid w:val="57227084"/>
    <w:rsid w:val="57335CBC"/>
    <w:rsid w:val="57371620"/>
    <w:rsid w:val="574216FD"/>
    <w:rsid w:val="57521214"/>
    <w:rsid w:val="57884B60"/>
    <w:rsid w:val="57895710"/>
    <w:rsid w:val="57B36157"/>
    <w:rsid w:val="57CF6D09"/>
    <w:rsid w:val="57EE3D68"/>
    <w:rsid w:val="57FC4DCA"/>
    <w:rsid w:val="5806097D"/>
    <w:rsid w:val="58365C18"/>
    <w:rsid w:val="583D0117"/>
    <w:rsid w:val="585D2655"/>
    <w:rsid w:val="5862192B"/>
    <w:rsid w:val="586B6A32"/>
    <w:rsid w:val="587D0513"/>
    <w:rsid w:val="58931AE5"/>
    <w:rsid w:val="58953AAF"/>
    <w:rsid w:val="589A0A2F"/>
    <w:rsid w:val="591470C9"/>
    <w:rsid w:val="59213594"/>
    <w:rsid w:val="59285B3D"/>
    <w:rsid w:val="593D0E04"/>
    <w:rsid w:val="594E543A"/>
    <w:rsid w:val="59731A19"/>
    <w:rsid w:val="598654E4"/>
    <w:rsid w:val="599029FD"/>
    <w:rsid w:val="59945B14"/>
    <w:rsid w:val="59AB2429"/>
    <w:rsid w:val="59B834C2"/>
    <w:rsid w:val="59C77C98"/>
    <w:rsid w:val="59EE3991"/>
    <w:rsid w:val="5A027D61"/>
    <w:rsid w:val="5A094754"/>
    <w:rsid w:val="5A1153B7"/>
    <w:rsid w:val="5A1D3D5C"/>
    <w:rsid w:val="5A753F56"/>
    <w:rsid w:val="5A810B9D"/>
    <w:rsid w:val="5A845B89"/>
    <w:rsid w:val="5A916E6B"/>
    <w:rsid w:val="5A9871AC"/>
    <w:rsid w:val="5AA05B65"/>
    <w:rsid w:val="5AB20CB5"/>
    <w:rsid w:val="5AB465DD"/>
    <w:rsid w:val="5AC06583"/>
    <w:rsid w:val="5AC34B64"/>
    <w:rsid w:val="5AC716C0"/>
    <w:rsid w:val="5AC97A40"/>
    <w:rsid w:val="5ACB7C5C"/>
    <w:rsid w:val="5ADD34EB"/>
    <w:rsid w:val="5AF947C9"/>
    <w:rsid w:val="5B01542B"/>
    <w:rsid w:val="5B092532"/>
    <w:rsid w:val="5B0B1E06"/>
    <w:rsid w:val="5B130201"/>
    <w:rsid w:val="5B2A670B"/>
    <w:rsid w:val="5B505E3F"/>
    <w:rsid w:val="5B5A2D8E"/>
    <w:rsid w:val="5B897BD3"/>
    <w:rsid w:val="5B8A78EA"/>
    <w:rsid w:val="5B8D494A"/>
    <w:rsid w:val="5B9D6364"/>
    <w:rsid w:val="5BBC5C88"/>
    <w:rsid w:val="5BC30933"/>
    <w:rsid w:val="5BCC3C8B"/>
    <w:rsid w:val="5BF06D3D"/>
    <w:rsid w:val="5C076A71"/>
    <w:rsid w:val="5C1B076F"/>
    <w:rsid w:val="5C556E53"/>
    <w:rsid w:val="5C58551F"/>
    <w:rsid w:val="5CAB38A1"/>
    <w:rsid w:val="5CBA7F88"/>
    <w:rsid w:val="5CBD1826"/>
    <w:rsid w:val="5CDC4623"/>
    <w:rsid w:val="5CE13766"/>
    <w:rsid w:val="5CE2303B"/>
    <w:rsid w:val="5CEE527D"/>
    <w:rsid w:val="5CF831C7"/>
    <w:rsid w:val="5D0B2591"/>
    <w:rsid w:val="5D0C00B7"/>
    <w:rsid w:val="5D2E582B"/>
    <w:rsid w:val="5D7B040D"/>
    <w:rsid w:val="5D9C58DF"/>
    <w:rsid w:val="5DB37D2C"/>
    <w:rsid w:val="5DC6470A"/>
    <w:rsid w:val="5DED613B"/>
    <w:rsid w:val="5DF61303"/>
    <w:rsid w:val="5E015742"/>
    <w:rsid w:val="5E0B52B6"/>
    <w:rsid w:val="5E2C6C63"/>
    <w:rsid w:val="5E3B0C54"/>
    <w:rsid w:val="5E40626B"/>
    <w:rsid w:val="5E66032D"/>
    <w:rsid w:val="5E683FC6"/>
    <w:rsid w:val="5E68756F"/>
    <w:rsid w:val="5E6D4B86"/>
    <w:rsid w:val="5EB62D5A"/>
    <w:rsid w:val="5EBB6B7A"/>
    <w:rsid w:val="5EC7073A"/>
    <w:rsid w:val="5EC7698C"/>
    <w:rsid w:val="5EDD1D0C"/>
    <w:rsid w:val="5EE412EC"/>
    <w:rsid w:val="5EE4309A"/>
    <w:rsid w:val="5EF30CB7"/>
    <w:rsid w:val="5EFB6664"/>
    <w:rsid w:val="5F0E6369"/>
    <w:rsid w:val="5F2C16E6"/>
    <w:rsid w:val="5F427DC1"/>
    <w:rsid w:val="5F476710"/>
    <w:rsid w:val="5F481999"/>
    <w:rsid w:val="5F555D46"/>
    <w:rsid w:val="5F6D12E1"/>
    <w:rsid w:val="5F702B80"/>
    <w:rsid w:val="5F881497"/>
    <w:rsid w:val="5FB81E9B"/>
    <w:rsid w:val="5FB973DB"/>
    <w:rsid w:val="5FC036DF"/>
    <w:rsid w:val="5FC44C79"/>
    <w:rsid w:val="5FD96977"/>
    <w:rsid w:val="5FEA0785"/>
    <w:rsid w:val="60002155"/>
    <w:rsid w:val="600F2399"/>
    <w:rsid w:val="60164A4A"/>
    <w:rsid w:val="6027636A"/>
    <w:rsid w:val="603040BD"/>
    <w:rsid w:val="60330B74"/>
    <w:rsid w:val="604D330E"/>
    <w:rsid w:val="606A72AE"/>
    <w:rsid w:val="60A26D69"/>
    <w:rsid w:val="60E455D3"/>
    <w:rsid w:val="60FA66B2"/>
    <w:rsid w:val="61007F33"/>
    <w:rsid w:val="610257FE"/>
    <w:rsid w:val="6109503A"/>
    <w:rsid w:val="610D7308"/>
    <w:rsid w:val="610F0880"/>
    <w:rsid w:val="6129748A"/>
    <w:rsid w:val="612A5A76"/>
    <w:rsid w:val="618172C6"/>
    <w:rsid w:val="618517C3"/>
    <w:rsid w:val="618943CD"/>
    <w:rsid w:val="6198118A"/>
    <w:rsid w:val="61A94127"/>
    <w:rsid w:val="61CB34C5"/>
    <w:rsid w:val="61E82EA1"/>
    <w:rsid w:val="62022BEB"/>
    <w:rsid w:val="62053A53"/>
    <w:rsid w:val="620C3122"/>
    <w:rsid w:val="621C0D9D"/>
    <w:rsid w:val="623600B0"/>
    <w:rsid w:val="62385469"/>
    <w:rsid w:val="624034C1"/>
    <w:rsid w:val="62656BF4"/>
    <w:rsid w:val="626E03FA"/>
    <w:rsid w:val="62782477"/>
    <w:rsid w:val="627A0203"/>
    <w:rsid w:val="629D6640"/>
    <w:rsid w:val="62CB1A6A"/>
    <w:rsid w:val="62CD3A21"/>
    <w:rsid w:val="62CF4061"/>
    <w:rsid w:val="62EC69C1"/>
    <w:rsid w:val="62EE2739"/>
    <w:rsid w:val="630930CF"/>
    <w:rsid w:val="63193616"/>
    <w:rsid w:val="632B573B"/>
    <w:rsid w:val="632B74E9"/>
    <w:rsid w:val="63642A8E"/>
    <w:rsid w:val="636724EC"/>
    <w:rsid w:val="636C7B02"/>
    <w:rsid w:val="63754C08"/>
    <w:rsid w:val="639530B6"/>
    <w:rsid w:val="63A63014"/>
    <w:rsid w:val="63A90928"/>
    <w:rsid w:val="63AB696A"/>
    <w:rsid w:val="63E8362C"/>
    <w:rsid w:val="63E92556"/>
    <w:rsid w:val="64030141"/>
    <w:rsid w:val="64122457"/>
    <w:rsid w:val="642E1683"/>
    <w:rsid w:val="643B5760"/>
    <w:rsid w:val="645111D2"/>
    <w:rsid w:val="645A6468"/>
    <w:rsid w:val="646477B2"/>
    <w:rsid w:val="647E189B"/>
    <w:rsid w:val="648379D1"/>
    <w:rsid w:val="6492262F"/>
    <w:rsid w:val="64A21A2D"/>
    <w:rsid w:val="64CA4AE0"/>
    <w:rsid w:val="64CF20F6"/>
    <w:rsid w:val="64D85D95"/>
    <w:rsid w:val="64DE058B"/>
    <w:rsid w:val="650D069A"/>
    <w:rsid w:val="65164DA3"/>
    <w:rsid w:val="652A557F"/>
    <w:rsid w:val="6530730D"/>
    <w:rsid w:val="6535514E"/>
    <w:rsid w:val="656211BC"/>
    <w:rsid w:val="6565583E"/>
    <w:rsid w:val="656E5DB3"/>
    <w:rsid w:val="65764C68"/>
    <w:rsid w:val="6579066C"/>
    <w:rsid w:val="658904F7"/>
    <w:rsid w:val="65901886"/>
    <w:rsid w:val="65956E9C"/>
    <w:rsid w:val="65982F48"/>
    <w:rsid w:val="65A157A3"/>
    <w:rsid w:val="65AD68DC"/>
    <w:rsid w:val="65B35574"/>
    <w:rsid w:val="65B52C14"/>
    <w:rsid w:val="65D83F66"/>
    <w:rsid w:val="661800D4"/>
    <w:rsid w:val="661E4D30"/>
    <w:rsid w:val="662A7F2C"/>
    <w:rsid w:val="6637091A"/>
    <w:rsid w:val="663A7A43"/>
    <w:rsid w:val="66410DD2"/>
    <w:rsid w:val="664A237C"/>
    <w:rsid w:val="664B69DE"/>
    <w:rsid w:val="6656489F"/>
    <w:rsid w:val="666A0329"/>
    <w:rsid w:val="6672542F"/>
    <w:rsid w:val="66BA2932"/>
    <w:rsid w:val="66CF2882"/>
    <w:rsid w:val="66F67E0E"/>
    <w:rsid w:val="66F75D2D"/>
    <w:rsid w:val="67034A0D"/>
    <w:rsid w:val="67087B42"/>
    <w:rsid w:val="6709391F"/>
    <w:rsid w:val="670D3C67"/>
    <w:rsid w:val="67105DFC"/>
    <w:rsid w:val="6716225F"/>
    <w:rsid w:val="675114E9"/>
    <w:rsid w:val="676A25AA"/>
    <w:rsid w:val="677167BD"/>
    <w:rsid w:val="67803B7C"/>
    <w:rsid w:val="678973DD"/>
    <w:rsid w:val="678E0047"/>
    <w:rsid w:val="67A711B0"/>
    <w:rsid w:val="67EE4F89"/>
    <w:rsid w:val="67F65BEC"/>
    <w:rsid w:val="67FD0FD1"/>
    <w:rsid w:val="67FD341E"/>
    <w:rsid w:val="682D7860"/>
    <w:rsid w:val="682F1A70"/>
    <w:rsid w:val="68784853"/>
    <w:rsid w:val="68790962"/>
    <w:rsid w:val="68914293"/>
    <w:rsid w:val="68A8338A"/>
    <w:rsid w:val="68AF296B"/>
    <w:rsid w:val="68B84965"/>
    <w:rsid w:val="68BF324B"/>
    <w:rsid w:val="68CD2DF1"/>
    <w:rsid w:val="68D67C9B"/>
    <w:rsid w:val="69124CA8"/>
    <w:rsid w:val="69251B3C"/>
    <w:rsid w:val="692E7E21"/>
    <w:rsid w:val="696127A4"/>
    <w:rsid w:val="696A60FD"/>
    <w:rsid w:val="698A5D8B"/>
    <w:rsid w:val="69961435"/>
    <w:rsid w:val="69B8584F"/>
    <w:rsid w:val="69B875FD"/>
    <w:rsid w:val="69E95A08"/>
    <w:rsid w:val="69EB0053"/>
    <w:rsid w:val="69FA58BA"/>
    <w:rsid w:val="69FC398E"/>
    <w:rsid w:val="6A114F5F"/>
    <w:rsid w:val="6A2B4D5A"/>
    <w:rsid w:val="6A3053E5"/>
    <w:rsid w:val="6A513230"/>
    <w:rsid w:val="6A55309E"/>
    <w:rsid w:val="6A5C61DA"/>
    <w:rsid w:val="6A5D01A4"/>
    <w:rsid w:val="6A6908F7"/>
    <w:rsid w:val="6A836893"/>
    <w:rsid w:val="6A86594D"/>
    <w:rsid w:val="6A8D2838"/>
    <w:rsid w:val="6A99769F"/>
    <w:rsid w:val="6AA06A0F"/>
    <w:rsid w:val="6AA3205B"/>
    <w:rsid w:val="6AB57FE0"/>
    <w:rsid w:val="6AB63143"/>
    <w:rsid w:val="6ACC3E38"/>
    <w:rsid w:val="6AD95A7D"/>
    <w:rsid w:val="6B2F7D93"/>
    <w:rsid w:val="6B3453A9"/>
    <w:rsid w:val="6B4D1FC7"/>
    <w:rsid w:val="6B655563"/>
    <w:rsid w:val="6B6D4417"/>
    <w:rsid w:val="6B7C465A"/>
    <w:rsid w:val="6BC37566"/>
    <w:rsid w:val="6BCB7ABB"/>
    <w:rsid w:val="6BCE4EB6"/>
    <w:rsid w:val="6BD9050B"/>
    <w:rsid w:val="6C00528B"/>
    <w:rsid w:val="6C1B3E73"/>
    <w:rsid w:val="6C2157F2"/>
    <w:rsid w:val="6C21592D"/>
    <w:rsid w:val="6C465394"/>
    <w:rsid w:val="6C615D2A"/>
    <w:rsid w:val="6C700183"/>
    <w:rsid w:val="6C7C05E1"/>
    <w:rsid w:val="6C7C3C01"/>
    <w:rsid w:val="6C823EF2"/>
    <w:rsid w:val="6C991968"/>
    <w:rsid w:val="6CAA5835"/>
    <w:rsid w:val="6CC02668"/>
    <w:rsid w:val="6CE117BB"/>
    <w:rsid w:val="6CF621A5"/>
    <w:rsid w:val="6CF77892"/>
    <w:rsid w:val="6CFA1CDB"/>
    <w:rsid w:val="6D393F37"/>
    <w:rsid w:val="6D416709"/>
    <w:rsid w:val="6D486EEA"/>
    <w:rsid w:val="6D5F1174"/>
    <w:rsid w:val="6D694F6C"/>
    <w:rsid w:val="6DF6468D"/>
    <w:rsid w:val="6DF826BE"/>
    <w:rsid w:val="6E201C15"/>
    <w:rsid w:val="6E254A79"/>
    <w:rsid w:val="6E3D4575"/>
    <w:rsid w:val="6E526272"/>
    <w:rsid w:val="6E663ACB"/>
    <w:rsid w:val="6E6733A0"/>
    <w:rsid w:val="6E911847"/>
    <w:rsid w:val="6ECE1671"/>
    <w:rsid w:val="6EE5266B"/>
    <w:rsid w:val="6EE954A0"/>
    <w:rsid w:val="6EF92185"/>
    <w:rsid w:val="6F2968A7"/>
    <w:rsid w:val="6F2F0361"/>
    <w:rsid w:val="6F871F4B"/>
    <w:rsid w:val="6F887A72"/>
    <w:rsid w:val="6F8A5598"/>
    <w:rsid w:val="6F9205FC"/>
    <w:rsid w:val="6F9920B9"/>
    <w:rsid w:val="6FB70357"/>
    <w:rsid w:val="6FD202CE"/>
    <w:rsid w:val="6FED5B27"/>
    <w:rsid w:val="6FF402D2"/>
    <w:rsid w:val="700253A4"/>
    <w:rsid w:val="700E61C9"/>
    <w:rsid w:val="70251764"/>
    <w:rsid w:val="702F4391"/>
    <w:rsid w:val="703616C3"/>
    <w:rsid w:val="703C2F7E"/>
    <w:rsid w:val="703D6AAE"/>
    <w:rsid w:val="704264FE"/>
    <w:rsid w:val="704A4D27"/>
    <w:rsid w:val="70651B61"/>
    <w:rsid w:val="706A7177"/>
    <w:rsid w:val="707B3132"/>
    <w:rsid w:val="707B70F4"/>
    <w:rsid w:val="70827DBA"/>
    <w:rsid w:val="70CB59FF"/>
    <w:rsid w:val="70CD7E32"/>
    <w:rsid w:val="70D171F6"/>
    <w:rsid w:val="70D24205"/>
    <w:rsid w:val="70F52EE5"/>
    <w:rsid w:val="7104581E"/>
    <w:rsid w:val="71087AF2"/>
    <w:rsid w:val="71325EE7"/>
    <w:rsid w:val="71341C5F"/>
    <w:rsid w:val="713559D7"/>
    <w:rsid w:val="71436346"/>
    <w:rsid w:val="714E0065"/>
    <w:rsid w:val="714E7574"/>
    <w:rsid w:val="71724535"/>
    <w:rsid w:val="719426FE"/>
    <w:rsid w:val="719C7A2C"/>
    <w:rsid w:val="71EA4A14"/>
    <w:rsid w:val="71F45AF7"/>
    <w:rsid w:val="721F36E2"/>
    <w:rsid w:val="72564B05"/>
    <w:rsid w:val="72565C05"/>
    <w:rsid w:val="726E2F4F"/>
    <w:rsid w:val="728A58AF"/>
    <w:rsid w:val="72AC146F"/>
    <w:rsid w:val="72B8066E"/>
    <w:rsid w:val="72D03C09"/>
    <w:rsid w:val="72DD00D4"/>
    <w:rsid w:val="72EE0533"/>
    <w:rsid w:val="72EF6F80"/>
    <w:rsid w:val="732D7EA4"/>
    <w:rsid w:val="732E26DE"/>
    <w:rsid w:val="73311D53"/>
    <w:rsid w:val="73326672"/>
    <w:rsid w:val="73455D2A"/>
    <w:rsid w:val="7355363A"/>
    <w:rsid w:val="73575302"/>
    <w:rsid w:val="7379604F"/>
    <w:rsid w:val="738B7B30"/>
    <w:rsid w:val="73B1667A"/>
    <w:rsid w:val="73BB73FF"/>
    <w:rsid w:val="73C2352D"/>
    <w:rsid w:val="743326A2"/>
    <w:rsid w:val="74336211"/>
    <w:rsid w:val="74365CEE"/>
    <w:rsid w:val="744523D5"/>
    <w:rsid w:val="746E36DA"/>
    <w:rsid w:val="74746816"/>
    <w:rsid w:val="747F58E7"/>
    <w:rsid w:val="74BF5CE3"/>
    <w:rsid w:val="74C54A6A"/>
    <w:rsid w:val="74FD680C"/>
    <w:rsid w:val="750E0A19"/>
    <w:rsid w:val="7513602F"/>
    <w:rsid w:val="752554D7"/>
    <w:rsid w:val="753A1198"/>
    <w:rsid w:val="75501031"/>
    <w:rsid w:val="75545052"/>
    <w:rsid w:val="7558025B"/>
    <w:rsid w:val="756B4BA0"/>
    <w:rsid w:val="75A24B7B"/>
    <w:rsid w:val="75C94940"/>
    <w:rsid w:val="75D91027"/>
    <w:rsid w:val="75E1612D"/>
    <w:rsid w:val="75E70A10"/>
    <w:rsid w:val="75F145C2"/>
    <w:rsid w:val="76116A13"/>
    <w:rsid w:val="761C0F14"/>
    <w:rsid w:val="76432944"/>
    <w:rsid w:val="767E734C"/>
    <w:rsid w:val="768C42EB"/>
    <w:rsid w:val="76A21419"/>
    <w:rsid w:val="76A72ED3"/>
    <w:rsid w:val="76D37824"/>
    <w:rsid w:val="76D947FD"/>
    <w:rsid w:val="76ED72ED"/>
    <w:rsid w:val="76EE28B0"/>
    <w:rsid w:val="770005B2"/>
    <w:rsid w:val="7701126B"/>
    <w:rsid w:val="77112281"/>
    <w:rsid w:val="771709C0"/>
    <w:rsid w:val="77225551"/>
    <w:rsid w:val="77607B16"/>
    <w:rsid w:val="777668B4"/>
    <w:rsid w:val="77811976"/>
    <w:rsid w:val="77972F48"/>
    <w:rsid w:val="779E6C78"/>
    <w:rsid w:val="77C4111D"/>
    <w:rsid w:val="77C5259C"/>
    <w:rsid w:val="77D40804"/>
    <w:rsid w:val="77EF36CF"/>
    <w:rsid w:val="781A76D5"/>
    <w:rsid w:val="782276EB"/>
    <w:rsid w:val="782B19EF"/>
    <w:rsid w:val="782B4C2B"/>
    <w:rsid w:val="784F2D5A"/>
    <w:rsid w:val="785D5F3F"/>
    <w:rsid w:val="78661E84"/>
    <w:rsid w:val="78713799"/>
    <w:rsid w:val="78793335"/>
    <w:rsid w:val="78A43CB2"/>
    <w:rsid w:val="78AF606F"/>
    <w:rsid w:val="78B83176"/>
    <w:rsid w:val="78BE4504"/>
    <w:rsid w:val="78BE62B2"/>
    <w:rsid w:val="78CB421F"/>
    <w:rsid w:val="78D6184E"/>
    <w:rsid w:val="78EA52F9"/>
    <w:rsid w:val="78EB74BE"/>
    <w:rsid w:val="79157330"/>
    <w:rsid w:val="79442C5B"/>
    <w:rsid w:val="79492020"/>
    <w:rsid w:val="79515378"/>
    <w:rsid w:val="79525747"/>
    <w:rsid w:val="798017B9"/>
    <w:rsid w:val="79870D9A"/>
    <w:rsid w:val="79C40A0A"/>
    <w:rsid w:val="79CC49FF"/>
    <w:rsid w:val="79D00A81"/>
    <w:rsid w:val="79D57D57"/>
    <w:rsid w:val="79EB1329"/>
    <w:rsid w:val="79F60629"/>
    <w:rsid w:val="79F67474"/>
    <w:rsid w:val="7A0E4827"/>
    <w:rsid w:val="7A117820"/>
    <w:rsid w:val="7A5555BD"/>
    <w:rsid w:val="7A5B7CC0"/>
    <w:rsid w:val="7A5C3FD5"/>
    <w:rsid w:val="7A5C5D83"/>
    <w:rsid w:val="7A756E44"/>
    <w:rsid w:val="7A8B6668"/>
    <w:rsid w:val="7AAD2A82"/>
    <w:rsid w:val="7AB035E0"/>
    <w:rsid w:val="7AB7745D"/>
    <w:rsid w:val="7AC6024A"/>
    <w:rsid w:val="7ACE175A"/>
    <w:rsid w:val="7B033713"/>
    <w:rsid w:val="7B100BE5"/>
    <w:rsid w:val="7B193C74"/>
    <w:rsid w:val="7B3867F0"/>
    <w:rsid w:val="7B3E55FD"/>
    <w:rsid w:val="7B5B3614"/>
    <w:rsid w:val="7B5F1FCE"/>
    <w:rsid w:val="7B811411"/>
    <w:rsid w:val="7B821CEC"/>
    <w:rsid w:val="7B8239E9"/>
    <w:rsid w:val="7B8B4D8E"/>
    <w:rsid w:val="7B916F51"/>
    <w:rsid w:val="7B990B19"/>
    <w:rsid w:val="7B9F23CB"/>
    <w:rsid w:val="7BAD107A"/>
    <w:rsid w:val="7BB53127"/>
    <w:rsid w:val="7BD1454E"/>
    <w:rsid w:val="7BDD1145"/>
    <w:rsid w:val="7BE44282"/>
    <w:rsid w:val="7BE73518"/>
    <w:rsid w:val="7BE90F4C"/>
    <w:rsid w:val="7BF25626"/>
    <w:rsid w:val="7BF2699E"/>
    <w:rsid w:val="7BF40FA0"/>
    <w:rsid w:val="7BF96578"/>
    <w:rsid w:val="7C0E376A"/>
    <w:rsid w:val="7C32323F"/>
    <w:rsid w:val="7C3945CD"/>
    <w:rsid w:val="7C3C2310"/>
    <w:rsid w:val="7C4A4A2C"/>
    <w:rsid w:val="7C6D4277"/>
    <w:rsid w:val="7C7C095E"/>
    <w:rsid w:val="7C841D57"/>
    <w:rsid w:val="7C895B34"/>
    <w:rsid w:val="7C8E7A69"/>
    <w:rsid w:val="7C943EFA"/>
    <w:rsid w:val="7CA67789"/>
    <w:rsid w:val="7CAB4D9F"/>
    <w:rsid w:val="7CB62347"/>
    <w:rsid w:val="7CB65C1E"/>
    <w:rsid w:val="7D133070"/>
    <w:rsid w:val="7D1727EC"/>
    <w:rsid w:val="7D590329"/>
    <w:rsid w:val="7D644302"/>
    <w:rsid w:val="7D676C50"/>
    <w:rsid w:val="7D7653AD"/>
    <w:rsid w:val="7D9131E6"/>
    <w:rsid w:val="7D957A7B"/>
    <w:rsid w:val="7D965A4F"/>
    <w:rsid w:val="7DB54B5D"/>
    <w:rsid w:val="7DBE3BDC"/>
    <w:rsid w:val="7DC263C9"/>
    <w:rsid w:val="7DD93618"/>
    <w:rsid w:val="7DE40947"/>
    <w:rsid w:val="7E0E302F"/>
    <w:rsid w:val="7E0E6A9A"/>
    <w:rsid w:val="7E665883"/>
    <w:rsid w:val="7E6873EC"/>
    <w:rsid w:val="7E6F2E62"/>
    <w:rsid w:val="7E722019"/>
    <w:rsid w:val="7E7E276B"/>
    <w:rsid w:val="7E8104AE"/>
    <w:rsid w:val="7E8A7362"/>
    <w:rsid w:val="7E8B6C36"/>
    <w:rsid w:val="7E957AB5"/>
    <w:rsid w:val="7E9F2355"/>
    <w:rsid w:val="7ED4099C"/>
    <w:rsid w:val="7F030EC3"/>
    <w:rsid w:val="7F076C6E"/>
    <w:rsid w:val="7F66048D"/>
    <w:rsid w:val="7F840255"/>
    <w:rsid w:val="7F8C56AF"/>
    <w:rsid w:val="7F93678A"/>
    <w:rsid w:val="7F945FBF"/>
    <w:rsid w:val="7FA14497"/>
    <w:rsid w:val="7FAF2DF8"/>
    <w:rsid w:val="7FC46468"/>
    <w:rsid w:val="7FD05249"/>
    <w:rsid w:val="7FD30895"/>
    <w:rsid w:val="7FDC1E3F"/>
    <w:rsid w:val="7FDD5F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eastAsia="仿宋"/>
      <w:b/>
      <w:bCs/>
      <w:kern w:val="44"/>
      <w:sz w:val="44"/>
      <w:szCs w:val="44"/>
    </w:rPr>
  </w:style>
  <w:style w:type="paragraph" w:styleId="3">
    <w:name w:val="heading 2"/>
    <w:basedOn w:val="1"/>
    <w:next w:val="1"/>
    <w:link w:val="33"/>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4"/>
    <w:qFormat/>
    <w:uiPriority w:val="0"/>
    <w:pPr>
      <w:keepNext/>
      <w:keepLines/>
      <w:spacing w:before="260" w:after="260" w:line="416" w:lineRule="auto"/>
      <w:outlineLvl w:val="2"/>
    </w:pPr>
    <w:rPr>
      <w:rFonts w:eastAsia="仿宋"/>
      <w:b/>
      <w:bCs/>
      <w:kern w:val="0"/>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77"/>
    <w:unhideWhenUsed/>
    <w:qFormat/>
    <w:uiPriority w:val="99"/>
    <w:pPr>
      <w:jc w:val="left"/>
    </w:pPr>
  </w:style>
  <w:style w:type="paragraph" w:styleId="7">
    <w:name w:val="Body Text"/>
    <w:basedOn w:val="1"/>
    <w:next w:val="8"/>
    <w:unhideWhenUsed/>
    <w:qFormat/>
    <w:uiPriority w:val="99"/>
    <w:rPr>
      <w:sz w:val="28"/>
      <w:szCs w:val="20"/>
    </w:rPr>
  </w:style>
  <w:style w:type="paragraph" w:styleId="8">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9">
    <w:name w:val="Body Text Indent"/>
    <w:basedOn w:val="1"/>
    <w:next w:val="10"/>
    <w:qFormat/>
    <w:uiPriority w:val="0"/>
    <w:pPr>
      <w:ind w:firstLine="630"/>
    </w:pPr>
    <w:rPr>
      <w:rFonts w:ascii="Calibri" w:hAnsi="Calibri"/>
      <w:sz w:val="32"/>
    </w:rPr>
  </w:style>
  <w:style w:type="paragraph" w:styleId="10">
    <w:name w:val="Body Text First Indent 2"/>
    <w:basedOn w:val="9"/>
    <w:next w:val="1"/>
    <w:qFormat/>
    <w:uiPriority w:val="0"/>
    <w:pPr>
      <w:ind w:firstLine="420"/>
    </w:pPr>
  </w:style>
  <w:style w:type="paragraph" w:styleId="11">
    <w:name w:val="Balloon Text"/>
    <w:basedOn w:val="1"/>
    <w:link w:val="35"/>
    <w:qFormat/>
    <w:uiPriority w:val="0"/>
    <w:rPr>
      <w:rFonts w:eastAsia="仿宋"/>
      <w:kern w:val="0"/>
      <w:sz w:val="18"/>
      <w:szCs w:val="18"/>
    </w:rPr>
  </w:style>
  <w:style w:type="paragraph" w:styleId="12">
    <w:name w:val="footer"/>
    <w:basedOn w:val="1"/>
    <w:link w:val="36"/>
    <w:qFormat/>
    <w:uiPriority w:val="99"/>
    <w:pPr>
      <w:tabs>
        <w:tab w:val="center" w:pos="4153"/>
        <w:tab w:val="right" w:pos="8306"/>
      </w:tabs>
      <w:snapToGrid w:val="0"/>
      <w:jc w:val="left"/>
    </w:pPr>
    <w:rPr>
      <w:kern w:val="0"/>
      <w:sz w:val="18"/>
      <w:szCs w:val="18"/>
    </w:rPr>
  </w:style>
  <w:style w:type="paragraph" w:styleId="13">
    <w:name w:val="header"/>
    <w:basedOn w:val="1"/>
    <w:link w:val="37"/>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style>
  <w:style w:type="paragraph" w:styleId="15">
    <w:name w:val="List"/>
    <w:basedOn w:val="1"/>
    <w:unhideWhenUsed/>
    <w:qFormat/>
    <w:uiPriority w:val="99"/>
    <w:pPr>
      <w:ind w:left="200" w:hanging="200" w:hangingChars="200"/>
      <w:contextualSpacing/>
    </w:pPr>
  </w:style>
  <w:style w:type="paragraph" w:styleId="16">
    <w:name w:val="Normal (Web)"/>
    <w:basedOn w:val="1"/>
    <w:unhideWhenUsed/>
    <w:qFormat/>
    <w:uiPriority w:val="99"/>
    <w:rPr>
      <w:szCs w:val="24"/>
    </w:rPr>
  </w:style>
  <w:style w:type="paragraph" w:styleId="17">
    <w:name w:val="Title"/>
    <w:basedOn w:val="1"/>
    <w:next w:val="1"/>
    <w:link w:val="39"/>
    <w:qFormat/>
    <w:uiPriority w:val="0"/>
    <w:pPr>
      <w:spacing w:before="240" w:after="60"/>
      <w:jc w:val="left"/>
      <w:outlineLvl w:val="0"/>
    </w:pPr>
    <w:rPr>
      <w:rFonts w:ascii="Cambria" w:hAnsi="Cambria"/>
      <w:b/>
      <w:bCs/>
      <w:kern w:val="0"/>
      <w:sz w:val="32"/>
      <w:szCs w:val="32"/>
    </w:rPr>
  </w:style>
  <w:style w:type="paragraph" w:styleId="18">
    <w:name w:val="annotation subject"/>
    <w:basedOn w:val="6"/>
    <w:next w:val="6"/>
    <w:link w:val="78"/>
    <w:semiHidden/>
    <w:unhideWhenUsed/>
    <w:qFormat/>
    <w:uiPriority w:val="99"/>
    <w:rPr>
      <w:b/>
      <w:bCs/>
    </w:rPr>
  </w:style>
  <w:style w:type="paragraph" w:styleId="19">
    <w:name w:val="Body Text First Indent"/>
    <w:basedOn w:val="7"/>
    <w:qFormat/>
    <w:uiPriority w:val="0"/>
    <w:pPr>
      <w:spacing w:line="360" w:lineRule="auto"/>
      <w:ind w:firstLine="880" w:firstLineChars="200"/>
    </w:pPr>
    <w:rPr>
      <w:rFonts w:ascii="宋体" w:hAnsi="宋体"/>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qFormat/>
    <w:uiPriority w:val="0"/>
    <w:rPr>
      <w:color w:val="000000"/>
      <w:sz w:val="18"/>
      <w:szCs w:val="18"/>
      <w:u w:val="none"/>
    </w:rPr>
  </w:style>
  <w:style w:type="character" w:styleId="24">
    <w:name w:val="HTML Definition"/>
    <w:unhideWhenUsed/>
    <w:qFormat/>
    <w:uiPriority w:val="99"/>
  </w:style>
  <w:style w:type="character" w:styleId="25">
    <w:name w:val="HTML Variable"/>
    <w:unhideWhenUsed/>
    <w:qFormat/>
    <w:uiPriority w:val="99"/>
  </w:style>
  <w:style w:type="character" w:styleId="26">
    <w:name w:val="Hyperlink"/>
    <w:qFormat/>
    <w:uiPriority w:val="0"/>
    <w:rPr>
      <w:color w:val="3F88BF"/>
      <w:u w:val="none"/>
    </w:rPr>
  </w:style>
  <w:style w:type="character" w:styleId="27">
    <w:name w:val="HTML Code"/>
    <w:unhideWhenUsed/>
    <w:qFormat/>
    <w:uiPriority w:val="99"/>
    <w:rPr>
      <w:rFonts w:ascii="Courier New" w:hAnsi="Courier New"/>
      <w:sz w:val="20"/>
    </w:rPr>
  </w:style>
  <w:style w:type="character" w:styleId="28">
    <w:name w:val="annotation reference"/>
    <w:basedOn w:val="22"/>
    <w:semiHidden/>
    <w:unhideWhenUsed/>
    <w:qFormat/>
    <w:uiPriority w:val="99"/>
    <w:rPr>
      <w:sz w:val="21"/>
      <w:szCs w:val="21"/>
    </w:rPr>
  </w:style>
  <w:style w:type="character" w:styleId="29">
    <w:name w:val="HTML Cite"/>
    <w:unhideWhenUsed/>
    <w:qFormat/>
    <w:uiPriority w:val="99"/>
  </w:style>
  <w:style w:type="paragraph" w:customStyle="1" w:styleId="30">
    <w:name w:val="标题 5（有编号）（绿盟科技）"/>
    <w:basedOn w:val="1"/>
    <w:next w:val="31"/>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2">
    <w:name w:val="标题 1 Char"/>
    <w:link w:val="2"/>
    <w:qFormat/>
    <w:uiPriority w:val="0"/>
    <w:rPr>
      <w:rFonts w:ascii="Times New Roman" w:hAnsi="Times New Roman" w:eastAsia="仿宋" w:cs="Times New Roman"/>
      <w:b/>
      <w:bCs/>
      <w:kern w:val="44"/>
      <w:sz w:val="44"/>
      <w:szCs w:val="44"/>
    </w:rPr>
  </w:style>
  <w:style w:type="character" w:customStyle="1" w:styleId="33">
    <w:name w:val="标题 2 Char"/>
    <w:link w:val="3"/>
    <w:qFormat/>
    <w:uiPriority w:val="0"/>
    <w:rPr>
      <w:rFonts w:ascii="Cambria" w:hAnsi="Cambria" w:eastAsia="宋体"/>
      <w:b/>
      <w:bCs/>
      <w:sz w:val="32"/>
      <w:szCs w:val="32"/>
    </w:rPr>
  </w:style>
  <w:style w:type="character" w:customStyle="1" w:styleId="34">
    <w:name w:val="标题 3 Char"/>
    <w:link w:val="4"/>
    <w:qFormat/>
    <w:uiPriority w:val="0"/>
    <w:rPr>
      <w:rFonts w:ascii="Times New Roman" w:hAnsi="Times New Roman" w:eastAsia="仿宋" w:cs="Times New Roman"/>
      <w:b/>
      <w:bCs/>
      <w:sz w:val="32"/>
      <w:szCs w:val="32"/>
    </w:rPr>
  </w:style>
  <w:style w:type="character" w:customStyle="1" w:styleId="35">
    <w:name w:val="批注框文本 Char"/>
    <w:link w:val="11"/>
    <w:qFormat/>
    <w:uiPriority w:val="0"/>
    <w:rPr>
      <w:rFonts w:ascii="Times New Roman" w:hAnsi="Times New Roman" w:eastAsia="仿宋" w:cs="Times New Roman"/>
      <w:sz w:val="18"/>
      <w:szCs w:val="18"/>
    </w:rPr>
  </w:style>
  <w:style w:type="character" w:customStyle="1" w:styleId="36">
    <w:name w:val="页脚 Char"/>
    <w:link w:val="12"/>
    <w:qFormat/>
    <w:uiPriority w:val="99"/>
    <w:rPr>
      <w:sz w:val="18"/>
      <w:szCs w:val="18"/>
    </w:rPr>
  </w:style>
  <w:style w:type="character" w:customStyle="1" w:styleId="37">
    <w:name w:val="页眉 Char"/>
    <w:link w:val="13"/>
    <w:qFormat/>
    <w:uiPriority w:val="0"/>
    <w:rPr>
      <w:sz w:val="18"/>
      <w:szCs w:val="18"/>
    </w:rPr>
  </w:style>
  <w:style w:type="character" w:customStyle="1" w:styleId="38">
    <w:name w:val="副标题 Char"/>
    <w:link w:val="8"/>
    <w:qFormat/>
    <w:uiPriority w:val="0"/>
    <w:rPr>
      <w:rFonts w:ascii="Cambria" w:hAnsi="Cambria"/>
      <w:b/>
      <w:bCs/>
      <w:kern w:val="28"/>
      <w:sz w:val="32"/>
      <w:szCs w:val="32"/>
    </w:rPr>
  </w:style>
  <w:style w:type="character" w:customStyle="1" w:styleId="39">
    <w:name w:val="标题 Char"/>
    <w:link w:val="17"/>
    <w:qFormat/>
    <w:uiPriority w:val="0"/>
    <w:rPr>
      <w:rFonts w:ascii="Cambria" w:hAnsi="Cambria"/>
      <w:b/>
      <w:bCs/>
      <w:sz w:val="32"/>
      <w:szCs w:val="32"/>
    </w:rPr>
  </w:style>
  <w:style w:type="character" w:customStyle="1" w:styleId="40">
    <w:name w:val="05、“(一)”正文三级标题 Char"/>
    <w:link w:val="41"/>
    <w:qFormat/>
    <w:uiPriority w:val="0"/>
    <w:rPr>
      <w:rFonts w:ascii="宋体" w:hAnsi="宋体" w:eastAsia="宋体"/>
    </w:rPr>
  </w:style>
  <w:style w:type="paragraph" w:customStyle="1" w:styleId="41">
    <w:name w:val="05、“(一)”正文三级标题"/>
    <w:basedOn w:val="1"/>
    <w:link w:val="40"/>
    <w:qFormat/>
    <w:uiPriority w:val="0"/>
    <w:pPr>
      <w:numPr>
        <w:ilvl w:val="1"/>
        <w:numId w:val="2"/>
      </w:numPr>
      <w:tabs>
        <w:tab w:val="left" w:pos="0"/>
      </w:tabs>
      <w:wordWrap w:val="0"/>
      <w:topLinePunct/>
      <w:ind w:firstLine="803" w:firstLineChars="200"/>
    </w:pPr>
    <w:rPr>
      <w:rFonts w:ascii="宋体" w:hAnsi="宋体"/>
    </w:rPr>
  </w:style>
  <w:style w:type="character" w:customStyle="1" w:styleId="42">
    <w:name w:val="font41"/>
    <w:qFormat/>
    <w:uiPriority w:val="0"/>
    <w:rPr>
      <w:rFonts w:hint="eastAsia" w:ascii="宋体" w:hAnsi="宋体" w:eastAsia="宋体" w:cs="宋体"/>
      <w:color w:val="000000"/>
      <w:sz w:val="20"/>
      <w:szCs w:val="20"/>
      <w:u w:val="none"/>
    </w:rPr>
  </w:style>
  <w:style w:type="character" w:customStyle="1" w:styleId="43">
    <w:name w:val="文档结构图 Char"/>
    <w:link w:val="44"/>
    <w:qFormat/>
    <w:uiPriority w:val="0"/>
    <w:rPr>
      <w:rFonts w:ascii="宋体" w:hAnsi="Times New Roman" w:eastAsia="宋体" w:cs="Times New Roman"/>
      <w:sz w:val="18"/>
      <w:szCs w:val="18"/>
    </w:rPr>
  </w:style>
  <w:style w:type="paragraph" w:customStyle="1" w:styleId="44">
    <w:name w:val="文档结构图1"/>
    <w:basedOn w:val="1"/>
    <w:link w:val="43"/>
    <w:qFormat/>
    <w:uiPriority w:val="0"/>
    <w:rPr>
      <w:rFonts w:ascii="宋体"/>
      <w:kern w:val="0"/>
      <w:sz w:val="18"/>
      <w:szCs w:val="18"/>
    </w:rPr>
  </w:style>
  <w:style w:type="character" w:customStyle="1" w:styleId="45">
    <w:name w:val="img"/>
    <w:qFormat/>
    <w:uiPriority w:val="0"/>
  </w:style>
  <w:style w:type="character" w:customStyle="1" w:styleId="46">
    <w:name w:val="副标题 Char1"/>
    <w:qFormat/>
    <w:uiPriority w:val="0"/>
    <w:rPr>
      <w:rFonts w:ascii="Cambria" w:hAnsi="Cambria" w:eastAsia="宋体"/>
      <w:b/>
      <w:bCs/>
      <w:kern w:val="28"/>
      <w:sz w:val="32"/>
      <w:szCs w:val="32"/>
    </w:rPr>
  </w:style>
  <w:style w:type="character" w:customStyle="1" w:styleId="47">
    <w:name w:val="样式 首行缩进:  2 字符 Char Char"/>
    <w:link w:val="48"/>
    <w:qFormat/>
    <w:uiPriority w:val="0"/>
    <w:rPr>
      <w:sz w:val="24"/>
    </w:rPr>
  </w:style>
  <w:style w:type="paragraph" w:customStyle="1" w:styleId="48">
    <w:name w:val="样式 首行缩进:  2 字符"/>
    <w:basedOn w:val="1"/>
    <w:link w:val="47"/>
    <w:qFormat/>
    <w:uiPriority w:val="0"/>
    <w:pPr>
      <w:spacing w:line="400" w:lineRule="exact"/>
      <w:ind w:firstLine="200" w:firstLineChars="200"/>
    </w:pPr>
    <w:rPr>
      <w:kern w:val="0"/>
      <w:szCs w:val="20"/>
    </w:rPr>
  </w:style>
  <w:style w:type="character" w:customStyle="1" w:styleId="49">
    <w:name w:val="font71"/>
    <w:qFormat/>
    <w:uiPriority w:val="0"/>
    <w:rPr>
      <w:rFonts w:ascii="仿宋" w:hAnsi="仿宋" w:eastAsia="仿宋" w:cs="仿宋"/>
      <w:color w:val="000000"/>
      <w:sz w:val="20"/>
      <w:szCs w:val="20"/>
      <w:u w:val="none"/>
    </w:rPr>
  </w:style>
  <w:style w:type="character" w:customStyle="1" w:styleId="50">
    <w:name w:val="标题 Char1"/>
    <w:qFormat/>
    <w:uiPriority w:val="0"/>
    <w:rPr>
      <w:rFonts w:ascii="Cambria" w:hAnsi="Cambria" w:eastAsia="宋体"/>
      <w:b/>
      <w:bCs/>
      <w:sz w:val="32"/>
      <w:szCs w:val="32"/>
    </w:rPr>
  </w:style>
  <w:style w:type="character" w:customStyle="1" w:styleId="51">
    <w:name w:val="img1"/>
    <w:qFormat/>
    <w:uiPriority w:val="0"/>
  </w:style>
  <w:style w:type="character" w:customStyle="1" w:styleId="52">
    <w:name w:val="正文缩进 Char"/>
    <w:link w:val="53"/>
    <w:qFormat/>
    <w:uiPriority w:val="0"/>
  </w:style>
  <w:style w:type="paragraph" w:customStyle="1" w:styleId="53">
    <w:name w:val="正文缩进1"/>
    <w:basedOn w:val="1"/>
    <w:link w:val="52"/>
    <w:qFormat/>
    <w:uiPriority w:val="0"/>
    <w:pPr>
      <w:ind w:firstLine="420"/>
    </w:pPr>
  </w:style>
  <w:style w:type="character" w:customStyle="1" w:styleId="54">
    <w:name w:val="HTML 预设格式 Char"/>
    <w:link w:val="55"/>
    <w:qFormat/>
    <w:uiPriority w:val="0"/>
    <w:rPr>
      <w:rFonts w:ascii="宋体" w:hAnsi="宋体" w:eastAsia="宋体" w:cs="宋体"/>
      <w:kern w:val="0"/>
      <w:sz w:val="24"/>
      <w:szCs w:val="24"/>
    </w:rPr>
  </w:style>
  <w:style w:type="paragraph" w:customStyle="1" w:styleId="55">
    <w:name w:val="HTML 预设格式1"/>
    <w:basedOn w:val="1"/>
    <w:link w:val="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4"/>
    </w:rPr>
  </w:style>
  <w:style w:type="paragraph" w:customStyle="1" w:styleId="56">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57">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customStyle="1" w:styleId="58">
    <w:name w:val="21、合同二级标题序号"/>
    <w:basedOn w:val="59"/>
    <w:qFormat/>
    <w:uiPriority w:val="0"/>
    <w:pPr>
      <w:numPr>
        <w:ilvl w:val="0"/>
        <w:numId w:val="3"/>
      </w:numPr>
      <w:tabs>
        <w:tab w:val="left" w:pos="0"/>
      </w:tabs>
      <w:ind w:firstLine="803" w:firstLineChars="200"/>
      <w:outlineLvl w:val="1"/>
    </w:pPr>
    <w:rPr>
      <w:b/>
    </w:rPr>
  </w:style>
  <w:style w:type="paragraph" w:customStyle="1" w:styleId="59">
    <w:name w:val="01、普通正文"/>
    <w:basedOn w:val="1"/>
    <w:qFormat/>
    <w:uiPriority w:val="0"/>
    <w:pPr>
      <w:tabs>
        <w:tab w:val="left" w:pos="0"/>
      </w:tabs>
      <w:wordWrap w:val="0"/>
      <w:topLinePunct/>
    </w:pPr>
    <w:rPr>
      <w:rFonts w:ascii="宋体" w:hAnsi="宋体"/>
      <w:snapToGrid w:val="0"/>
    </w:rPr>
  </w:style>
  <w:style w:type="paragraph" w:customStyle="1" w:styleId="60">
    <w:name w:val="Table Paragraph"/>
    <w:basedOn w:val="1"/>
    <w:qFormat/>
    <w:uiPriority w:val="1"/>
    <w:rPr>
      <w:rFonts w:ascii="仿宋" w:hAnsi="仿宋" w:eastAsia="仿宋" w:cs="仿宋"/>
      <w:lang w:val="zh-CN" w:bidi="zh-CN"/>
    </w:rPr>
  </w:style>
  <w:style w:type="paragraph" w:customStyle="1" w:styleId="61">
    <w:name w:val="13、表格内居中正文"/>
    <w:basedOn w:val="1"/>
    <w:qFormat/>
    <w:uiPriority w:val="0"/>
    <w:pPr>
      <w:tabs>
        <w:tab w:val="left" w:pos="0"/>
      </w:tabs>
      <w:wordWrap w:val="0"/>
      <w:topLinePunct/>
      <w:spacing w:line="360" w:lineRule="exact"/>
      <w:jc w:val="center"/>
    </w:pPr>
    <w:rPr>
      <w:rFonts w:ascii="宋体" w:hAnsi="宋体"/>
    </w:rPr>
  </w:style>
  <w:style w:type="paragraph" w:customStyle="1" w:styleId="62">
    <w:name w:val="普通(网站)1"/>
    <w:basedOn w:val="1"/>
    <w:qFormat/>
    <w:uiPriority w:val="0"/>
    <w:pPr>
      <w:widowControl/>
      <w:jc w:val="left"/>
    </w:pPr>
    <w:rPr>
      <w:rFonts w:ascii="宋体" w:hAnsi="宋体" w:cs="宋体"/>
      <w:kern w:val="0"/>
      <w:szCs w:val="24"/>
    </w:rPr>
  </w:style>
  <w:style w:type="paragraph" w:customStyle="1" w:styleId="63">
    <w:name w:val="msolistparagraph"/>
    <w:basedOn w:val="1"/>
    <w:qFormat/>
    <w:uiPriority w:val="0"/>
    <w:pPr>
      <w:spacing w:line="360" w:lineRule="auto"/>
      <w:ind w:firstLine="420" w:firstLineChars="200"/>
    </w:pPr>
    <w:rPr>
      <w:rFonts w:ascii="等线" w:hAnsi="等线" w:eastAsia="等线"/>
      <w:sz w:val="21"/>
    </w:rPr>
  </w:style>
  <w:style w:type="paragraph" w:customStyle="1" w:styleId="64">
    <w:name w:val="12、表格内左对齐正文"/>
    <w:basedOn w:val="1"/>
    <w:qFormat/>
    <w:uiPriority w:val="0"/>
    <w:pPr>
      <w:tabs>
        <w:tab w:val="left" w:pos="0"/>
      </w:tabs>
      <w:wordWrap w:val="0"/>
      <w:topLinePunct/>
      <w:spacing w:line="360" w:lineRule="exact"/>
      <w:ind w:left="48" w:leftChars="20"/>
    </w:pPr>
    <w:rPr>
      <w:rFonts w:ascii="宋体" w:hAnsi="宋体"/>
      <w:snapToGrid w:val="0"/>
    </w:rPr>
  </w:style>
  <w:style w:type="paragraph" w:customStyle="1" w:styleId="65">
    <w:name w:val="列表段落1"/>
    <w:basedOn w:val="1"/>
    <w:qFormat/>
    <w:uiPriority w:val="99"/>
    <w:pPr>
      <w:spacing w:line="440" w:lineRule="exact"/>
      <w:ind w:firstLine="420" w:firstLineChars="200"/>
    </w:pPr>
  </w:style>
  <w:style w:type="paragraph" w:customStyle="1" w:styleId="66">
    <w:name w:val="14、“第一章”一级标题"/>
    <w:basedOn w:val="59"/>
    <w:link w:val="67"/>
    <w:qFormat/>
    <w:uiPriority w:val="0"/>
    <w:pPr>
      <w:numPr>
        <w:ilvl w:val="0"/>
        <w:numId w:val="4"/>
      </w:numPr>
      <w:spacing w:beforeLines="50" w:afterLines="50"/>
      <w:jc w:val="center"/>
      <w:outlineLvl w:val="0"/>
    </w:pPr>
    <w:rPr>
      <w:b/>
      <w:sz w:val="36"/>
    </w:rPr>
  </w:style>
  <w:style w:type="character" w:customStyle="1" w:styleId="67">
    <w:name w:val="14、“第一章”一级标题 Char"/>
    <w:link w:val="66"/>
    <w:qFormat/>
    <w:uiPriority w:val="0"/>
    <w:rPr>
      <w:b/>
      <w:sz w:val="36"/>
    </w:rPr>
  </w:style>
  <w:style w:type="table" w:customStyle="1" w:styleId="68">
    <w:name w:val="网格型1"/>
    <w:basedOn w:val="20"/>
    <w:qFormat/>
    <w:uiPriority w:val="0"/>
    <w:rPr>
      <w:rFonts w:hint="eastAsia" w:ascii="等线" w:hAnsi="等线" w:eastAsia="等线" w:cs="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9">
    <w:name w:val="font11"/>
    <w:basedOn w:val="22"/>
    <w:qFormat/>
    <w:uiPriority w:val="0"/>
    <w:rPr>
      <w:rFonts w:hint="eastAsia" w:ascii="宋体" w:hAnsi="宋体" w:eastAsia="宋体" w:cs="宋体"/>
      <w:color w:val="000000"/>
      <w:sz w:val="18"/>
      <w:szCs w:val="18"/>
      <w:u w:val="none"/>
    </w:rPr>
  </w:style>
  <w:style w:type="paragraph" w:customStyle="1" w:styleId="70">
    <w:name w:val="样式 首行缩进:  0 字符"/>
    <w:basedOn w:val="1"/>
    <w:qFormat/>
    <w:uiPriority w:val="0"/>
    <w:rPr>
      <w:rFonts w:ascii="Calibri" w:hAnsi="Calibri"/>
    </w:rPr>
  </w:style>
  <w:style w:type="paragraph" w:customStyle="1" w:styleId="71">
    <w:name w:val="普通(网站)2"/>
    <w:basedOn w:val="1"/>
    <w:qFormat/>
    <w:uiPriority w:val="0"/>
    <w:pPr>
      <w:widowControl/>
      <w:jc w:val="left"/>
    </w:pPr>
    <w:rPr>
      <w:rFonts w:ascii="宋体" w:hAnsi="宋体" w:cs="宋体"/>
      <w:kern w:val="0"/>
      <w:szCs w:val="24"/>
    </w:rPr>
  </w:style>
  <w:style w:type="paragraph" w:customStyle="1" w:styleId="7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正文2"/>
    <w:basedOn w:val="1"/>
    <w:next w:val="1"/>
    <w:qFormat/>
    <w:uiPriority w:val="0"/>
  </w:style>
  <w:style w:type="character" w:customStyle="1" w:styleId="74">
    <w:name w:val="NormalCharacter"/>
    <w:semiHidden/>
    <w:qFormat/>
    <w:uiPriority w:val="0"/>
    <w:rPr>
      <w:kern w:val="2"/>
      <w:sz w:val="21"/>
      <w:szCs w:val="24"/>
      <w:lang w:val="en-US" w:eastAsia="zh-CN" w:bidi="ar-SA"/>
    </w:rPr>
  </w:style>
  <w:style w:type="paragraph" w:styleId="75">
    <w:name w:val="List Paragraph"/>
    <w:basedOn w:val="1"/>
    <w:qFormat/>
    <w:uiPriority w:val="0"/>
    <w:pPr>
      <w:ind w:firstLine="420" w:firstLineChars="200"/>
    </w:pPr>
  </w:style>
  <w:style w:type="paragraph" w:customStyle="1" w:styleId="76">
    <w:name w:val="null3"/>
    <w:hidden/>
    <w:qFormat/>
    <w:uiPriority w:val="0"/>
    <w:rPr>
      <w:rFonts w:hint="eastAsia" w:asciiTheme="minorHAnsi" w:hAnsiTheme="minorHAnsi" w:eastAsiaTheme="minorEastAsia" w:cstheme="minorBidi"/>
      <w:lang w:val="en-US" w:eastAsia="zh-CN" w:bidi="ar-SA"/>
    </w:rPr>
  </w:style>
  <w:style w:type="character" w:customStyle="1" w:styleId="77">
    <w:name w:val="批注文字 Char"/>
    <w:basedOn w:val="22"/>
    <w:link w:val="6"/>
    <w:qFormat/>
    <w:uiPriority w:val="99"/>
    <w:rPr>
      <w:kern w:val="2"/>
      <w:sz w:val="24"/>
      <w:szCs w:val="22"/>
    </w:rPr>
  </w:style>
  <w:style w:type="character" w:customStyle="1" w:styleId="78">
    <w:name w:val="批注主题 Char"/>
    <w:basedOn w:val="77"/>
    <w:link w:val="1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3502</Words>
  <Characters>19962</Characters>
  <Lines>166</Lines>
  <Paragraphs>46</Paragraphs>
  <TotalTime>23</TotalTime>
  <ScaleCrop>false</ScaleCrop>
  <LinksUpToDate>false</LinksUpToDate>
  <CharactersWithSpaces>23418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2023-11-25T15:49:00Z</dcterms:created>
  <dc:creator>Administrator</dc:creator>
  <cp:lastModifiedBy>张俊</cp:lastModifiedBy>
  <cp:lastPrinted>2022-05-07T06:59:00Z</cp:lastPrinted>
  <dcterms:modified xsi:type="dcterms:W3CDTF">2023-12-14T01:06:56Z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BFE898B0AA7148FFA82561B23D5C2DA6_13</vt:lpwstr>
  </property>
</Properties>
</file>