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谈判项目技术、服务、商务及其他要求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r>
        <w:t>开展微生物有机肥采购在汉源县九襄、前域、唐家等乡镇进行发放，指导农户科学使用。</w:t>
      </w:r>
    </w:p>
    <w:p>
      <w:pPr>
        <w:pStyle w:val="4"/>
        <w:outlineLvl w:val="2"/>
      </w:pPr>
      <w:r>
        <w:rPr>
          <w:b/>
          <w:sz w:val="28"/>
        </w:rPr>
        <w:t>3.2、采购内容</w:t>
      </w:r>
    </w:p>
    <w:p>
      <w:pPr>
        <w:pStyle w:val="4"/>
        <w:outlineLvl w:val="3"/>
      </w:pPr>
      <w:r>
        <w:rPr>
          <w:b/>
          <w:sz w:val="24"/>
        </w:rPr>
        <w:t>3.2.1标的清单</w:t>
      </w:r>
    </w:p>
    <w:p>
      <w:pPr>
        <w:pStyle w:val="4"/>
      </w:pPr>
      <w:r>
        <w:t>采购包1：</w:t>
      </w:r>
    </w:p>
    <w:p>
      <w:pPr>
        <w:pStyle w:val="4"/>
      </w:pPr>
      <w:r>
        <w:t>采购包预算金额（元）: 1,563,500.00</w:t>
      </w:r>
    </w:p>
    <w:p>
      <w:pPr>
        <w:pStyle w:val="4"/>
      </w:pPr>
      <w:r>
        <w:t>采购包最高限价（元）: 1,563,500.00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53"/>
        <w:gridCol w:w="904"/>
        <w:gridCol w:w="772"/>
        <w:gridCol w:w="1077"/>
        <w:gridCol w:w="765"/>
        <w:gridCol w:w="1027"/>
        <w:gridCol w:w="1044"/>
        <w:gridCol w:w="797"/>
        <w:gridCol w:w="740"/>
        <w:gridCol w:w="82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353" w:type="dxa"/>
          </w:tcPr>
          <w:p>
            <w:pPr>
              <w:pStyle w:val="4"/>
            </w:pPr>
            <w:r>
              <w:t>序号</w:t>
            </w:r>
          </w:p>
        </w:tc>
        <w:tc>
          <w:tcPr>
            <w:tcW w:w="904" w:type="dxa"/>
          </w:tcPr>
          <w:p>
            <w:pPr>
              <w:pStyle w:val="4"/>
            </w:pPr>
            <w:r>
              <w:t>标的名称</w:t>
            </w:r>
          </w:p>
        </w:tc>
        <w:tc>
          <w:tcPr>
            <w:tcW w:w="772" w:type="dxa"/>
          </w:tcPr>
          <w:p>
            <w:pPr>
              <w:pStyle w:val="4"/>
            </w:pPr>
            <w:r>
              <w:t>数量</w:t>
            </w:r>
          </w:p>
        </w:tc>
        <w:tc>
          <w:tcPr>
            <w:tcW w:w="1077" w:type="dxa"/>
          </w:tcPr>
          <w:p>
            <w:pPr>
              <w:pStyle w:val="4"/>
            </w:pPr>
            <w:r>
              <w:t>标的金额 （元）</w:t>
            </w:r>
          </w:p>
        </w:tc>
        <w:tc>
          <w:tcPr>
            <w:tcW w:w="765" w:type="dxa"/>
          </w:tcPr>
          <w:p>
            <w:pPr>
              <w:pStyle w:val="4"/>
            </w:pPr>
            <w:r>
              <w:t>计量单位</w:t>
            </w:r>
          </w:p>
        </w:tc>
        <w:tc>
          <w:tcPr>
            <w:tcW w:w="1027" w:type="dxa"/>
          </w:tcPr>
          <w:p>
            <w:pPr>
              <w:pStyle w:val="4"/>
            </w:pPr>
            <w:r>
              <w:t>所属行业</w:t>
            </w:r>
          </w:p>
        </w:tc>
        <w:tc>
          <w:tcPr>
            <w:tcW w:w="1044" w:type="dxa"/>
          </w:tcPr>
          <w:p>
            <w:pPr>
              <w:pStyle w:val="4"/>
            </w:pPr>
            <w:r>
              <w:t>是否涉及核心产品</w:t>
            </w:r>
          </w:p>
        </w:tc>
        <w:tc>
          <w:tcPr>
            <w:tcW w:w="797" w:type="dxa"/>
          </w:tcPr>
          <w:p>
            <w:pPr>
              <w:pStyle w:val="4"/>
            </w:pPr>
            <w:r>
              <w:t>是否涉及采购进口产品</w:t>
            </w:r>
          </w:p>
        </w:tc>
        <w:tc>
          <w:tcPr>
            <w:tcW w:w="740" w:type="dxa"/>
          </w:tcPr>
          <w:p>
            <w:pPr>
              <w:pStyle w:val="4"/>
            </w:pPr>
            <w:r>
              <w:t>是否涉及采购节能产品</w:t>
            </w:r>
          </w:p>
        </w:tc>
        <w:tc>
          <w:tcPr>
            <w:tcW w:w="827"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353" w:type="dxa"/>
          </w:tcPr>
          <w:p>
            <w:pPr>
              <w:pStyle w:val="4"/>
              <w:jc w:val="center"/>
            </w:pPr>
          </w:p>
          <w:p>
            <w:pPr>
              <w:pStyle w:val="4"/>
              <w:jc w:val="center"/>
            </w:pPr>
          </w:p>
          <w:p>
            <w:pPr>
              <w:pStyle w:val="4"/>
              <w:jc w:val="center"/>
            </w:pPr>
          </w:p>
          <w:p>
            <w:pPr>
              <w:pStyle w:val="4"/>
              <w:jc w:val="center"/>
            </w:pPr>
            <w:r>
              <w:t>1</w:t>
            </w:r>
          </w:p>
        </w:tc>
        <w:tc>
          <w:tcPr>
            <w:tcW w:w="904" w:type="dxa"/>
          </w:tcPr>
          <w:p>
            <w:pPr>
              <w:pStyle w:val="4"/>
              <w:jc w:val="center"/>
            </w:pPr>
            <w:r>
              <w:t>2023年汉源县水稻单产提升行动项目——微生物有机肥采购</w:t>
            </w:r>
          </w:p>
        </w:tc>
        <w:tc>
          <w:tcPr>
            <w:tcW w:w="772" w:type="dxa"/>
          </w:tcPr>
          <w:p>
            <w:pPr>
              <w:pStyle w:val="4"/>
              <w:jc w:val="center"/>
            </w:pPr>
          </w:p>
          <w:p>
            <w:pPr>
              <w:pStyle w:val="4"/>
              <w:jc w:val="center"/>
            </w:pPr>
          </w:p>
          <w:p>
            <w:pPr>
              <w:pStyle w:val="4"/>
              <w:jc w:val="center"/>
            </w:pPr>
          </w:p>
          <w:p>
            <w:pPr>
              <w:pStyle w:val="4"/>
              <w:jc w:val="center"/>
            </w:pPr>
          </w:p>
          <w:p>
            <w:pPr>
              <w:pStyle w:val="4"/>
              <w:jc w:val="center"/>
            </w:pPr>
            <w:r>
              <w:t>1.00</w:t>
            </w:r>
          </w:p>
        </w:tc>
        <w:tc>
          <w:tcPr>
            <w:tcW w:w="1077" w:type="dxa"/>
          </w:tcPr>
          <w:p>
            <w:pPr>
              <w:pStyle w:val="4"/>
              <w:jc w:val="center"/>
            </w:pPr>
          </w:p>
          <w:p>
            <w:pPr>
              <w:pStyle w:val="4"/>
              <w:jc w:val="center"/>
            </w:pPr>
          </w:p>
          <w:p>
            <w:pPr>
              <w:pStyle w:val="4"/>
              <w:jc w:val="center"/>
            </w:pPr>
          </w:p>
          <w:p>
            <w:pPr>
              <w:pStyle w:val="4"/>
              <w:jc w:val="center"/>
            </w:pPr>
          </w:p>
          <w:p>
            <w:pPr>
              <w:pStyle w:val="4"/>
              <w:jc w:val="center"/>
            </w:pPr>
            <w:r>
              <w:t>1,563,500.00</w:t>
            </w:r>
          </w:p>
        </w:tc>
        <w:tc>
          <w:tcPr>
            <w:tcW w:w="765" w:type="dxa"/>
          </w:tcPr>
          <w:p>
            <w:pPr>
              <w:pStyle w:val="4"/>
              <w:jc w:val="center"/>
            </w:pPr>
          </w:p>
          <w:p>
            <w:pPr>
              <w:pStyle w:val="4"/>
              <w:jc w:val="center"/>
            </w:pPr>
          </w:p>
          <w:p>
            <w:pPr>
              <w:pStyle w:val="4"/>
              <w:jc w:val="center"/>
            </w:pPr>
          </w:p>
          <w:p>
            <w:pPr>
              <w:pStyle w:val="4"/>
              <w:jc w:val="center"/>
            </w:pPr>
          </w:p>
          <w:p>
            <w:pPr>
              <w:pStyle w:val="4"/>
              <w:jc w:val="center"/>
            </w:pPr>
            <w:r>
              <w:t>批</w:t>
            </w:r>
          </w:p>
        </w:tc>
        <w:tc>
          <w:tcPr>
            <w:tcW w:w="1027" w:type="dxa"/>
          </w:tcPr>
          <w:p>
            <w:pPr>
              <w:pStyle w:val="4"/>
              <w:jc w:val="center"/>
            </w:pPr>
          </w:p>
          <w:p>
            <w:pPr>
              <w:pStyle w:val="4"/>
              <w:jc w:val="center"/>
            </w:pPr>
          </w:p>
          <w:p>
            <w:pPr>
              <w:pStyle w:val="4"/>
              <w:jc w:val="center"/>
            </w:pPr>
          </w:p>
          <w:p>
            <w:pPr>
              <w:pStyle w:val="4"/>
              <w:jc w:val="center"/>
            </w:pPr>
          </w:p>
          <w:p>
            <w:pPr>
              <w:pStyle w:val="4"/>
              <w:jc w:val="center"/>
            </w:pPr>
            <w:r>
              <w:t>农、林、牧、渔业</w:t>
            </w:r>
          </w:p>
        </w:tc>
        <w:tc>
          <w:tcPr>
            <w:tcW w:w="1044" w:type="dxa"/>
          </w:tcPr>
          <w:p>
            <w:pPr>
              <w:pStyle w:val="4"/>
              <w:jc w:val="center"/>
            </w:pPr>
          </w:p>
          <w:p>
            <w:pPr>
              <w:pStyle w:val="4"/>
              <w:jc w:val="center"/>
            </w:pPr>
          </w:p>
          <w:p>
            <w:pPr>
              <w:pStyle w:val="4"/>
              <w:jc w:val="center"/>
            </w:pPr>
          </w:p>
          <w:p>
            <w:pPr>
              <w:pStyle w:val="4"/>
              <w:jc w:val="center"/>
            </w:pPr>
          </w:p>
          <w:p>
            <w:pPr>
              <w:pStyle w:val="4"/>
              <w:jc w:val="center"/>
            </w:pPr>
            <w:r>
              <w:t>是</w:t>
            </w:r>
          </w:p>
        </w:tc>
        <w:tc>
          <w:tcPr>
            <w:tcW w:w="797" w:type="dxa"/>
          </w:tcPr>
          <w:p>
            <w:pPr>
              <w:pStyle w:val="4"/>
              <w:jc w:val="center"/>
            </w:pPr>
          </w:p>
          <w:p>
            <w:pPr>
              <w:pStyle w:val="4"/>
              <w:jc w:val="center"/>
            </w:pPr>
          </w:p>
          <w:p>
            <w:pPr>
              <w:pStyle w:val="4"/>
              <w:jc w:val="center"/>
            </w:pPr>
          </w:p>
          <w:p>
            <w:pPr>
              <w:pStyle w:val="4"/>
              <w:jc w:val="center"/>
            </w:pPr>
          </w:p>
          <w:p>
            <w:pPr>
              <w:pStyle w:val="4"/>
              <w:jc w:val="center"/>
            </w:pPr>
            <w:r>
              <w:t>否</w:t>
            </w:r>
          </w:p>
        </w:tc>
        <w:tc>
          <w:tcPr>
            <w:tcW w:w="740" w:type="dxa"/>
          </w:tcPr>
          <w:p>
            <w:pPr>
              <w:pStyle w:val="4"/>
              <w:jc w:val="center"/>
            </w:pPr>
          </w:p>
          <w:p>
            <w:pPr>
              <w:pStyle w:val="4"/>
              <w:jc w:val="center"/>
            </w:pPr>
          </w:p>
          <w:p>
            <w:pPr>
              <w:pStyle w:val="4"/>
              <w:jc w:val="center"/>
            </w:pPr>
          </w:p>
          <w:p>
            <w:pPr>
              <w:pStyle w:val="4"/>
              <w:jc w:val="center"/>
            </w:pPr>
          </w:p>
          <w:p>
            <w:pPr>
              <w:pStyle w:val="4"/>
              <w:jc w:val="center"/>
            </w:pPr>
            <w:r>
              <w:t>否</w:t>
            </w:r>
          </w:p>
        </w:tc>
        <w:tc>
          <w:tcPr>
            <w:tcW w:w="827" w:type="dxa"/>
          </w:tcPr>
          <w:p>
            <w:pPr>
              <w:pStyle w:val="4"/>
              <w:jc w:val="center"/>
            </w:pPr>
          </w:p>
          <w:p>
            <w:pPr>
              <w:pStyle w:val="4"/>
              <w:jc w:val="center"/>
            </w:pPr>
          </w:p>
          <w:p>
            <w:pPr>
              <w:pStyle w:val="4"/>
              <w:jc w:val="center"/>
            </w:pPr>
          </w:p>
          <w:p>
            <w:pPr>
              <w:pStyle w:val="4"/>
              <w:jc w:val="center"/>
            </w:pPr>
          </w:p>
          <w:p>
            <w:pPr>
              <w:pStyle w:val="4"/>
              <w:jc w:val="center"/>
            </w:pPr>
            <w:r>
              <w:t>否</w:t>
            </w:r>
          </w:p>
        </w:tc>
      </w:tr>
    </w:tbl>
    <w:p>
      <w:pPr>
        <w:pStyle w:val="4"/>
        <w:outlineLvl w:val="2"/>
      </w:pPr>
      <w:r>
        <w:rPr>
          <w:b/>
          <w:sz w:val="28"/>
        </w:rPr>
        <w:t>3.3、技术参数及要求</w:t>
      </w:r>
    </w:p>
    <w:p>
      <w:pPr>
        <w:pStyle w:val="4"/>
      </w:pPr>
      <w:r>
        <w:t>采购包1：</w:t>
      </w:r>
    </w:p>
    <w:p>
      <w:pPr>
        <w:pStyle w:val="4"/>
      </w:pPr>
      <w:r>
        <w:t>标的名称：2023年汉源县水稻单产提升行动项目——微生物有机肥采购</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49"/>
        <w:gridCol w:w="1019"/>
        <w:gridCol w:w="66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9" w:type="dxa"/>
          </w:tcPr>
          <w:p>
            <w:pPr>
              <w:pStyle w:val="4"/>
            </w:pPr>
            <w:r>
              <w:t>参数性质</w:t>
            </w:r>
          </w:p>
        </w:tc>
        <w:tc>
          <w:tcPr>
            <w:tcW w:w="1019" w:type="dxa"/>
          </w:tcPr>
          <w:p>
            <w:pPr>
              <w:pStyle w:val="4"/>
            </w:pPr>
            <w:r>
              <w:t xml:space="preserve"> 序号</w:t>
            </w:r>
          </w:p>
        </w:tc>
        <w:tc>
          <w:tcPr>
            <w:tcW w:w="663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49" w:type="dxa"/>
          </w:tcPr>
          <w:p>
            <w:pPr>
              <w:pStyle w:val="4"/>
              <w:jc w:val="center"/>
            </w:pPr>
          </w:p>
          <w:p>
            <w:pPr>
              <w:pStyle w:val="4"/>
              <w:jc w:val="center"/>
            </w:pPr>
          </w:p>
          <w:p>
            <w:pPr>
              <w:pStyle w:val="4"/>
              <w:jc w:val="center"/>
            </w:pPr>
          </w:p>
          <w:p>
            <w:pPr>
              <w:pStyle w:val="4"/>
              <w:jc w:val="center"/>
            </w:pPr>
          </w:p>
          <w:p>
            <w:pPr>
              <w:pStyle w:val="4"/>
              <w:jc w:val="center"/>
            </w:pPr>
            <w:r>
              <w:t>★</w:t>
            </w:r>
          </w:p>
        </w:tc>
        <w:tc>
          <w:tcPr>
            <w:tcW w:w="1019" w:type="dxa"/>
          </w:tcPr>
          <w:p>
            <w:pPr>
              <w:pStyle w:val="4"/>
              <w:jc w:val="center"/>
            </w:pPr>
          </w:p>
          <w:p>
            <w:pPr>
              <w:pStyle w:val="4"/>
              <w:jc w:val="center"/>
            </w:pPr>
          </w:p>
          <w:p>
            <w:pPr>
              <w:pStyle w:val="4"/>
              <w:jc w:val="center"/>
            </w:pPr>
          </w:p>
          <w:p>
            <w:pPr>
              <w:pStyle w:val="4"/>
              <w:jc w:val="center"/>
            </w:pPr>
          </w:p>
          <w:p>
            <w:pPr>
              <w:pStyle w:val="4"/>
              <w:jc w:val="center"/>
            </w:pPr>
            <w:r>
              <w:t>1</w:t>
            </w:r>
          </w:p>
        </w:tc>
        <w:tc>
          <w:tcPr>
            <w:tcW w:w="6639" w:type="dxa"/>
          </w:tcPr>
          <w:p>
            <w:pPr>
              <w:pStyle w:val="4"/>
              <w:spacing w:after="120"/>
              <w:jc w:val="both"/>
            </w:pPr>
            <w:r>
              <w:rPr>
                <w:rFonts w:ascii="宋体" w:hAnsi="宋体" w:eastAsia="宋体" w:cs="宋体"/>
                <w:color w:val="000000"/>
                <w:sz w:val="24"/>
              </w:rPr>
              <w:t>1.采购微生物有机肥，产品符合《生物有机肥》（NY884-2012）的标准，因项目需求，有机质含量≥50%，有效活菌数≥5亿/克。</w:t>
            </w:r>
          </w:p>
          <w:p>
            <w:pPr>
              <w:pStyle w:val="4"/>
              <w:spacing w:after="120"/>
              <w:jc w:val="both"/>
            </w:pPr>
            <w:r>
              <w:rPr>
                <w:rFonts w:ascii="宋体" w:hAnsi="宋体" w:eastAsia="宋体" w:cs="宋体"/>
                <w:color w:val="000000"/>
                <w:sz w:val="24"/>
              </w:rPr>
              <w:t>2.产品包装及要求：40千克/袋，颗粒性，产品质保期应为6个月以上，在质保期内，在货物后期服务时间内严格按国家三包法要求完成售后服务。若配送的货物与响应文件不符的，由成交供应商在7天内无条件、无偿更换，所造成的经济损失概由供应商全部负责。</w:t>
            </w:r>
          </w:p>
          <w:p>
            <w:pPr>
              <w:pStyle w:val="4"/>
              <w:jc w:val="both"/>
            </w:pPr>
            <w:r>
              <w:rPr>
                <w:rFonts w:ascii="宋体" w:hAnsi="宋体" w:eastAsia="宋体" w:cs="宋体"/>
                <w:color w:val="000000"/>
                <w:sz w:val="24"/>
              </w:rPr>
              <w:t>注：需完全满足，不允许有负偏离，否则视为无效响应处理。</w:t>
            </w:r>
          </w:p>
        </w:tc>
      </w:tr>
    </w:tbl>
    <w:p>
      <w:pPr>
        <w:pStyle w:val="4"/>
        <w:outlineLvl w:val="2"/>
      </w:pPr>
      <w:r>
        <w:rPr>
          <w:b/>
          <w:sz w:val="28"/>
        </w:rPr>
        <w:t>3.4、商务要求</w:t>
      </w:r>
    </w:p>
    <w:p>
      <w:pPr>
        <w:pStyle w:val="4"/>
        <w:outlineLvl w:val="3"/>
      </w:pPr>
      <w:r>
        <w:rPr>
          <w:b/>
          <w:sz w:val="24"/>
        </w:rPr>
        <w:t>3.4.1交货时间</w:t>
      </w:r>
    </w:p>
    <w:p>
      <w:pPr>
        <w:pStyle w:val="4"/>
      </w:pPr>
      <w:r>
        <w:t>采购包1：</w:t>
      </w:r>
    </w:p>
    <w:p>
      <w:pPr>
        <w:pStyle w:val="4"/>
      </w:pPr>
      <w:r>
        <w:t xml:space="preserve"> 自合同签订之日起70日</w:t>
      </w:r>
    </w:p>
    <w:p>
      <w:pPr>
        <w:pStyle w:val="4"/>
        <w:outlineLvl w:val="3"/>
      </w:pPr>
      <w:r>
        <w:rPr>
          <w:b/>
          <w:sz w:val="24"/>
        </w:rPr>
        <w:t>3.4.2交货地点和方式</w:t>
      </w:r>
    </w:p>
    <w:p>
      <w:pPr>
        <w:pStyle w:val="4"/>
      </w:pPr>
      <w:r>
        <w:t>采购包1：</w:t>
      </w:r>
    </w:p>
    <w:p>
      <w:pPr>
        <w:pStyle w:val="4"/>
      </w:pPr>
      <w:r>
        <w:t>汉源县境内，具体地点在合同中约定。</w:t>
      </w:r>
    </w:p>
    <w:p>
      <w:pPr>
        <w:pStyle w:val="4"/>
        <w:outlineLvl w:val="3"/>
      </w:pPr>
      <w:r>
        <w:rPr>
          <w:b/>
          <w:sz w:val="24"/>
        </w:rPr>
        <w:t>3.4.3支付方式</w:t>
      </w:r>
    </w:p>
    <w:p>
      <w:pPr>
        <w:pStyle w:val="4"/>
      </w:pPr>
      <w:r>
        <w:t>采购包1：</w:t>
      </w:r>
    </w:p>
    <w:p>
      <w:pPr>
        <w:pStyle w:val="4"/>
      </w:pPr>
      <w:r>
        <w:t>分期付款</w:t>
      </w:r>
    </w:p>
    <w:p>
      <w:pPr>
        <w:pStyle w:val="4"/>
        <w:outlineLvl w:val="3"/>
      </w:pPr>
      <w:r>
        <w:rPr>
          <w:b/>
          <w:sz w:val="24"/>
        </w:rPr>
        <w:t>3.4.4支付约定</w:t>
      </w:r>
    </w:p>
    <w:p>
      <w:pPr>
        <w:pStyle w:val="4"/>
      </w:pPr>
      <w:r>
        <w:t>采购包1： 付款条件说明： 合同签订后 ，达到付款条件起 30 日内，支付合同总金额的 30.00%。</w:t>
      </w:r>
    </w:p>
    <w:p>
      <w:pPr>
        <w:pStyle w:val="4"/>
      </w:pPr>
      <w:r>
        <w:t>采购包1： 付款条件说明： 成交供应商完成供货后 ，达到付款条件起 30 日内，支付合同总金额的 50.00%。</w:t>
      </w:r>
    </w:p>
    <w:p>
      <w:pPr>
        <w:pStyle w:val="4"/>
      </w:pPr>
      <w:r>
        <w:t>采购包1： 付款条件说明： 本项目最后一批次货物提供完成验收合格后 ，达到付款条件起 30 日内，支付合同总金额的 20.00%。</w:t>
      </w:r>
    </w:p>
    <w:p>
      <w:pPr>
        <w:pStyle w:val="4"/>
        <w:outlineLvl w:val="3"/>
      </w:pPr>
      <w:r>
        <w:rPr>
          <w:b/>
          <w:sz w:val="24"/>
        </w:rPr>
        <w:t>3.4.5验收标准和方法</w:t>
      </w:r>
    </w:p>
    <w:p>
      <w:pPr>
        <w:pStyle w:val="4"/>
      </w:pPr>
      <w:r>
        <w:t>采购包1：</w:t>
      </w:r>
    </w:p>
    <w:p>
      <w:pPr>
        <w:pStyle w:val="4"/>
      </w:pPr>
      <w:r>
        <w:t>按国家及行业还有采购文件的标准执行。</w:t>
      </w:r>
    </w:p>
    <w:p>
      <w:pPr>
        <w:pStyle w:val="4"/>
        <w:outlineLvl w:val="3"/>
      </w:pPr>
      <w:r>
        <w:rPr>
          <w:b/>
          <w:sz w:val="24"/>
        </w:rPr>
        <w:t>3.4.6包装方式及运输</w:t>
      </w: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r>
        <w:t>采购包1：</w:t>
      </w:r>
    </w:p>
    <w:p>
      <w:pPr>
        <w:pStyle w:val="4"/>
      </w:pPr>
      <w:r>
        <w:t>按国家及行业还有采购文件的标准执行。</w:t>
      </w:r>
    </w:p>
    <w:p>
      <w:pPr>
        <w:pStyle w:val="4"/>
        <w:outlineLvl w:val="3"/>
      </w:pPr>
      <w:r>
        <w:rPr>
          <w:b/>
          <w:sz w:val="24"/>
        </w:rPr>
        <w:t>3.4.8违约责任及解决争议的方法</w:t>
      </w:r>
    </w:p>
    <w:p>
      <w:pPr>
        <w:pStyle w:val="4"/>
      </w:pPr>
      <w:r>
        <w:t>采购包1：</w:t>
      </w:r>
    </w:p>
    <w:p>
      <w:pPr>
        <w:pStyle w:val="4"/>
      </w:pPr>
      <w:r>
        <w:t>按国家及行业还有采购文件的标准执行。</w:t>
      </w:r>
    </w:p>
    <w:p>
      <w:pPr>
        <w:pStyle w:val="4"/>
        <w:jc w:val="left"/>
        <w:outlineLvl w:val="3"/>
      </w:pPr>
      <w:r>
        <w:rPr>
          <w:b/>
          <w:sz w:val="24"/>
        </w:rPr>
        <w:t>3.5其他要求</w:t>
      </w:r>
    </w:p>
    <w:p>
      <w:pPr>
        <w:pStyle w:val="4"/>
      </w:pPr>
      <w:r>
        <w:t>采购包1：</w:t>
      </w:r>
    </w:p>
    <w:p>
      <w:pPr>
        <w:pStyle w:val="4"/>
        <w:numPr>
          <w:ilvl w:val="0"/>
          <w:numId w:val="1"/>
        </w:numPr>
      </w:pPr>
      <w:r>
        <w:t>补充3.4.1交货时间，（实质性要求）</w:t>
      </w:r>
    </w:p>
    <w:p>
      <w:pPr>
        <w:pStyle w:val="4"/>
        <w:numPr>
          <w:numId w:val="0"/>
        </w:numPr>
        <w:ind w:firstLine="400" w:firstLineChars="200"/>
      </w:pPr>
      <w:r>
        <w:t xml:space="preserve">2024年4月1日前供货完成，根据实际情况可按批次供货，具体供货时间双方约定，每批次货物运输途中人员安全及货物安全、质量由成交供应商自行负责。供货商每逾期（逾期时间以2024年4月1日之后二日起算）1日扣除合同金额的0.5‰，供应商提供承诺函，格式自拟。（注：因采购人原因导致的逾期除外） </w:t>
      </w:r>
    </w:p>
    <w:p>
      <w:pPr>
        <w:pStyle w:val="4"/>
        <w:numPr>
          <w:ilvl w:val="0"/>
          <w:numId w:val="1"/>
        </w:numPr>
        <w:ind w:left="0" w:leftChars="0" w:firstLine="0" w:firstLineChars="0"/>
      </w:pPr>
      <w:r>
        <w:t>补充3.4.4支付约定，（实质性要求）</w:t>
      </w:r>
    </w:p>
    <w:p>
      <w:pPr>
        <w:pStyle w:val="4"/>
        <w:numPr>
          <w:numId w:val="0"/>
        </w:numPr>
        <w:ind w:leftChars="0" w:firstLine="400" w:firstLineChars="200"/>
      </w:pPr>
      <w:r>
        <w:t xml:space="preserve">每批次供货成交供应商都应向采购人提供相关检测报告，采购人有权对每批次货物进行抽检，如抽检结果不合格，采购人有权要求成交供应商返还相应货款并找成交供应商赔偿相应经济等各方面损失，同时采购人有权单方面对合同提出解约，供应商提供承诺函，格式自拟。 </w:t>
      </w:r>
    </w:p>
    <w:p>
      <w:pPr>
        <w:pStyle w:val="4"/>
        <w:numPr>
          <w:ilvl w:val="0"/>
          <w:numId w:val="1"/>
        </w:numPr>
        <w:ind w:left="0" w:leftChars="0" w:firstLine="0" w:firstLineChars="0"/>
      </w:pPr>
      <w:r>
        <w:t xml:space="preserve">人员要求（实质性要求） </w:t>
      </w:r>
    </w:p>
    <w:p>
      <w:pPr>
        <w:pStyle w:val="4"/>
        <w:numPr>
          <w:ilvl w:val="0"/>
          <w:numId w:val="2"/>
        </w:numPr>
        <w:ind w:leftChars="0" w:firstLine="400" w:firstLineChars="200"/>
      </w:pPr>
      <w:r>
        <w:t xml:space="preserve">成交供应商应派出不少于三名工作人员负责本次项目，一名为项目负责人，一名为售后人员，一名为紧急联系人。 （2）成交供应商还应派出不少于二名工作人员配合发放，在有需要的情况下配合采购人开展有机肥发放使用的技术培训等工作。 </w:t>
      </w:r>
    </w:p>
    <w:p>
      <w:pPr>
        <w:pStyle w:val="4"/>
        <w:numPr>
          <w:ilvl w:val="0"/>
          <w:numId w:val="1"/>
        </w:numPr>
        <w:ind w:left="0" w:leftChars="0" w:firstLine="0" w:firstLineChars="0"/>
      </w:pPr>
      <w:r>
        <w:t xml:space="preserve">报价要求及确定成交供应商的要求（实质性要求） </w:t>
      </w:r>
    </w:p>
    <w:p>
      <w:pPr>
        <w:pStyle w:val="4"/>
        <w:numPr>
          <w:numId w:val="0"/>
        </w:numPr>
        <w:ind w:leftChars="0" w:firstLine="400" w:firstLineChars="200"/>
      </w:pPr>
      <w:bookmarkStart w:id="0" w:name="_GoBack"/>
      <w:bookmarkEnd w:id="0"/>
      <w:r>
        <w:t>本项目总预算1563500.00元， 潜在供应商需报单价及数量进行响应，通过本项目资格性和符合性审查的供应商，在总预算里响应的单价最低且货物数量最多的供应商为成交供应商。</w:t>
      </w:r>
    </w:p>
    <w:p>
      <w:pPr>
        <w:pStyle w:val="4"/>
      </w:pPr>
    </w:p>
    <w:p>
      <w:pPr>
        <w:pStyle w:val="4"/>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61247"/>
    <w:multiLevelType w:val="singleLevel"/>
    <w:tmpl w:val="93061247"/>
    <w:lvl w:ilvl="0" w:tentative="0">
      <w:start w:val="1"/>
      <w:numFmt w:val="decimal"/>
      <w:lvlText w:val="%1."/>
      <w:lvlJc w:val="left"/>
      <w:pPr>
        <w:tabs>
          <w:tab w:val="left" w:pos="312"/>
        </w:tabs>
      </w:pPr>
    </w:lvl>
  </w:abstractNum>
  <w:abstractNum w:abstractNumId="1">
    <w:nsid w:val="6BA3B2A9"/>
    <w:multiLevelType w:val="singleLevel"/>
    <w:tmpl w:val="6BA3B2A9"/>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4MWUwMjJlNGRjODI5NTgzNzE0MDc2MzUxZjZmZTQifQ=="/>
  </w:docVars>
  <w:rsids>
    <w:rsidRoot w:val="5BD25B6E"/>
    <w:rsid w:val="5BD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2024-02-20T03:03:00Z</dcterms:created>
  <dc:creator>86153</dc:creator>
  <cp:lastModifiedBy>WPS_1590816873</cp:lastModifiedBy>
  <dcterms:modified xsi:type="dcterms:W3CDTF">2024-02-20T03:08:47Z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1A0AEB843FDA4D788894D11AA5B1E47B_11</vt:lpwstr>
  </property>
</Properties>
</file>