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ind w:firstLine="480"/>
      </w:pPr>
      <w:r>
        <w:t>（注：带“★”的参数需求为实质性要求，供应商必须响应并满足的参数需求，采购人、采购代理机构应当根据项目实际需求合理设定，并明确具体要求。带“▲”号条款为允许负偏离的参数需求，若未响应或者不满足，将在综合评审中予以扣分处理。）</w:t>
      </w:r>
    </w:p>
    <w:p>
      <w:pPr>
        <w:pStyle w:val="4"/>
        <w:outlineLvl w:val="2"/>
      </w:pPr>
      <w:r>
        <w:rPr>
          <w:b/>
          <w:sz w:val="28"/>
        </w:rPr>
        <w:t>3.1、采购项目概况</w:t>
      </w:r>
    </w:p>
    <w:p>
      <w:pPr>
        <w:pStyle w:val="4"/>
        <w:ind w:firstLine="480"/>
      </w:pPr>
    </w:p>
    <w:p>
      <w:pPr>
        <w:pStyle w:val="4"/>
      </w:pPr>
    </w:p>
    <w:p>
      <w:pPr>
        <w:pStyle w:val="4"/>
      </w:pPr>
      <w:r>
        <w:t>根据《中共四川省委宣传部等关于公布 2023 年度文化遗产保护利用“双试点”名单的通知》（以下简称：《通知》），</w:t>
      </w:r>
      <w:r>
        <w:rPr>
          <w:rFonts w:ascii="宋体" w:hAnsi="宋体" w:eastAsia="宋体" w:cs="宋体"/>
          <w:sz w:val="21"/>
        </w:rPr>
        <w:t>汉源县</w:t>
      </w:r>
      <w:r>
        <w:t>“汉源县花海果乡古建筑群连片区域”入选省级“历史文化遗产保护利用试点区域”。 根据《通知》要求，结合《汉源县花海果乡古建筑群连片区域试点建设责任分工方案》，拟针对文物保护和利用的需要，综合运用大地测量、三维扫描、摄影测量等先进数字化技术手段，结合文字记录、图版拍摄等方式，对相关文物进行测绘数字化建档，对文物周边地理环境、遗迹状况进行全息科学勘察和记录，对文物信息按照四有档案的要求进行数字化成果转化、处理、输出、存档，形成全面的数字档案，为维修、保护、研究、展示以及利用等提供基础数据支撑。</w:t>
      </w:r>
    </w:p>
    <w:p>
      <w:pPr>
        <w:pStyle w:val="4"/>
        <w:outlineLvl w:val="2"/>
      </w:pPr>
      <w:r>
        <w:rPr>
          <w:b/>
          <w:sz w:val="28"/>
        </w:rPr>
        <w:t>3.2、服务内容及服务要求</w:t>
      </w:r>
    </w:p>
    <w:p>
      <w:pPr>
        <w:pStyle w:val="4"/>
        <w:outlineLvl w:val="3"/>
      </w:pPr>
      <w:r>
        <w:rPr>
          <w:b/>
          <w:sz w:val="24"/>
        </w:rPr>
        <w:t>3.2.1服务内容</w:t>
      </w:r>
    </w:p>
    <w:p>
      <w:pPr>
        <w:pStyle w:val="4"/>
      </w:pPr>
    </w:p>
    <w:p>
      <w:pPr>
        <w:pStyle w:val="4"/>
      </w:pPr>
    </w:p>
    <w:p>
      <w:pPr>
        <w:pStyle w:val="4"/>
      </w:pPr>
      <w:r>
        <w:t>采购包1：</w:t>
      </w:r>
    </w:p>
    <w:p>
      <w:pPr>
        <w:pStyle w:val="4"/>
      </w:pPr>
      <w:r>
        <w:t>采购包预算金额（元）: 600,000.00</w:t>
      </w:r>
    </w:p>
    <w:p>
      <w:pPr>
        <w:pStyle w:val="4"/>
      </w:pPr>
      <w:r>
        <w:t>采购包最高限价（元）: 600,000.00</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678"/>
        <w:gridCol w:w="1271"/>
        <w:gridCol w:w="848"/>
        <w:gridCol w:w="1356"/>
        <w:gridCol w:w="678"/>
        <w:gridCol w:w="678"/>
        <w:gridCol w:w="593"/>
        <w:gridCol w:w="678"/>
        <w:gridCol w:w="678"/>
        <w:gridCol w:w="84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序号</w:t>
            </w:r>
          </w:p>
        </w:tc>
        <w:tc>
          <w:tcPr>
            <w:tcW w:w="1271" w:type="dxa"/>
          </w:tcPr>
          <w:p>
            <w:pPr>
              <w:pStyle w:val="4"/>
            </w:pPr>
            <w:r>
              <w:t>标的名称</w:t>
            </w:r>
          </w:p>
        </w:tc>
        <w:tc>
          <w:tcPr>
            <w:tcW w:w="848" w:type="dxa"/>
          </w:tcPr>
          <w:p>
            <w:pPr>
              <w:pStyle w:val="4"/>
            </w:pPr>
            <w:r>
              <w:t>数量</w:t>
            </w:r>
          </w:p>
        </w:tc>
        <w:tc>
          <w:tcPr>
            <w:tcW w:w="1356" w:type="dxa"/>
          </w:tcPr>
          <w:p>
            <w:pPr>
              <w:pStyle w:val="4"/>
            </w:pPr>
            <w:r>
              <w:t>标的金额 （元）</w:t>
            </w:r>
          </w:p>
        </w:tc>
        <w:tc>
          <w:tcPr>
            <w:tcW w:w="678" w:type="dxa"/>
          </w:tcPr>
          <w:p>
            <w:pPr>
              <w:pStyle w:val="4"/>
            </w:pPr>
            <w:r>
              <w:t>计量单位</w:t>
            </w:r>
          </w:p>
        </w:tc>
        <w:tc>
          <w:tcPr>
            <w:tcW w:w="678" w:type="dxa"/>
          </w:tcPr>
          <w:p>
            <w:pPr>
              <w:pStyle w:val="4"/>
            </w:pPr>
            <w:r>
              <w:t>所属行业</w:t>
            </w:r>
          </w:p>
        </w:tc>
        <w:tc>
          <w:tcPr>
            <w:tcW w:w="593" w:type="dxa"/>
          </w:tcPr>
          <w:p>
            <w:pPr>
              <w:pStyle w:val="4"/>
            </w:pPr>
            <w:r>
              <w:t>是否涉及核心产品</w:t>
            </w:r>
          </w:p>
        </w:tc>
        <w:tc>
          <w:tcPr>
            <w:tcW w:w="678" w:type="dxa"/>
          </w:tcPr>
          <w:p>
            <w:pPr>
              <w:pStyle w:val="4"/>
            </w:pPr>
            <w:r>
              <w:t>是否涉及采购进口产品</w:t>
            </w:r>
          </w:p>
        </w:tc>
        <w:tc>
          <w:tcPr>
            <w:tcW w:w="678" w:type="dxa"/>
          </w:tcPr>
          <w:p>
            <w:pPr>
              <w:pStyle w:val="4"/>
            </w:pPr>
            <w:r>
              <w:t>是否涉及采购节能产品</w:t>
            </w:r>
          </w:p>
        </w:tc>
        <w:tc>
          <w:tcPr>
            <w:tcW w:w="848" w:type="dxa"/>
          </w:tcPr>
          <w:p>
            <w:pPr>
              <w:pStyle w:val="4"/>
            </w:pPr>
            <w:r>
              <w:t>是否涉及采购环境标志产品</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1</w:t>
            </w:r>
          </w:p>
        </w:tc>
        <w:tc>
          <w:tcPr>
            <w:tcW w:w="1271" w:type="dxa"/>
          </w:tcPr>
          <w:p>
            <w:pPr>
              <w:pStyle w:val="4"/>
            </w:pPr>
            <w:r>
              <w:t>2024汉源县文物测绘建档服务项目</w:t>
            </w:r>
          </w:p>
        </w:tc>
        <w:tc>
          <w:tcPr>
            <w:tcW w:w="848" w:type="dxa"/>
          </w:tcPr>
          <w:p>
            <w:pPr>
              <w:pStyle w:val="4"/>
              <w:jc w:val="right"/>
            </w:pPr>
            <w:r>
              <w:t>1.00</w:t>
            </w:r>
          </w:p>
        </w:tc>
        <w:tc>
          <w:tcPr>
            <w:tcW w:w="1356" w:type="dxa"/>
          </w:tcPr>
          <w:p>
            <w:pPr>
              <w:pStyle w:val="4"/>
              <w:jc w:val="right"/>
            </w:pPr>
            <w:r>
              <w:t>600,000.00</w:t>
            </w:r>
          </w:p>
        </w:tc>
        <w:tc>
          <w:tcPr>
            <w:tcW w:w="678" w:type="dxa"/>
          </w:tcPr>
          <w:p>
            <w:pPr>
              <w:pStyle w:val="4"/>
            </w:pPr>
            <w:r>
              <w:t>项</w:t>
            </w:r>
          </w:p>
        </w:tc>
        <w:tc>
          <w:tcPr>
            <w:tcW w:w="678" w:type="dxa"/>
          </w:tcPr>
          <w:p>
            <w:pPr>
              <w:pStyle w:val="4"/>
            </w:pPr>
            <w:r>
              <w:t>其他未列明行业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bl>
    <w:p>
      <w:pPr>
        <w:pStyle w:val="4"/>
        <w:outlineLvl w:val="3"/>
      </w:pPr>
      <w:r>
        <w:rPr>
          <w:b/>
          <w:sz w:val="24"/>
        </w:rPr>
        <w:t>3.2.2服务要求</w:t>
      </w:r>
    </w:p>
    <w:p>
      <w:pPr>
        <w:pStyle w:val="4"/>
      </w:pPr>
    </w:p>
    <w:p>
      <w:pPr>
        <w:pStyle w:val="4"/>
      </w:pPr>
    </w:p>
    <w:p>
      <w:pPr>
        <w:pStyle w:val="4"/>
      </w:pPr>
    </w:p>
    <w:p>
      <w:pPr>
        <w:pStyle w:val="4"/>
      </w:pPr>
      <w:r>
        <w:t>采购包1：</w:t>
      </w:r>
    </w:p>
    <w:p>
      <w:pPr>
        <w:pStyle w:val="4"/>
      </w:pPr>
    </w:p>
    <w:p>
      <w:pPr>
        <w:pStyle w:val="4"/>
      </w:pPr>
      <w:r>
        <w:t>标的名称：2024汉源县文物测绘建档服务项目</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pPr>
          </w:p>
          <w:p>
            <w:pPr>
              <w:pStyle w:val="4"/>
              <w:spacing w:before="105" w:after="105"/>
              <w:jc w:val="both"/>
            </w:pPr>
            <w:r>
              <w:rPr>
                <w:rFonts w:ascii="宋体" w:hAnsi="宋体" w:eastAsia="宋体" w:cs="宋体"/>
                <w:b/>
                <w:sz w:val="24"/>
              </w:rPr>
              <w:t>一、★服务范围</w:t>
            </w:r>
          </w:p>
          <w:p>
            <w:pPr>
              <w:pStyle w:val="4"/>
              <w:spacing w:before="105" w:after="105"/>
              <w:ind w:firstLine="480"/>
              <w:jc w:val="both"/>
            </w:pPr>
            <w:r>
              <w:rPr>
                <w:rFonts w:ascii="宋体" w:hAnsi="宋体" w:eastAsia="宋体" w:cs="宋体"/>
                <w:sz w:val="24"/>
              </w:rPr>
              <w:t>汉源县一般不可移动文物（建筑类7 处）和部分可移动文物（50 件）进行测绘数字化建档。</w:t>
            </w:r>
          </w:p>
          <w:p>
            <w:pPr>
              <w:pStyle w:val="4"/>
              <w:spacing w:before="105" w:after="105"/>
              <w:jc w:val="both"/>
            </w:pPr>
            <w:r>
              <w:rPr>
                <w:rFonts w:ascii="宋体" w:hAnsi="宋体" w:eastAsia="宋体" w:cs="宋体"/>
                <w:b/>
                <w:sz w:val="24"/>
              </w:rPr>
              <w:t>二、★服务要求</w:t>
            </w:r>
          </w:p>
          <w:p>
            <w:pPr>
              <w:pStyle w:val="4"/>
              <w:spacing w:before="105" w:after="105"/>
              <w:jc w:val="left"/>
            </w:pPr>
            <w:r>
              <w:rPr>
                <w:rFonts w:ascii="宋体" w:hAnsi="宋体" w:eastAsia="宋体" w:cs="宋体"/>
                <w:b/>
                <w:sz w:val="24"/>
              </w:rPr>
              <w:t>（一）7处建筑类不可移动文物测绘建档技术要求</w:t>
            </w:r>
          </w:p>
          <w:p>
            <w:pPr>
              <w:pStyle w:val="4"/>
              <w:spacing w:before="105" w:after="105"/>
              <w:jc w:val="left"/>
            </w:pPr>
            <w:r>
              <w:rPr>
                <w:rFonts w:ascii="宋体" w:hAnsi="宋体" w:eastAsia="宋体" w:cs="宋体"/>
                <w:sz w:val="24"/>
              </w:rPr>
              <w:t>1、采集建档要求</w:t>
            </w:r>
          </w:p>
          <w:p>
            <w:pPr>
              <w:pStyle w:val="4"/>
              <w:spacing w:before="105" w:after="105"/>
              <w:jc w:val="left"/>
            </w:pPr>
            <w:r>
              <w:rPr>
                <w:rFonts w:ascii="宋体" w:hAnsi="宋体" w:eastAsia="宋体" w:cs="宋体"/>
                <w:sz w:val="24"/>
              </w:rPr>
              <w:t>（1）保护图则要求</w:t>
            </w:r>
          </w:p>
          <w:p>
            <w:pPr>
              <w:pStyle w:val="4"/>
              <w:spacing w:before="105" w:after="105"/>
              <w:jc w:val="left"/>
            </w:pPr>
            <w:r>
              <w:rPr>
                <w:rFonts w:ascii="宋体" w:hAnsi="宋体" w:eastAsia="宋体" w:cs="宋体"/>
                <w:sz w:val="24"/>
              </w:rPr>
              <w:t>内容包括文字说明和图纸两部分，其中文字说明包括强制性内容和引导性内容，图纸包括区位图、总平面图、保护部位照片及保护要求。</w:t>
            </w:r>
          </w:p>
          <w:tbl>
            <w:tblPr>
              <w:tblStyle w:val="2"/>
              <w:tblW w:w="0" w:type="auto"/>
              <w:tblInd w:w="15"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930"/>
              <w:gridCol w:w="453"/>
              <w:gridCol w:w="1150"/>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3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spacing w:before="105" w:after="105"/>
                    <w:jc w:val="left"/>
                  </w:pPr>
                  <w:r>
                    <w:rPr>
                      <w:rFonts w:ascii="宋体" w:hAnsi="宋体" w:eastAsia="宋体" w:cs="宋体"/>
                      <w:sz w:val="24"/>
                    </w:rPr>
                    <w:t>保护图则成果</w:t>
                  </w:r>
                </w:p>
              </w:tc>
              <w:tc>
                <w:tcPr>
                  <w:tcW w:w="2117" w:type="dxa"/>
                  <w:gridSpan w:val="2"/>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spacing w:before="105" w:after="105"/>
                    <w:ind w:firstLine="480"/>
                    <w:jc w:val="left"/>
                  </w:pPr>
                  <w:r>
                    <w:rPr>
                      <w:rFonts w:ascii="宋体" w:hAnsi="宋体" w:eastAsia="宋体" w:cs="宋体"/>
                      <w:sz w:val="24"/>
                    </w:rPr>
                    <w:t>成果深度要求</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35" w:type="dxa"/>
                  <w:vMerge w:val="restart"/>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spacing w:before="105" w:after="105"/>
                    <w:jc w:val="left"/>
                  </w:pPr>
                  <w:r>
                    <w:rPr>
                      <w:rFonts w:ascii="宋体" w:hAnsi="宋体" w:eastAsia="宋体" w:cs="宋体"/>
                      <w:sz w:val="24"/>
                    </w:rPr>
                    <w:t>文字说明</w:t>
                  </w:r>
                </w:p>
              </w:tc>
              <w:tc>
                <w:tcPr>
                  <w:tcW w:w="45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spacing w:before="105" w:after="105"/>
                    <w:jc w:val="left"/>
                  </w:pPr>
                  <w:r>
                    <w:rPr>
                      <w:rFonts w:ascii="宋体" w:hAnsi="宋体" w:eastAsia="宋体" w:cs="宋体"/>
                      <w:sz w:val="24"/>
                    </w:rPr>
                    <w:t>强制性内容</w:t>
                  </w:r>
                </w:p>
              </w:tc>
              <w:tc>
                <w:tcPr>
                  <w:tcW w:w="1658"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spacing w:before="105" w:after="105"/>
                    <w:jc w:val="left"/>
                  </w:pPr>
                  <w:r>
                    <w:rPr>
                      <w:rFonts w:ascii="宋体" w:hAnsi="宋体" w:eastAsia="宋体" w:cs="宋体"/>
                      <w:sz w:val="24"/>
                    </w:rPr>
                    <w:t>表格形式，明确保护范围、保护要求和禁止性使用功能、合理利用建议；</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35" w:type="dxa"/>
                  <w:vMerge w:val="continue"/>
                  <w:tcBorders>
                    <w:top w:val="nil"/>
                    <w:left w:val="single" w:color="000000" w:sz="4" w:space="0"/>
                    <w:bottom w:val="single" w:color="000000" w:sz="4" w:space="0"/>
                    <w:right w:val="single" w:color="000000" w:sz="4" w:space="0"/>
                  </w:tcBorders>
                </w:tcPr>
                <w:p/>
              </w:tc>
              <w:tc>
                <w:tcPr>
                  <w:tcW w:w="45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spacing w:before="105" w:after="105"/>
                    <w:jc w:val="left"/>
                  </w:pPr>
                  <w:r>
                    <w:rPr>
                      <w:rFonts w:ascii="宋体" w:hAnsi="宋体" w:eastAsia="宋体" w:cs="宋体"/>
                      <w:sz w:val="24"/>
                    </w:rPr>
                    <w:t>引导性内容</w:t>
                  </w:r>
                </w:p>
              </w:tc>
              <w:tc>
                <w:tcPr>
                  <w:tcW w:w="165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spacing w:before="105" w:after="105"/>
                    <w:jc w:val="left"/>
                  </w:pPr>
                  <w:r>
                    <w:rPr>
                      <w:rFonts w:ascii="宋体" w:hAnsi="宋体" w:eastAsia="宋体" w:cs="宋体"/>
                      <w:sz w:val="24"/>
                    </w:rPr>
                    <w:t>提出建筑本体及周边环境的保护整治措施；</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35" w:type="dxa"/>
                  <w:vMerge w:val="restart"/>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spacing w:before="105" w:after="105"/>
                    <w:ind w:firstLine="480"/>
                    <w:jc w:val="left"/>
                  </w:pPr>
                  <w:r>
                    <w:rPr>
                      <w:rFonts w:ascii="宋体" w:hAnsi="宋体" w:eastAsia="宋体" w:cs="宋体"/>
                      <w:sz w:val="24"/>
                    </w:rPr>
                    <w:t>图纸</w:t>
                  </w:r>
                </w:p>
              </w:tc>
              <w:tc>
                <w:tcPr>
                  <w:tcW w:w="45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spacing w:before="105" w:after="105"/>
                    <w:jc w:val="left"/>
                  </w:pPr>
                  <w:r>
                    <w:rPr>
                      <w:rFonts w:ascii="宋体" w:hAnsi="宋体" w:eastAsia="宋体" w:cs="宋体"/>
                      <w:sz w:val="24"/>
                    </w:rPr>
                    <w:t>区位图</w:t>
                  </w:r>
                </w:p>
              </w:tc>
              <w:tc>
                <w:tcPr>
                  <w:tcW w:w="165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spacing w:before="105" w:after="105"/>
                    <w:jc w:val="left"/>
                  </w:pPr>
                  <w:r>
                    <w:rPr>
                      <w:rFonts w:ascii="宋体" w:hAnsi="宋体" w:eastAsia="宋体" w:cs="宋体"/>
                      <w:sz w:val="24"/>
                    </w:rPr>
                    <w:t>以1:2000 或 1：5000 地形图精度，反映建筑所在位置和周边历史环境、交通情况等；</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35" w:type="dxa"/>
                  <w:vMerge w:val="continue"/>
                  <w:tcBorders>
                    <w:top w:val="nil"/>
                    <w:left w:val="single" w:color="000000" w:sz="4" w:space="0"/>
                    <w:bottom w:val="single" w:color="000000" w:sz="4" w:space="0"/>
                    <w:right w:val="single" w:color="000000" w:sz="4" w:space="0"/>
                  </w:tcBorders>
                </w:tcPr>
                <w:p/>
              </w:tc>
              <w:tc>
                <w:tcPr>
                  <w:tcW w:w="45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spacing w:before="105" w:after="105"/>
                    <w:jc w:val="left"/>
                  </w:pPr>
                  <w:r>
                    <w:rPr>
                      <w:rFonts w:ascii="宋体" w:hAnsi="宋体" w:eastAsia="宋体" w:cs="宋体"/>
                      <w:sz w:val="24"/>
                    </w:rPr>
                    <w:t>保护总平面图</w:t>
                  </w:r>
                </w:p>
              </w:tc>
              <w:tc>
                <w:tcPr>
                  <w:tcW w:w="165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spacing w:before="105" w:after="105"/>
                    <w:jc w:val="left"/>
                  </w:pPr>
                  <w:r>
                    <w:rPr>
                      <w:rFonts w:ascii="宋体" w:hAnsi="宋体" w:eastAsia="宋体" w:cs="宋体"/>
                      <w:sz w:val="24"/>
                    </w:rPr>
                    <w:t>以1： 500地形图精度绘制现状总平面图，应配有指北针、风玫瑰、比例尺、图例等信息，反映强制性内容如各类保护界线（如红线黄线蓝线紫线等）、文物建筑的核心保护范围和建设控制地带界线、出入口等，各类保护界线划线折角处应标明地形图坐标（以成都独立坐标系为准）；</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35" w:type="dxa"/>
                  <w:vMerge w:val="continue"/>
                  <w:tcBorders>
                    <w:top w:val="nil"/>
                    <w:left w:val="single" w:color="000000" w:sz="4" w:space="0"/>
                    <w:bottom w:val="single" w:color="000000" w:sz="4" w:space="0"/>
                    <w:right w:val="single" w:color="000000" w:sz="4" w:space="0"/>
                  </w:tcBorders>
                </w:tcPr>
                <w:p/>
              </w:tc>
              <w:tc>
                <w:tcPr>
                  <w:tcW w:w="45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spacing w:before="105" w:after="105"/>
                    <w:jc w:val="left"/>
                  </w:pPr>
                  <w:r>
                    <w:rPr>
                      <w:rFonts w:ascii="宋体" w:hAnsi="宋体" w:eastAsia="宋体" w:cs="宋体"/>
                      <w:sz w:val="24"/>
                    </w:rPr>
                    <w:t>保护部位照片及保护要求</w:t>
                  </w:r>
                </w:p>
              </w:tc>
              <w:tc>
                <w:tcPr>
                  <w:tcW w:w="165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spacing w:before="105" w:after="105"/>
                    <w:jc w:val="left"/>
                  </w:pPr>
                  <w:r>
                    <w:rPr>
                      <w:rFonts w:ascii="宋体" w:hAnsi="宋体" w:eastAsia="宋体" w:cs="宋体"/>
                      <w:sz w:val="24"/>
                    </w:rPr>
                    <w:t>依据保护要求，以照片、测绘图纸等方式，进一步细化保护部位和具体保护要求；</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35" w:type="dxa"/>
                  <w:vMerge w:val="continue"/>
                  <w:tcBorders>
                    <w:top w:val="nil"/>
                    <w:left w:val="single" w:color="000000" w:sz="4" w:space="0"/>
                    <w:bottom w:val="single" w:color="000000" w:sz="4" w:space="0"/>
                    <w:right w:val="single" w:color="000000" w:sz="4" w:space="0"/>
                  </w:tcBorders>
                </w:tcPr>
                <w:p/>
              </w:tc>
              <w:tc>
                <w:tcPr>
                  <w:tcW w:w="45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spacing w:before="105" w:after="105"/>
                    <w:jc w:val="left"/>
                  </w:pPr>
                  <w:r>
                    <w:rPr>
                      <w:rFonts w:ascii="宋体" w:hAnsi="宋体" w:eastAsia="宋体" w:cs="宋体"/>
                      <w:sz w:val="24"/>
                    </w:rPr>
                    <w:t>剖面图</w:t>
                  </w:r>
                </w:p>
              </w:tc>
              <w:tc>
                <w:tcPr>
                  <w:tcW w:w="165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spacing w:before="105" w:after="105"/>
                    <w:jc w:val="left"/>
                  </w:pPr>
                  <w:r>
                    <w:rPr>
                      <w:rFonts w:ascii="宋体" w:hAnsi="宋体" w:eastAsia="宋体" w:cs="宋体"/>
                      <w:sz w:val="24"/>
                    </w:rPr>
                    <w:t>利用建筑三维扫描成果建立点云模型，对各剖面进行切片，提供带有真实纹理信息的剖面切片照片。</w:t>
                  </w:r>
                </w:p>
              </w:tc>
            </w:tr>
          </w:tbl>
          <w:p>
            <w:pPr>
              <w:pStyle w:val="4"/>
              <w:spacing w:before="105" w:after="105"/>
              <w:jc w:val="left"/>
            </w:pPr>
            <w:r>
              <w:rPr>
                <w:rFonts w:ascii="宋体" w:hAnsi="宋体" w:eastAsia="宋体" w:cs="宋体"/>
                <w:sz w:val="24"/>
              </w:rPr>
              <w:t>2、测绘档案要求</w:t>
            </w:r>
          </w:p>
          <w:p>
            <w:pPr>
              <w:pStyle w:val="4"/>
              <w:spacing w:before="105" w:after="105"/>
              <w:ind w:firstLine="480"/>
              <w:jc w:val="left"/>
            </w:pPr>
            <w:r>
              <w:rPr>
                <w:rFonts w:ascii="宋体" w:hAnsi="宋体" w:eastAsia="宋体" w:cs="宋体"/>
                <w:sz w:val="24"/>
              </w:rPr>
              <w:t>内容包括总平面现状测绘图、平面现状测绘图、立面现状测绘图、剖面现状测绘图、典型构件大样图。</w:t>
            </w:r>
          </w:p>
          <w:tbl>
            <w:tblPr>
              <w:tblStyle w:val="2"/>
              <w:tblW w:w="0" w:type="auto"/>
              <w:tblInd w:w="300"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450"/>
              <w:gridCol w:w="1798"/>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PrEx>
              <w:tc>
                <w:tcPr>
                  <w:tcW w:w="420"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spacing w:before="105" w:after="105"/>
                    <w:jc w:val="left"/>
                  </w:pPr>
                  <w:r>
                    <w:rPr>
                      <w:rFonts w:ascii="宋体" w:hAnsi="宋体" w:eastAsia="宋体" w:cs="宋体"/>
                      <w:sz w:val="24"/>
                    </w:rPr>
                    <w:t>测绘档案成果</w:t>
                  </w:r>
                </w:p>
              </w:tc>
              <w:tc>
                <w:tcPr>
                  <w:tcW w:w="2133"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spacing w:before="105" w:after="105"/>
                    <w:jc w:val="left"/>
                  </w:pPr>
                  <w:r>
                    <w:rPr>
                      <w:rFonts w:ascii="宋体" w:hAnsi="宋体" w:eastAsia="宋体" w:cs="宋体"/>
                      <w:sz w:val="24"/>
                    </w:rPr>
                    <w:t>测绘深度要求</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20"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spacing w:before="105" w:after="105"/>
                    <w:jc w:val="left"/>
                  </w:pPr>
                  <w:r>
                    <w:rPr>
                      <w:rFonts w:ascii="宋体" w:hAnsi="宋体" w:eastAsia="宋体" w:cs="宋体"/>
                      <w:sz w:val="24"/>
                    </w:rPr>
                    <w:t>总平面现状测绘图</w:t>
                  </w:r>
                </w:p>
              </w:tc>
              <w:tc>
                <w:tcPr>
                  <w:tcW w:w="213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spacing w:before="105" w:after="105"/>
                    <w:jc w:val="left"/>
                  </w:pPr>
                  <w:r>
                    <w:rPr>
                      <w:rFonts w:ascii="宋体" w:hAnsi="宋体" w:eastAsia="宋体" w:cs="宋体"/>
                      <w:sz w:val="24"/>
                    </w:rPr>
                    <w:t>1.应绘制建筑轮廓、周边建筑或构筑物、道路、广场 、水域 、 山体 、绿化等环境信息，且应完整覆盖历史环境要素；</w:t>
                  </w:r>
                </w:p>
                <w:p>
                  <w:pPr>
                    <w:pStyle w:val="4"/>
                    <w:spacing w:before="105" w:after="105"/>
                    <w:jc w:val="left"/>
                  </w:pPr>
                  <w:r>
                    <w:rPr>
                      <w:rFonts w:ascii="宋体" w:hAnsi="宋体" w:eastAsia="宋体" w:cs="宋体"/>
                      <w:sz w:val="24"/>
                    </w:rPr>
                    <w:t>2.应标注建筑总尺寸，建筑与相邻建筑物、构筑物的距离；</w:t>
                  </w:r>
                </w:p>
                <w:p>
                  <w:pPr>
                    <w:pStyle w:val="4"/>
                    <w:spacing w:before="105" w:after="105"/>
                    <w:jc w:val="left"/>
                  </w:pPr>
                  <w:r>
                    <w:rPr>
                      <w:rFonts w:ascii="宋体" w:hAnsi="宋体" w:eastAsia="宋体" w:cs="宋体"/>
                      <w:sz w:val="24"/>
                    </w:rPr>
                    <w:t>3.场地标高与建筑、构筑物的标高平屋面建筑应标注天面 、女儿墙的标高 ，坡屋面建筑宜标注屋脊 、檐口下沿的标高；</w:t>
                  </w:r>
                </w:p>
                <w:p>
                  <w:pPr>
                    <w:pStyle w:val="4"/>
                    <w:spacing w:before="105" w:after="105"/>
                    <w:jc w:val="left"/>
                  </w:pPr>
                  <w:r>
                    <w:rPr>
                      <w:rFonts w:ascii="宋体" w:hAnsi="宋体" w:eastAsia="宋体" w:cs="宋体"/>
                      <w:sz w:val="24"/>
                    </w:rPr>
                    <w:t>4.应标注建筑名称、 出入口位置、层数、建筑高度、周边建筑的层高、周边道路、广场名称等信息；</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20"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spacing w:before="105" w:after="105"/>
                    <w:jc w:val="left"/>
                  </w:pPr>
                  <w:r>
                    <w:rPr>
                      <w:rFonts w:ascii="宋体" w:hAnsi="宋体" w:eastAsia="宋体" w:cs="宋体"/>
                      <w:sz w:val="24"/>
                    </w:rPr>
                    <w:t>平面现状测绘图</w:t>
                  </w:r>
                </w:p>
              </w:tc>
              <w:tc>
                <w:tcPr>
                  <w:tcW w:w="213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spacing w:before="105" w:after="105"/>
                    <w:jc w:val="left"/>
                  </w:pPr>
                  <w:r>
                    <w:rPr>
                      <w:rFonts w:ascii="宋体" w:hAnsi="宋体" w:eastAsia="宋体" w:cs="宋体"/>
                      <w:sz w:val="24"/>
                    </w:rPr>
                    <w:t>1.应包含首层平面、标准层平面、屋顶平面和传统木结构建筑的仰视平面；</w:t>
                  </w:r>
                </w:p>
                <w:p>
                  <w:pPr>
                    <w:pStyle w:val="4"/>
                    <w:spacing w:before="105" w:after="105"/>
                    <w:jc w:val="left"/>
                  </w:pPr>
                  <w:r>
                    <w:rPr>
                      <w:rFonts w:ascii="宋体" w:hAnsi="宋体" w:eastAsia="宋体" w:cs="宋体"/>
                      <w:sz w:val="24"/>
                    </w:rPr>
                    <w:t>2.应绘制室内结构构件，表达主要空间关系；</w:t>
                  </w:r>
                </w:p>
                <w:p>
                  <w:pPr>
                    <w:pStyle w:val="4"/>
                    <w:spacing w:before="105" w:after="105"/>
                    <w:jc w:val="left"/>
                  </w:pPr>
                  <w:r>
                    <w:rPr>
                      <w:rFonts w:ascii="宋体" w:hAnsi="宋体" w:eastAsia="宋体" w:cs="宋体"/>
                      <w:sz w:val="24"/>
                    </w:rPr>
                    <w:t>3.应反映以下要素：周边环境、主要出入口、院落、天井、 门窗洞口；</w:t>
                  </w:r>
                </w:p>
                <w:p>
                  <w:pPr>
                    <w:pStyle w:val="4"/>
                    <w:spacing w:before="105" w:after="105"/>
                    <w:jc w:val="left"/>
                  </w:pPr>
                  <w:r>
                    <w:rPr>
                      <w:rFonts w:ascii="宋体" w:hAnsi="宋体" w:eastAsia="宋体" w:cs="宋体"/>
                      <w:sz w:val="24"/>
                    </w:rPr>
                    <w:t>4.绘制各层室内典型材质片段及体现历史风貌的室外地面材料；</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20"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spacing w:before="105" w:after="105"/>
                    <w:jc w:val="left"/>
                  </w:pPr>
                  <w:r>
                    <w:rPr>
                      <w:rFonts w:ascii="宋体" w:hAnsi="宋体" w:eastAsia="宋体" w:cs="宋体"/>
                      <w:sz w:val="24"/>
                    </w:rPr>
                    <w:t>立面现状测绘图</w:t>
                  </w:r>
                </w:p>
              </w:tc>
              <w:tc>
                <w:tcPr>
                  <w:tcW w:w="213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spacing w:before="105" w:after="105"/>
                    <w:jc w:val="left"/>
                  </w:pPr>
                  <w:r>
                    <w:rPr>
                      <w:rFonts w:ascii="宋体" w:hAnsi="宋体" w:eastAsia="宋体" w:cs="宋体"/>
                      <w:sz w:val="24"/>
                    </w:rPr>
                    <w:t>1.应包含所有可视立面；</w:t>
                  </w:r>
                </w:p>
                <w:p>
                  <w:pPr>
                    <w:pStyle w:val="4"/>
                    <w:spacing w:before="105" w:after="105"/>
                    <w:jc w:val="left"/>
                  </w:pPr>
                  <w:r>
                    <w:rPr>
                      <w:rFonts w:ascii="宋体" w:hAnsi="宋体" w:eastAsia="宋体" w:cs="宋体"/>
                      <w:sz w:val="24"/>
                    </w:rPr>
                    <w:t>2.应表达立面整体轮廓、构件轮廊和细节、立面典型材质片段；</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20"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spacing w:before="105" w:after="105"/>
                    <w:jc w:val="left"/>
                  </w:pPr>
                  <w:r>
                    <w:rPr>
                      <w:rFonts w:ascii="宋体" w:hAnsi="宋体" w:eastAsia="宋体" w:cs="宋体"/>
                      <w:sz w:val="24"/>
                    </w:rPr>
                    <w:t>剖面现状测绘图</w:t>
                  </w:r>
                </w:p>
              </w:tc>
              <w:tc>
                <w:tcPr>
                  <w:tcW w:w="213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spacing w:before="105" w:after="105"/>
                    <w:jc w:val="left"/>
                  </w:pPr>
                  <w:r>
                    <w:rPr>
                      <w:rFonts w:ascii="宋体" w:hAnsi="宋体" w:eastAsia="宋体" w:cs="宋体"/>
                      <w:sz w:val="24"/>
                    </w:rPr>
                    <w:t>1.应绘制建筑剖面图，且应选取空间关系典型、能反映历史风貌的结构和构造部位进行绘制；</w:t>
                  </w:r>
                </w:p>
                <w:p>
                  <w:pPr>
                    <w:pStyle w:val="4"/>
                    <w:spacing w:before="105" w:after="105"/>
                    <w:jc w:val="left"/>
                  </w:pPr>
                  <w:r>
                    <w:rPr>
                      <w:rFonts w:ascii="宋体" w:hAnsi="宋体" w:eastAsia="宋体" w:cs="宋体"/>
                      <w:sz w:val="24"/>
                    </w:rPr>
                    <w:t>2.应绘制和标注可见的典型材质片段；</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20"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spacing w:before="105" w:after="105"/>
                    <w:jc w:val="left"/>
                  </w:pPr>
                  <w:r>
                    <w:rPr>
                      <w:rFonts w:ascii="宋体" w:hAnsi="宋体" w:eastAsia="宋体" w:cs="宋体"/>
                      <w:sz w:val="24"/>
                    </w:rPr>
                    <w:t>典型构件大样图</w:t>
                  </w:r>
                </w:p>
              </w:tc>
              <w:tc>
                <w:tcPr>
                  <w:tcW w:w="213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spacing w:before="105" w:after="105"/>
                    <w:jc w:val="left"/>
                  </w:pPr>
                  <w:r>
                    <w:rPr>
                      <w:rFonts w:ascii="宋体" w:hAnsi="宋体" w:eastAsia="宋体" w:cs="宋体"/>
                      <w:sz w:val="24"/>
                    </w:rPr>
                    <w:t>依据保护图则要求，对具体的保护部位应绘制其构造、装饰和材料，并采用文字标注。</w:t>
                  </w:r>
                </w:p>
              </w:tc>
            </w:tr>
          </w:tbl>
          <w:p>
            <w:pPr>
              <w:pStyle w:val="4"/>
              <w:spacing w:before="105" w:after="105"/>
              <w:ind w:firstLine="480"/>
              <w:jc w:val="left"/>
            </w:pPr>
            <w:r>
              <w:rPr>
                <w:rFonts w:ascii="宋体" w:hAnsi="宋体" w:eastAsia="宋体" w:cs="宋体"/>
                <w:sz w:val="24"/>
              </w:rPr>
              <w:t>3、归档要求</w:t>
            </w:r>
          </w:p>
          <w:p>
            <w:pPr>
              <w:pStyle w:val="4"/>
              <w:spacing w:before="105" w:after="105"/>
              <w:ind w:firstLine="480"/>
              <w:jc w:val="left"/>
            </w:pPr>
            <w:r>
              <w:rPr>
                <w:rFonts w:ascii="宋体" w:hAnsi="宋体" w:eastAsia="宋体" w:cs="宋体"/>
                <w:sz w:val="24"/>
              </w:rPr>
              <w:t>（1）保护图则成果文件采用X级目录存放，其中一级目录下包括【基本档案】、【保护图则】、【测绘档案】三个二级目录，各二级目录下进一步细分PDF/JPG/DWG等成果文件；</w:t>
            </w:r>
          </w:p>
          <w:p>
            <w:pPr>
              <w:pStyle w:val="4"/>
              <w:spacing w:before="105" w:after="105"/>
              <w:ind w:firstLine="480"/>
              <w:jc w:val="left"/>
            </w:pPr>
            <w:r>
              <w:rPr>
                <w:rFonts w:ascii="宋体" w:hAnsi="宋体" w:eastAsia="宋体" w:cs="宋体"/>
                <w:sz w:val="24"/>
              </w:rPr>
              <w:t>（2）文字文件为PDF格式、图像文件为jpg格式、图形文件为dwg格式、点云模型为XYZ格式，其中单张图像分辨率不低于3000万。</w:t>
            </w:r>
          </w:p>
          <w:p>
            <w:pPr>
              <w:pStyle w:val="4"/>
              <w:spacing w:before="105" w:after="105"/>
              <w:ind w:firstLine="480"/>
              <w:jc w:val="left"/>
            </w:pPr>
            <w:r>
              <w:rPr>
                <w:rFonts w:ascii="宋体" w:hAnsi="宋体" w:eastAsia="宋体" w:cs="宋体"/>
                <w:sz w:val="24"/>
              </w:rPr>
              <w:t>1）保护图则归档要求</w:t>
            </w:r>
          </w:p>
          <w:p>
            <w:pPr>
              <w:pStyle w:val="4"/>
              <w:spacing w:before="105" w:after="105"/>
              <w:ind w:firstLine="480"/>
              <w:jc w:val="left"/>
            </w:pPr>
            <w:r>
              <w:rPr>
                <w:rFonts w:ascii="宋体" w:hAnsi="宋体" w:eastAsia="宋体" w:cs="宋体"/>
                <w:sz w:val="24"/>
              </w:rPr>
              <w:t>①每处文物建筑的保护图则应保存为一个单独的电子文件，文字说明采用PDF文件格式 ，图则须采用PDF电子版格式，提交成果的保护总平面图坐标应统一采用成都独立坐标系。</w:t>
            </w:r>
          </w:p>
          <w:p>
            <w:pPr>
              <w:pStyle w:val="4"/>
              <w:spacing w:before="105" w:after="105"/>
              <w:ind w:firstLine="480"/>
              <w:jc w:val="left"/>
            </w:pPr>
            <w:r>
              <w:rPr>
                <w:rFonts w:ascii="宋体" w:hAnsi="宋体" w:eastAsia="宋体" w:cs="宋体"/>
                <w:sz w:val="24"/>
              </w:rPr>
              <w:t>②图纸目录编号应按“区位图及保护总平面图、保护部位照片及保护要求”的顺序依次编号；图签应包含编制单位、项目名称、图名、日期、图号和相关文字说明。</w:t>
            </w:r>
          </w:p>
          <w:p>
            <w:pPr>
              <w:pStyle w:val="4"/>
              <w:spacing w:before="105" w:after="105"/>
              <w:ind w:firstLine="480"/>
              <w:jc w:val="left"/>
            </w:pPr>
            <w:r>
              <w:rPr>
                <w:rFonts w:ascii="宋体" w:hAnsi="宋体" w:eastAsia="宋体" w:cs="宋体"/>
                <w:sz w:val="24"/>
              </w:rPr>
              <w:t>图纸比例应满足以下要求</w:t>
            </w:r>
          </w:p>
          <w:tbl>
            <w:tblPr>
              <w:tblStyle w:val="2"/>
              <w:tblW w:w="0" w:type="auto"/>
              <w:tblInd w:w="15"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1123"/>
              <w:gridCol w:w="1410"/>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462"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spacing w:before="105" w:after="105"/>
                    <w:ind w:firstLine="480"/>
                    <w:jc w:val="left"/>
                  </w:pPr>
                  <w:r>
                    <w:rPr>
                      <w:rFonts w:ascii="宋体" w:hAnsi="宋体" w:eastAsia="宋体" w:cs="宋体"/>
                      <w:sz w:val="24"/>
                    </w:rPr>
                    <w:t>图纸类型</w:t>
                  </w:r>
                </w:p>
              </w:tc>
              <w:tc>
                <w:tcPr>
                  <w:tcW w:w="1091"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spacing w:before="105" w:after="105"/>
                    <w:ind w:firstLine="480"/>
                    <w:jc w:val="left"/>
                  </w:pPr>
                  <w:r>
                    <w:rPr>
                      <w:rFonts w:ascii="宋体" w:hAnsi="宋体" w:eastAsia="宋体" w:cs="宋体"/>
                      <w:sz w:val="24"/>
                    </w:rPr>
                    <w:t>绘图比例要求</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46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spacing w:before="105" w:after="105"/>
                    <w:ind w:firstLine="480"/>
                    <w:jc w:val="left"/>
                  </w:pPr>
                  <w:r>
                    <w:rPr>
                      <w:rFonts w:ascii="宋体" w:hAnsi="宋体" w:eastAsia="宋体" w:cs="宋体"/>
                      <w:sz w:val="24"/>
                    </w:rPr>
                    <w:t>区位图</w:t>
                  </w:r>
                </w:p>
              </w:tc>
              <w:tc>
                <w:tcPr>
                  <w:tcW w:w="10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spacing w:before="105" w:after="105"/>
                    <w:ind w:firstLine="480"/>
                    <w:jc w:val="left"/>
                  </w:pPr>
                  <w:r>
                    <w:rPr>
                      <w:rFonts w:ascii="宋体" w:hAnsi="宋体" w:eastAsia="宋体" w:cs="宋体"/>
                      <w:sz w:val="24"/>
                    </w:rPr>
                    <w:t>1:2000或1:5000</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46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spacing w:before="105" w:after="105"/>
                    <w:ind w:firstLine="480"/>
                    <w:jc w:val="left"/>
                  </w:pPr>
                  <w:r>
                    <w:rPr>
                      <w:rFonts w:ascii="宋体" w:hAnsi="宋体" w:eastAsia="宋体" w:cs="宋体"/>
                      <w:sz w:val="24"/>
                    </w:rPr>
                    <w:t>总平面图</w:t>
                  </w:r>
                </w:p>
              </w:tc>
              <w:tc>
                <w:tcPr>
                  <w:tcW w:w="10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spacing w:before="105" w:after="105"/>
                    <w:ind w:firstLine="480"/>
                    <w:jc w:val="left"/>
                  </w:pPr>
                  <w:r>
                    <w:rPr>
                      <w:rFonts w:ascii="宋体" w:hAnsi="宋体" w:eastAsia="宋体" w:cs="宋体"/>
                      <w:sz w:val="24"/>
                    </w:rPr>
                    <w:t>1:500及以下</w:t>
                  </w:r>
                </w:p>
              </w:tc>
            </w:tr>
          </w:tbl>
          <w:p>
            <w:pPr>
              <w:pStyle w:val="4"/>
              <w:spacing w:before="105" w:after="105"/>
              <w:ind w:firstLine="480"/>
              <w:jc w:val="left"/>
            </w:pPr>
            <w:r>
              <w:rPr>
                <w:rFonts w:ascii="宋体" w:hAnsi="宋体" w:eastAsia="宋体" w:cs="宋体"/>
                <w:sz w:val="24"/>
              </w:rPr>
              <w:t>2）测绘档案归档要求</w:t>
            </w:r>
          </w:p>
          <w:p>
            <w:pPr>
              <w:pStyle w:val="4"/>
              <w:spacing w:before="105" w:after="105"/>
              <w:ind w:firstLine="480"/>
              <w:jc w:val="left"/>
            </w:pPr>
            <w:r>
              <w:rPr>
                <w:rFonts w:ascii="宋体" w:hAnsi="宋体" w:eastAsia="宋体" w:cs="宋体"/>
                <w:sz w:val="24"/>
              </w:rPr>
              <w:t>①每处文物建筑的所有测绘图应保存为一个单独的电子文件。文件命名格式应为“文物建筑编号_文物建筑名称_绘图完成年月日”；文物建筑编号和名称应与政府公布的文物建筑名录保持一致，图纸应按“目录、总平面、平面、立面、剖面和详图”的顺序编制。</w:t>
            </w:r>
          </w:p>
          <w:p>
            <w:pPr>
              <w:pStyle w:val="4"/>
              <w:spacing w:before="105" w:after="105"/>
              <w:ind w:firstLine="480"/>
              <w:jc w:val="left"/>
            </w:pPr>
            <w:r>
              <w:rPr>
                <w:rFonts w:ascii="宋体" w:hAnsi="宋体" w:eastAsia="宋体" w:cs="宋体"/>
                <w:sz w:val="24"/>
              </w:rPr>
              <w:t>②图纸的图名命名格式应为“图纸内容”，图纸的电子版格式须为AutoCad文件.dwg文件格式。</w:t>
            </w:r>
          </w:p>
          <w:p>
            <w:pPr>
              <w:pStyle w:val="4"/>
              <w:spacing w:before="105" w:after="105"/>
              <w:ind w:firstLine="480"/>
              <w:jc w:val="left"/>
            </w:pPr>
            <w:r>
              <w:rPr>
                <w:rFonts w:ascii="宋体" w:hAnsi="宋体" w:eastAsia="宋体" w:cs="宋体"/>
                <w:sz w:val="24"/>
              </w:rPr>
              <w:t>③图纸编号应满足下列编制要求：图纸编号应为（01/图纸张数-图纸张数/图纸张数）依次编号；平面图应按总平面、各层平面、屋顶平面和仰视平面的顺序依次排列。</w:t>
            </w:r>
          </w:p>
          <w:p>
            <w:pPr>
              <w:pStyle w:val="4"/>
              <w:spacing w:before="105" w:after="105"/>
              <w:ind w:firstLine="480"/>
              <w:jc w:val="left"/>
            </w:pPr>
            <w:r>
              <w:rPr>
                <w:rFonts w:ascii="宋体" w:hAnsi="宋体" w:eastAsia="宋体" w:cs="宋体"/>
                <w:sz w:val="24"/>
              </w:rPr>
              <w:t>④图签应包含测绘单位、项目名称、项目负责、绘图员、审定人、图名、日期、图号和相关文字说明。</w:t>
            </w:r>
          </w:p>
          <w:p>
            <w:pPr>
              <w:pStyle w:val="4"/>
              <w:spacing w:before="105" w:after="105"/>
              <w:ind w:firstLine="480"/>
              <w:jc w:val="left"/>
            </w:pPr>
            <w:r>
              <w:rPr>
                <w:rFonts w:ascii="宋体" w:hAnsi="宋体" w:eastAsia="宋体" w:cs="宋体"/>
                <w:sz w:val="24"/>
              </w:rPr>
              <w:t>测绘图比例应满足以下要求</w:t>
            </w:r>
          </w:p>
          <w:tbl>
            <w:tblPr>
              <w:tblStyle w:val="2"/>
              <w:tblW w:w="0" w:type="auto"/>
              <w:tblInd w:w="0"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1170"/>
              <w:gridCol w:w="1378"/>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899"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spacing w:before="105" w:after="105"/>
                    <w:ind w:firstLine="480"/>
                    <w:jc w:val="left"/>
                  </w:pPr>
                  <w:r>
                    <w:rPr>
                      <w:rFonts w:ascii="宋体" w:hAnsi="宋体" w:eastAsia="宋体" w:cs="宋体"/>
                      <w:sz w:val="24"/>
                    </w:rPr>
                    <w:t>图纸类型</w:t>
                  </w:r>
                </w:p>
              </w:tc>
              <w:tc>
                <w:tcPr>
                  <w:tcW w:w="1653"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spacing w:before="105" w:after="105"/>
                    <w:ind w:firstLine="480"/>
                    <w:jc w:val="left"/>
                  </w:pPr>
                  <w:r>
                    <w:rPr>
                      <w:rFonts w:ascii="宋体" w:hAnsi="宋体" w:eastAsia="宋体" w:cs="宋体"/>
                      <w:sz w:val="24"/>
                    </w:rPr>
                    <w:t>绘图比例要求</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899"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spacing w:before="105" w:after="105"/>
                    <w:ind w:firstLine="480"/>
                    <w:jc w:val="left"/>
                  </w:pPr>
                  <w:r>
                    <w:rPr>
                      <w:rFonts w:ascii="宋体" w:hAnsi="宋体" w:eastAsia="宋体" w:cs="宋体"/>
                      <w:sz w:val="24"/>
                    </w:rPr>
                    <w:t>总平面图</w:t>
                  </w:r>
                </w:p>
              </w:tc>
              <w:tc>
                <w:tcPr>
                  <w:tcW w:w="16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spacing w:before="105" w:after="105"/>
                    <w:ind w:firstLine="480"/>
                    <w:jc w:val="left"/>
                  </w:pPr>
                  <w:r>
                    <w:rPr>
                      <w:rFonts w:ascii="宋体" w:hAnsi="宋体" w:eastAsia="宋体" w:cs="宋体"/>
                      <w:sz w:val="24"/>
                    </w:rPr>
                    <w:t>≥1:500</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899"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spacing w:before="105" w:after="105"/>
                    <w:ind w:firstLine="480"/>
                    <w:jc w:val="left"/>
                  </w:pPr>
                  <w:r>
                    <w:rPr>
                      <w:rFonts w:ascii="宋体" w:hAnsi="宋体" w:eastAsia="宋体" w:cs="宋体"/>
                      <w:sz w:val="24"/>
                    </w:rPr>
                    <w:t>平、立、剖面图</w:t>
                  </w:r>
                </w:p>
              </w:tc>
              <w:tc>
                <w:tcPr>
                  <w:tcW w:w="16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spacing w:before="105" w:after="105"/>
                    <w:ind w:firstLine="480"/>
                    <w:jc w:val="left"/>
                  </w:pPr>
                  <w:r>
                    <w:rPr>
                      <w:rFonts w:ascii="宋体" w:hAnsi="宋体" w:eastAsia="宋体" w:cs="宋体"/>
                      <w:sz w:val="24"/>
                    </w:rPr>
                    <w:t>≥1:500</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899"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spacing w:before="105" w:after="105"/>
                    <w:ind w:firstLine="480"/>
                    <w:jc w:val="left"/>
                  </w:pPr>
                  <w:r>
                    <w:rPr>
                      <w:rFonts w:ascii="宋体" w:hAnsi="宋体" w:eastAsia="宋体" w:cs="宋体"/>
                      <w:sz w:val="24"/>
                    </w:rPr>
                    <w:t>详图</w:t>
                  </w:r>
                </w:p>
              </w:tc>
              <w:tc>
                <w:tcPr>
                  <w:tcW w:w="16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spacing w:before="105" w:after="105"/>
                    <w:ind w:firstLine="480"/>
                    <w:jc w:val="left"/>
                  </w:pPr>
                  <w:r>
                    <w:rPr>
                      <w:rFonts w:ascii="宋体" w:hAnsi="宋体" w:eastAsia="宋体" w:cs="宋体"/>
                      <w:sz w:val="24"/>
                    </w:rPr>
                    <w:t>1:5、1:10、1:15、1:20、1:25、1:30</w:t>
                  </w:r>
                </w:p>
              </w:tc>
            </w:tr>
          </w:tbl>
          <w:p>
            <w:pPr>
              <w:pStyle w:val="4"/>
              <w:spacing w:before="105" w:after="105"/>
              <w:ind w:firstLine="480"/>
              <w:jc w:val="left"/>
            </w:pPr>
            <w:r>
              <w:rPr>
                <w:rFonts w:ascii="宋体" w:hAnsi="宋体" w:eastAsia="宋体" w:cs="宋体"/>
                <w:sz w:val="24"/>
              </w:rPr>
              <w:t>⑤文物建筑的测绘图绘制应符合现行国家标准《房屋建筑制图统一标准》GB/T50001、《建筑制图标准》GB/T50104、《总图制图标准》GB/T50103的有关规定。</w:t>
            </w:r>
          </w:p>
          <w:p>
            <w:pPr>
              <w:pStyle w:val="4"/>
              <w:spacing w:before="105" w:after="105"/>
              <w:ind w:firstLine="480"/>
              <w:jc w:val="left"/>
            </w:pPr>
            <w:r>
              <w:rPr>
                <w:rFonts w:ascii="宋体" w:hAnsi="宋体" w:eastAsia="宋体" w:cs="宋体"/>
                <w:sz w:val="24"/>
              </w:rPr>
              <w:t>4、提交成果</w:t>
            </w:r>
          </w:p>
          <w:p>
            <w:pPr>
              <w:pStyle w:val="4"/>
              <w:spacing w:before="105" w:after="105"/>
              <w:ind w:firstLine="480"/>
              <w:jc w:val="left"/>
            </w:pPr>
            <w:r>
              <w:rPr>
                <w:rFonts w:ascii="宋体" w:hAnsi="宋体" w:eastAsia="宋体" w:cs="宋体"/>
                <w:sz w:val="24"/>
              </w:rPr>
              <w:t>（1）成果内容</w:t>
            </w:r>
          </w:p>
          <w:p>
            <w:pPr>
              <w:pStyle w:val="4"/>
              <w:spacing w:before="105" w:after="105"/>
              <w:ind w:firstLine="480"/>
              <w:jc w:val="left"/>
            </w:pPr>
            <w:r>
              <w:rPr>
                <w:rFonts w:ascii="宋体" w:hAnsi="宋体" w:eastAsia="宋体" w:cs="宋体"/>
                <w:sz w:val="24"/>
              </w:rPr>
              <w:t>1）基本档案</w:t>
            </w:r>
          </w:p>
          <w:p>
            <w:pPr>
              <w:pStyle w:val="4"/>
              <w:spacing w:before="105" w:after="105"/>
              <w:ind w:firstLine="480"/>
              <w:jc w:val="left"/>
            </w:pPr>
            <w:r>
              <w:rPr>
                <w:rFonts w:ascii="宋体" w:hAnsi="宋体" w:eastAsia="宋体" w:cs="宋体"/>
                <w:sz w:val="24"/>
              </w:rPr>
              <w:t>2）保护图则</w:t>
            </w:r>
          </w:p>
          <w:p>
            <w:pPr>
              <w:pStyle w:val="4"/>
              <w:spacing w:before="105" w:after="105"/>
              <w:ind w:firstLine="480"/>
              <w:jc w:val="left"/>
            </w:pPr>
            <w:r>
              <w:rPr>
                <w:rFonts w:ascii="宋体" w:hAnsi="宋体" w:eastAsia="宋体" w:cs="宋体"/>
                <w:sz w:val="24"/>
              </w:rPr>
              <w:t>3）测绘档案</w:t>
            </w:r>
          </w:p>
          <w:p>
            <w:pPr>
              <w:pStyle w:val="4"/>
              <w:spacing w:before="105" w:after="105"/>
              <w:ind w:firstLine="480"/>
              <w:jc w:val="left"/>
            </w:pPr>
            <w:r>
              <w:rPr>
                <w:rFonts w:ascii="宋体" w:hAnsi="宋体" w:eastAsia="宋体" w:cs="宋体"/>
                <w:sz w:val="24"/>
              </w:rPr>
              <w:t>4）经去噪的真彩三维点云模型</w:t>
            </w:r>
          </w:p>
          <w:p>
            <w:pPr>
              <w:pStyle w:val="4"/>
              <w:spacing w:before="105" w:after="105"/>
              <w:ind w:firstLine="480"/>
              <w:jc w:val="left"/>
            </w:pPr>
            <w:r>
              <w:rPr>
                <w:rFonts w:ascii="宋体" w:hAnsi="宋体" w:eastAsia="宋体" w:cs="宋体"/>
                <w:sz w:val="24"/>
              </w:rPr>
              <w:t>（2）提交成果要求</w:t>
            </w:r>
          </w:p>
          <w:p>
            <w:pPr>
              <w:pStyle w:val="4"/>
              <w:spacing w:before="105" w:after="105"/>
              <w:ind w:firstLine="480"/>
              <w:jc w:val="left"/>
            </w:pPr>
            <w:r>
              <w:rPr>
                <w:rFonts w:ascii="宋体" w:hAnsi="宋体" w:eastAsia="宋体" w:cs="宋体"/>
                <w:sz w:val="24"/>
              </w:rPr>
              <w:t>1）每处文物建筑提交保护图则、测绘档案纸质版和电子版各1套，纸质版为A3幅面、图纸可任意加长；</w:t>
            </w:r>
          </w:p>
          <w:p>
            <w:pPr>
              <w:pStyle w:val="4"/>
              <w:spacing w:before="105" w:after="105"/>
              <w:ind w:firstLine="480"/>
              <w:jc w:val="left"/>
            </w:pPr>
            <w:r>
              <w:rPr>
                <w:rFonts w:ascii="宋体" w:hAnsi="宋体" w:eastAsia="宋体" w:cs="宋体"/>
                <w:sz w:val="24"/>
              </w:rPr>
              <w:t>2）提供总计7处不可移动文物的经去噪的真彩三维点云模型；</w:t>
            </w:r>
          </w:p>
          <w:p>
            <w:pPr>
              <w:pStyle w:val="4"/>
              <w:spacing w:before="105" w:after="105"/>
              <w:ind w:firstLine="480"/>
              <w:jc w:val="left"/>
            </w:pPr>
            <w:r>
              <w:rPr>
                <w:rFonts w:ascii="宋体" w:hAnsi="宋体" w:eastAsia="宋体" w:cs="宋体"/>
                <w:sz w:val="24"/>
              </w:rPr>
              <w:t>3）电子文件存储介质为移动硬盘；</w:t>
            </w:r>
          </w:p>
          <w:p>
            <w:pPr>
              <w:pStyle w:val="4"/>
              <w:spacing w:before="105" w:after="105"/>
              <w:ind w:firstLine="480"/>
              <w:jc w:val="left"/>
            </w:pPr>
            <w:r>
              <w:rPr>
                <w:rFonts w:ascii="宋体" w:hAnsi="宋体" w:eastAsia="宋体" w:cs="宋体"/>
                <w:sz w:val="24"/>
              </w:rPr>
              <w:t>4）各项成果格式要求为：文字文件为PDF格式、图像文件为jpg格式、图形文件为dwg格式、点云模型为xyz格式。</w:t>
            </w:r>
          </w:p>
          <w:p>
            <w:pPr>
              <w:pStyle w:val="4"/>
              <w:spacing w:before="105" w:after="105"/>
              <w:ind w:firstLine="482"/>
              <w:jc w:val="left"/>
            </w:pPr>
            <w:r>
              <w:rPr>
                <w:rFonts w:ascii="宋体" w:hAnsi="宋体" w:eastAsia="宋体" w:cs="宋体"/>
                <w:b/>
                <w:sz w:val="24"/>
              </w:rPr>
              <w:t>（二）50件可移动文物测绘建档</w:t>
            </w:r>
          </w:p>
          <w:p>
            <w:pPr>
              <w:pStyle w:val="4"/>
              <w:spacing w:before="105" w:after="105"/>
              <w:ind w:firstLine="480"/>
              <w:jc w:val="left"/>
            </w:pPr>
            <w:r>
              <w:rPr>
                <w:rFonts w:ascii="宋体" w:hAnsi="宋体" w:eastAsia="宋体" w:cs="宋体"/>
                <w:sz w:val="24"/>
              </w:rPr>
              <w:t>1、采集要求</w:t>
            </w:r>
          </w:p>
          <w:p>
            <w:pPr>
              <w:pStyle w:val="4"/>
              <w:spacing w:before="105" w:after="105"/>
              <w:ind w:firstLine="480"/>
              <w:jc w:val="left"/>
            </w:pPr>
            <w:r>
              <w:rPr>
                <w:rFonts w:ascii="宋体" w:hAnsi="宋体" w:eastAsia="宋体" w:cs="宋体"/>
                <w:sz w:val="24"/>
              </w:rPr>
              <w:t>（1）360度环绕扫描：采集文物使用无刻度转台，在保证扫描质量的前提下减少角度，提高采集效率；构建文物三维模型数据，模型精度保证在原始数据精度下构建。</w:t>
            </w:r>
          </w:p>
          <w:p>
            <w:pPr>
              <w:pStyle w:val="4"/>
              <w:spacing w:before="105" w:after="105"/>
              <w:ind w:firstLine="480"/>
              <w:jc w:val="left"/>
            </w:pPr>
            <w:r>
              <w:rPr>
                <w:rFonts w:ascii="宋体" w:hAnsi="宋体" w:eastAsia="宋体" w:cs="宋体"/>
                <w:sz w:val="24"/>
              </w:rPr>
              <w:t>（2）水平绕圈采集： ≤36 个角度。</w:t>
            </w:r>
          </w:p>
          <w:p>
            <w:pPr>
              <w:pStyle w:val="4"/>
              <w:spacing w:before="105" w:after="105"/>
              <w:ind w:firstLine="480"/>
              <w:jc w:val="left"/>
            </w:pPr>
            <w:r>
              <w:rPr>
                <w:rFonts w:ascii="宋体" w:hAnsi="宋体" w:eastAsia="宋体" w:cs="宋体"/>
                <w:sz w:val="24"/>
              </w:rPr>
              <w:t>（3）垂直绕圈采集： ≥3 圈。</w:t>
            </w:r>
          </w:p>
          <w:p>
            <w:pPr>
              <w:pStyle w:val="4"/>
              <w:spacing w:before="105" w:after="105"/>
              <w:ind w:firstLine="480"/>
              <w:jc w:val="left"/>
            </w:pPr>
            <w:r>
              <w:rPr>
                <w:rFonts w:ascii="宋体" w:hAnsi="宋体" w:eastAsia="宋体" w:cs="宋体"/>
                <w:sz w:val="24"/>
              </w:rPr>
              <w:t>（4）单张高清采集重合率： ≥50%。</w:t>
            </w:r>
          </w:p>
          <w:p>
            <w:pPr>
              <w:pStyle w:val="4"/>
              <w:spacing w:before="105" w:after="105"/>
              <w:ind w:firstLine="480"/>
              <w:jc w:val="left"/>
            </w:pPr>
            <w:r>
              <w:rPr>
                <w:rFonts w:ascii="宋体" w:hAnsi="宋体" w:eastAsia="宋体" w:cs="宋体"/>
                <w:sz w:val="24"/>
              </w:rPr>
              <w:t>（5）单张照片影像： 像素≥5000 万，且像素分辨率≤0.03+0.01× D/300mm (D 为文物最大尺寸，单位 mm) ，影像数据为 RAW+JPG 格式。采集精度误差：单个文物数据拼接后精度误差≤2CM，整体形态误差≤2CM。</w:t>
            </w:r>
          </w:p>
          <w:p>
            <w:pPr>
              <w:pStyle w:val="4"/>
              <w:spacing w:before="105" w:after="105"/>
              <w:ind w:firstLine="480"/>
              <w:jc w:val="left"/>
            </w:pPr>
            <w:r>
              <w:rPr>
                <w:rFonts w:ascii="宋体" w:hAnsi="宋体" w:eastAsia="宋体" w:cs="宋体"/>
                <w:sz w:val="24"/>
              </w:rPr>
              <w:t>（6）空间数据完整率：≥90%。</w:t>
            </w:r>
          </w:p>
          <w:p>
            <w:pPr>
              <w:pStyle w:val="4"/>
              <w:spacing w:before="105" w:after="105"/>
              <w:ind w:firstLine="480"/>
              <w:jc w:val="left"/>
            </w:pPr>
            <w:r>
              <w:rPr>
                <w:rFonts w:ascii="宋体" w:hAnsi="宋体" w:eastAsia="宋体" w:cs="宋体"/>
                <w:sz w:val="24"/>
              </w:rPr>
              <w:t>（7）色彩：影像数据的采集、制作全程进行色彩管理，CIEDE2000 色差平均值≤2.0。</w:t>
            </w:r>
          </w:p>
          <w:p>
            <w:pPr>
              <w:pStyle w:val="4"/>
              <w:spacing w:before="105" w:after="105"/>
              <w:ind w:firstLine="480"/>
              <w:jc w:val="left"/>
            </w:pPr>
            <w:r>
              <w:rPr>
                <w:rFonts w:ascii="宋体" w:hAnsi="宋体" w:eastAsia="宋体" w:cs="宋体"/>
                <w:sz w:val="24"/>
              </w:rPr>
              <w:t>（8）纹理：纹理像素≥4096×4096；纹理标准格式 JPG/TIF/RAW 等， 支持图片格式任意转换，支持多种格式输出，确保在不同系统展示。</w:t>
            </w:r>
          </w:p>
          <w:p>
            <w:pPr>
              <w:pStyle w:val="4"/>
              <w:spacing w:before="105" w:after="105"/>
              <w:ind w:firstLine="480"/>
              <w:jc w:val="left"/>
            </w:pPr>
            <w:r>
              <w:rPr>
                <w:rFonts w:ascii="宋体" w:hAnsi="宋体" w:eastAsia="宋体" w:cs="宋体"/>
                <w:sz w:val="24"/>
              </w:rPr>
              <w:t>2、数据处理要求</w:t>
            </w:r>
          </w:p>
          <w:p>
            <w:pPr>
              <w:pStyle w:val="4"/>
              <w:spacing w:before="105" w:after="105"/>
              <w:ind w:firstLine="480"/>
              <w:jc w:val="left"/>
            </w:pPr>
            <w:r>
              <w:rPr>
                <w:rFonts w:ascii="宋体" w:hAnsi="宋体" w:eastAsia="宋体" w:cs="宋体"/>
                <w:sz w:val="24"/>
              </w:rPr>
              <w:t>（1）点云数据处理</w:t>
            </w:r>
          </w:p>
          <w:p>
            <w:pPr>
              <w:pStyle w:val="4"/>
              <w:spacing w:before="105" w:after="105"/>
              <w:ind w:firstLine="480"/>
              <w:jc w:val="left"/>
            </w:pPr>
            <w:r>
              <w:rPr>
                <w:rFonts w:ascii="宋体" w:hAnsi="宋体" w:eastAsia="宋体" w:cs="宋体"/>
                <w:sz w:val="24"/>
              </w:rPr>
              <w:t>1）单件文物数据拼接除噪后，文物本体外噪点≤10%；</w:t>
            </w:r>
          </w:p>
          <w:p>
            <w:pPr>
              <w:pStyle w:val="4"/>
              <w:spacing w:before="105" w:after="105"/>
              <w:ind w:firstLine="480"/>
              <w:jc w:val="left"/>
            </w:pPr>
            <w:r>
              <w:rPr>
                <w:rFonts w:ascii="宋体" w:hAnsi="宋体" w:eastAsia="宋体" w:cs="宋体"/>
                <w:sz w:val="24"/>
              </w:rPr>
              <w:t>2）输出点云格式为通用文本格式 stl；</w:t>
            </w:r>
          </w:p>
          <w:p>
            <w:pPr>
              <w:pStyle w:val="4"/>
              <w:spacing w:before="105" w:after="105"/>
              <w:ind w:firstLine="480"/>
              <w:jc w:val="left"/>
            </w:pPr>
            <w:r>
              <w:rPr>
                <w:rFonts w:ascii="宋体" w:hAnsi="宋体" w:eastAsia="宋体" w:cs="宋体"/>
                <w:sz w:val="24"/>
              </w:rPr>
              <w:t>3）点云文件坐标轴中心，保证在文物中心；</w:t>
            </w:r>
          </w:p>
          <w:p>
            <w:pPr>
              <w:pStyle w:val="4"/>
              <w:spacing w:before="105" w:after="105"/>
              <w:ind w:firstLine="480"/>
              <w:jc w:val="left"/>
            </w:pPr>
            <w:r>
              <w:rPr>
                <w:rFonts w:ascii="宋体" w:hAnsi="宋体" w:eastAsia="宋体" w:cs="宋体"/>
                <w:sz w:val="24"/>
              </w:rPr>
              <w:t>4）点云、三角网模型、纹理模型采用最小人工干预原则，只保留文物本体数据，无冗余数据和游离飞点。对于需要进行人工修补的结构部分，根据文物本身结构趋势进行。</w:t>
            </w:r>
          </w:p>
          <w:p>
            <w:pPr>
              <w:pStyle w:val="4"/>
              <w:spacing w:before="105" w:after="105"/>
              <w:ind w:firstLine="480"/>
              <w:jc w:val="left"/>
            </w:pPr>
            <w:r>
              <w:rPr>
                <w:rFonts w:ascii="宋体" w:hAnsi="宋体" w:eastAsia="宋体" w:cs="宋体"/>
                <w:sz w:val="24"/>
              </w:rPr>
              <w:t>（2）影像数据处理</w:t>
            </w:r>
          </w:p>
          <w:p>
            <w:pPr>
              <w:pStyle w:val="4"/>
              <w:spacing w:before="105" w:after="105"/>
              <w:ind w:firstLine="480"/>
              <w:jc w:val="left"/>
            </w:pPr>
            <w:r>
              <w:rPr>
                <w:rFonts w:ascii="宋体" w:hAnsi="宋体" w:eastAsia="宋体" w:cs="宋体"/>
                <w:sz w:val="24"/>
              </w:rPr>
              <w:t>1）色彩还原为自然光照条件下文物表面色彩；</w:t>
            </w:r>
          </w:p>
          <w:p>
            <w:pPr>
              <w:pStyle w:val="4"/>
              <w:spacing w:before="105" w:after="105"/>
              <w:ind w:firstLine="480"/>
              <w:jc w:val="left"/>
            </w:pPr>
            <w:r>
              <w:rPr>
                <w:rFonts w:ascii="宋体" w:hAnsi="宋体" w:eastAsia="宋体" w:cs="宋体"/>
                <w:sz w:val="24"/>
              </w:rPr>
              <w:t>2）文物影像从 Raw 格式矫正至 Jpg 格式，保证文物色彩信息准确；</w:t>
            </w:r>
          </w:p>
          <w:p>
            <w:pPr>
              <w:pStyle w:val="4"/>
              <w:spacing w:before="105" w:after="105"/>
              <w:ind w:firstLine="480"/>
              <w:jc w:val="left"/>
            </w:pPr>
            <w:r>
              <w:rPr>
                <w:rFonts w:ascii="宋体" w:hAnsi="宋体" w:eastAsia="宋体" w:cs="宋体"/>
                <w:sz w:val="24"/>
              </w:rPr>
              <w:t>3）Jpg格式矫正输出保持 Raw 原始尺寸大小，确保高级别影像质量。</w:t>
            </w:r>
          </w:p>
          <w:p>
            <w:pPr>
              <w:pStyle w:val="4"/>
              <w:spacing w:before="105" w:after="105"/>
              <w:ind w:firstLine="480"/>
              <w:jc w:val="left"/>
            </w:pPr>
            <w:r>
              <w:rPr>
                <w:rFonts w:ascii="宋体" w:hAnsi="宋体" w:eastAsia="宋体" w:cs="宋体"/>
                <w:sz w:val="24"/>
              </w:rPr>
              <w:t>（3）模型数据处理</w:t>
            </w:r>
          </w:p>
          <w:p>
            <w:pPr>
              <w:pStyle w:val="4"/>
              <w:spacing w:before="105" w:after="105"/>
              <w:ind w:firstLine="480"/>
              <w:jc w:val="left"/>
            </w:pPr>
            <w:r>
              <w:rPr>
                <w:rFonts w:ascii="宋体" w:hAnsi="宋体" w:eastAsia="宋体" w:cs="宋体"/>
                <w:sz w:val="24"/>
              </w:rPr>
              <w:t>1）三维模型格式为通用格式obj；</w:t>
            </w:r>
          </w:p>
          <w:p>
            <w:pPr>
              <w:pStyle w:val="4"/>
              <w:spacing w:before="105" w:after="105"/>
              <w:ind w:firstLine="480"/>
              <w:jc w:val="left"/>
            </w:pPr>
            <w:r>
              <w:rPr>
                <w:rFonts w:ascii="宋体" w:hAnsi="宋体" w:eastAsia="宋体" w:cs="宋体"/>
                <w:sz w:val="24"/>
              </w:rPr>
              <w:t>2）三维模型按文物单独建模；</w:t>
            </w:r>
          </w:p>
          <w:p>
            <w:pPr>
              <w:pStyle w:val="4"/>
              <w:spacing w:before="105" w:after="105"/>
              <w:ind w:firstLine="480"/>
              <w:jc w:val="left"/>
            </w:pPr>
            <w:r>
              <w:rPr>
                <w:rFonts w:ascii="宋体" w:hAnsi="宋体" w:eastAsia="宋体" w:cs="宋体"/>
                <w:sz w:val="24"/>
              </w:rPr>
              <w:t>3）三维网格模型封装，无重叠面，无交叉面，无网格锐角。</w:t>
            </w:r>
          </w:p>
          <w:p>
            <w:pPr>
              <w:pStyle w:val="4"/>
              <w:spacing w:before="105" w:after="105"/>
              <w:ind w:firstLine="480"/>
              <w:jc w:val="left"/>
            </w:pPr>
            <w:r>
              <w:rPr>
                <w:rFonts w:ascii="宋体" w:hAnsi="宋体" w:eastAsia="宋体" w:cs="宋体"/>
                <w:sz w:val="24"/>
              </w:rPr>
              <w:t>（4）贴图处理</w:t>
            </w:r>
          </w:p>
          <w:p>
            <w:pPr>
              <w:pStyle w:val="4"/>
              <w:spacing w:before="105" w:after="105"/>
              <w:ind w:firstLine="480"/>
              <w:jc w:val="left"/>
            </w:pPr>
            <w:r>
              <w:rPr>
                <w:rFonts w:ascii="宋体" w:hAnsi="宋体" w:eastAsia="宋体" w:cs="宋体"/>
                <w:sz w:val="24"/>
              </w:rPr>
              <w:t>1）模型纹理贴图格式根据实际纹理贴图类型需要输出，参考格式为 jpg、Tga、Png、TIF 等；</w:t>
            </w:r>
          </w:p>
          <w:p>
            <w:pPr>
              <w:pStyle w:val="4"/>
              <w:spacing w:before="105" w:after="105"/>
              <w:ind w:firstLine="480"/>
              <w:jc w:val="left"/>
            </w:pPr>
            <w:r>
              <w:rPr>
                <w:rFonts w:ascii="宋体" w:hAnsi="宋体" w:eastAsia="宋体" w:cs="宋体"/>
                <w:sz w:val="24"/>
              </w:rPr>
              <w:t>2）UV 展开均匀，切线位置合理、无重叠，摆放充满 UV 格；</w:t>
            </w:r>
          </w:p>
          <w:p>
            <w:pPr>
              <w:pStyle w:val="4"/>
              <w:spacing w:before="105" w:after="105"/>
              <w:ind w:firstLine="480"/>
              <w:jc w:val="left"/>
            </w:pPr>
            <w:r>
              <w:rPr>
                <w:rFonts w:ascii="宋体" w:hAnsi="宋体" w:eastAsia="宋体" w:cs="宋体"/>
                <w:sz w:val="24"/>
              </w:rPr>
              <w:t>3）模型法线贴图有足够的体积感；</w:t>
            </w:r>
          </w:p>
          <w:p>
            <w:pPr>
              <w:pStyle w:val="4"/>
              <w:spacing w:before="105" w:after="105"/>
              <w:ind w:firstLine="480"/>
              <w:jc w:val="left"/>
            </w:pPr>
            <w:r>
              <w:rPr>
                <w:rFonts w:ascii="宋体" w:hAnsi="宋体" w:eastAsia="宋体" w:cs="宋体"/>
                <w:sz w:val="24"/>
              </w:rPr>
              <w:t>4）模型贴图精度，贴图位置偏移≤文物最长边尺寸×5%或≤1mm； E 贴图边缘融合自然，无接缝；</w:t>
            </w:r>
          </w:p>
          <w:p>
            <w:pPr>
              <w:pStyle w:val="4"/>
              <w:spacing w:before="105" w:after="105"/>
              <w:ind w:firstLine="480"/>
              <w:jc w:val="left"/>
            </w:pPr>
            <w:r>
              <w:rPr>
                <w:rFonts w:ascii="宋体" w:hAnsi="宋体" w:eastAsia="宋体" w:cs="宋体"/>
                <w:sz w:val="24"/>
              </w:rPr>
              <w:t>5）图像上无污点 (异物映射、高光、镜头污渍等) 。</w:t>
            </w:r>
          </w:p>
          <w:p>
            <w:pPr>
              <w:pStyle w:val="4"/>
              <w:spacing w:before="105" w:after="105"/>
              <w:ind w:firstLine="480"/>
              <w:jc w:val="left"/>
            </w:pPr>
            <w:r>
              <w:rPr>
                <w:rFonts w:ascii="宋体" w:hAnsi="宋体" w:eastAsia="宋体" w:cs="宋体"/>
                <w:sz w:val="24"/>
              </w:rPr>
              <w:t>3、提交成果</w:t>
            </w:r>
          </w:p>
          <w:p>
            <w:pPr>
              <w:pStyle w:val="4"/>
              <w:spacing w:before="105" w:after="105"/>
              <w:ind w:firstLine="480"/>
              <w:jc w:val="left"/>
            </w:pPr>
            <w:r>
              <w:rPr>
                <w:rFonts w:ascii="宋体" w:hAnsi="宋体" w:eastAsia="宋体" w:cs="宋体"/>
                <w:sz w:val="24"/>
              </w:rPr>
              <w:t>（1）单件点云模型</w:t>
            </w:r>
          </w:p>
          <w:p>
            <w:pPr>
              <w:pStyle w:val="4"/>
              <w:spacing w:before="105" w:after="105"/>
              <w:ind w:firstLine="480"/>
              <w:jc w:val="left"/>
            </w:pPr>
            <w:r>
              <w:rPr>
                <w:rFonts w:ascii="宋体" w:hAnsi="宋体" w:eastAsia="宋体" w:cs="宋体"/>
                <w:sz w:val="24"/>
              </w:rPr>
              <w:t>（2）高清照片</w:t>
            </w:r>
          </w:p>
          <w:p>
            <w:pPr>
              <w:pStyle w:val="4"/>
              <w:spacing w:before="105" w:after="105"/>
              <w:ind w:firstLine="480"/>
              <w:jc w:val="left"/>
            </w:pPr>
            <w:r>
              <w:rPr>
                <w:rFonts w:ascii="宋体" w:hAnsi="宋体" w:eastAsia="宋体" w:cs="宋体"/>
                <w:sz w:val="24"/>
              </w:rPr>
              <w:t>（3）几何和纹理模型。</w:t>
            </w:r>
          </w:p>
          <w:p>
            <w:pPr>
              <w:pStyle w:val="4"/>
              <w:ind w:firstLine="480"/>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2</w:t>
            </w:r>
          </w:p>
        </w:tc>
        <w:tc>
          <w:tcPr>
            <w:tcW w:w="2769" w:type="dxa"/>
          </w:tcPr>
          <w:p>
            <w:pPr>
              <w:pStyle w:val="4"/>
              <w:ind w:firstLine="482"/>
            </w:pPr>
            <w:r>
              <w:rPr>
                <w:rFonts w:ascii="宋体" w:hAnsi="宋体" w:eastAsia="宋体" w:cs="宋体"/>
                <w:b/>
                <w:sz w:val="24"/>
              </w:rPr>
              <w:t>履约能力要求</w:t>
            </w:r>
          </w:p>
          <w:p>
            <w:pPr>
              <w:pStyle w:val="4"/>
              <w:ind w:left="420"/>
              <w:jc w:val="both"/>
            </w:pPr>
            <w:r>
              <w:rPr>
                <w:rFonts w:ascii="宋体" w:hAnsi="宋体" w:eastAsia="宋体" w:cs="宋体"/>
                <w:sz w:val="24"/>
              </w:rPr>
              <w:t>1.项目履约所需的人员配置</w:t>
            </w:r>
          </w:p>
          <w:p>
            <w:pPr>
              <w:pStyle w:val="4"/>
              <w:ind w:left="420"/>
              <w:jc w:val="both"/>
            </w:pPr>
            <w:r>
              <w:rPr>
                <w:rFonts w:ascii="宋体" w:hAnsi="宋体" w:eastAsia="宋体" w:cs="宋体"/>
                <w:sz w:val="24"/>
              </w:rPr>
              <w:t>2.项目服务方案</w:t>
            </w:r>
          </w:p>
          <w:p>
            <w:pPr>
              <w:pStyle w:val="4"/>
              <w:ind w:firstLine="480"/>
            </w:pPr>
            <w:r>
              <w:rPr>
                <w:rFonts w:ascii="宋体" w:hAnsi="宋体" w:eastAsia="宋体" w:cs="宋体"/>
                <w:sz w:val="24"/>
              </w:rPr>
              <w:t>2.1项目实施方案（包含①现状描述及分析；②需求分析；③项目重点难点分析；④测绘建档措施；⑤数据管理平台建设措施；⑥文物安全保护措施；⑦整体项目实施细则等内容）；</w:t>
            </w:r>
          </w:p>
          <w:p>
            <w:pPr>
              <w:pStyle w:val="4"/>
              <w:ind w:firstLine="480"/>
            </w:pPr>
            <w:r>
              <w:rPr>
                <w:rFonts w:ascii="宋体" w:hAnsi="宋体" w:eastAsia="宋体" w:cs="宋体"/>
                <w:sz w:val="24"/>
              </w:rPr>
              <w:t>2.2售后服务方案（包含①售后服务人员配置；②售后服务具体措施；③应急处理方式等内容)。</w:t>
            </w:r>
          </w:p>
        </w:tc>
      </w:tr>
    </w:tbl>
    <w:p>
      <w:pPr>
        <w:pStyle w:val="4"/>
        <w:outlineLvl w:val="3"/>
      </w:pPr>
      <w:r>
        <w:rPr>
          <w:b/>
          <w:sz w:val="24"/>
        </w:rPr>
        <w:t>3.2.3人员配置要求</w:t>
      </w:r>
    </w:p>
    <w:p>
      <w:pPr>
        <w:pStyle w:val="4"/>
      </w:pPr>
    </w:p>
    <w:p>
      <w:pPr>
        <w:pStyle w:val="4"/>
      </w:pPr>
    </w:p>
    <w:p>
      <w:pPr>
        <w:pStyle w:val="4"/>
      </w:pPr>
    </w:p>
    <w:p>
      <w:pPr>
        <w:pStyle w:val="4"/>
      </w:pPr>
      <w:r>
        <w:t>采购包1：</w:t>
      </w:r>
    </w:p>
    <w:p>
      <w:pPr>
        <w:pStyle w:val="4"/>
      </w:pPr>
      <w:r>
        <w:t>详见竞争性磋商文件5.4.2评分标准</w:t>
      </w:r>
    </w:p>
    <w:p>
      <w:pPr>
        <w:pStyle w:val="4"/>
        <w:outlineLvl w:val="3"/>
      </w:pPr>
      <w:r>
        <w:rPr>
          <w:b/>
          <w:sz w:val="24"/>
        </w:rPr>
        <w:t>3.2.4设施设备要求</w:t>
      </w:r>
    </w:p>
    <w:p>
      <w:pPr>
        <w:pStyle w:val="4"/>
      </w:pPr>
    </w:p>
    <w:p>
      <w:pPr>
        <w:pStyle w:val="4"/>
      </w:pPr>
    </w:p>
    <w:p>
      <w:pPr>
        <w:pStyle w:val="4"/>
      </w:pPr>
    </w:p>
    <w:p>
      <w:pPr>
        <w:pStyle w:val="4"/>
      </w:pPr>
      <w:r>
        <w:t>采购包1：</w:t>
      </w:r>
    </w:p>
    <w:p>
      <w:pPr>
        <w:pStyle w:val="4"/>
      </w:pPr>
      <w:r>
        <w:t>无</w:t>
      </w:r>
    </w:p>
    <w:p>
      <w:pPr>
        <w:pStyle w:val="4"/>
        <w:outlineLvl w:val="3"/>
      </w:pPr>
      <w:r>
        <w:rPr>
          <w:b/>
          <w:sz w:val="24"/>
        </w:rPr>
        <w:t>3.2.5其他要求</w:t>
      </w:r>
    </w:p>
    <w:p>
      <w:pPr>
        <w:pStyle w:val="4"/>
      </w:pPr>
    </w:p>
    <w:p>
      <w:pPr>
        <w:pStyle w:val="4"/>
      </w:pPr>
    </w:p>
    <w:p>
      <w:pPr>
        <w:pStyle w:val="4"/>
      </w:pPr>
    </w:p>
    <w:p>
      <w:pPr>
        <w:pStyle w:val="4"/>
      </w:pPr>
      <w:r>
        <w:t>采购包1：</w:t>
      </w:r>
    </w:p>
    <w:p>
      <w:pPr>
        <w:pStyle w:val="4"/>
      </w:pPr>
      <w:r>
        <w:t>一、★售后服务： 供应商在完成项目任务后一年内，根据采购人需求应提供相应的技术支持。服务响应时间在30分钟内，一般售后问题时间控制在4小时内，重大售后问题时间控制在8小时内。（供应商应在响应文件内提供承诺函） 二、★付款要求： 注：①采购人不得向成交供应商提出任何不合理的要求作为签订合同的条件，不得将磋商文件和合同中未规定的义务作为向成交供应商付款的条件。 ②对于满足采购合同约定资金支付条件的，釆购人应当自收到发票后10日内(第一次付款或预付款除外)将资金按时足额支付到约定账户。釆购人不得以机构变动、人员更替、内部程序、政策调整、单位放假等为由延迟付款，釆购人无故拒绝或者延迟支付政府采购合同款项的，应当依照采购合同约定承担违约责任。 ③每次付款前，成交供应商须向采购人出具合法有效完整的增值税发票及凭证资料后进行支付结算，付款方式均采用公对公的银行转账，采购人接受转账的开户信息以合同载明的为准。如因成交供应商未按照要求提供合法有效的发票导致逾期付款的，不视为采购人违约，采购人不承担任何责任。④鼓励采购人完善内部流程，自收到发票后1个工作日内完成资金支付事宜。 三、★保险： 1.供应商应当遵守国家有关消防、安全、生产操作、劳动保护等方面的规定，并根据自身实际情况和项目履约实际情况，购买涉及上述履约风险的对应保险，保险金额以抵消可能发生的事故因其发生所造成的财产、人身损失承担赔偿保险金责任，维护保险标的的安全。 2.供应商应为本项目提供履约的所有人员按照国家规定购买相关保险。四、★供应商对本项目所涉及的数据和相关资料未经采购人允许不得透露给第三方（供应商应在响应文件中单独提供承诺函）。</w:t>
      </w:r>
    </w:p>
    <w:p>
      <w:pPr>
        <w:pStyle w:val="4"/>
        <w:outlineLvl w:val="2"/>
      </w:pPr>
      <w:r>
        <w:rPr>
          <w:b/>
          <w:sz w:val="28"/>
        </w:rPr>
        <w:t>3.3、商务要求</w:t>
      </w:r>
    </w:p>
    <w:p>
      <w:pPr>
        <w:pStyle w:val="4"/>
        <w:outlineLvl w:val="3"/>
      </w:pPr>
      <w:r>
        <w:rPr>
          <w:b/>
          <w:sz w:val="24"/>
        </w:rPr>
        <w:t>3.3.1服务期限</w:t>
      </w:r>
    </w:p>
    <w:p>
      <w:pPr>
        <w:pStyle w:val="4"/>
      </w:pPr>
    </w:p>
    <w:p>
      <w:pPr>
        <w:pStyle w:val="4"/>
      </w:pPr>
    </w:p>
    <w:p>
      <w:pPr>
        <w:pStyle w:val="4"/>
      </w:pPr>
    </w:p>
    <w:p>
      <w:pPr>
        <w:pStyle w:val="4"/>
      </w:pPr>
      <w:r>
        <w:t>采购包1：</w:t>
      </w:r>
    </w:p>
    <w:p>
      <w:pPr>
        <w:pStyle w:val="4"/>
      </w:pPr>
      <w:r>
        <w:t xml:space="preserve"> 自合同签订之日起120日</w:t>
      </w:r>
    </w:p>
    <w:p>
      <w:pPr>
        <w:pStyle w:val="4"/>
        <w:outlineLvl w:val="3"/>
      </w:pPr>
      <w:r>
        <w:rPr>
          <w:b/>
          <w:sz w:val="24"/>
        </w:rPr>
        <w:t>3.3.2服务地点</w:t>
      </w:r>
    </w:p>
    <w:p>
      <w:pPr>
        <w:pStyle w:val="4"/>
      </w:pPr>
    </w:p>
    <w:p>
      <w:pPr>
        <w:pStyle w:val="4"/>
      </w:pPr>
    </w:p>
    <w:p>
      <w:pPr>
        <w:pStyle w:val="4"/>
      </w:pPr>
    </w:p>
    <w:p>
      <w:pPr>
        <w:pStyle w:val="4"/>
      </w:pPr>
      <w:r>
        <w:t>采购包1：</w:t>
      </w:r>
    </w:p>
    <w:p>
      <w:pPr>
        <w:pStyle w:val="4"/>
      </w:pPr>
      <w:r>
        <w:t>雅安市汉源县</w:t>
      </w:r>
    </w:p>
    <w:p>
      <w:pPr>
        <w:pStyle w:val="4"/>
        <w:outlineLvl w:val="3"/>
      </w:pPr>
      <w:r>
        <w:rPr>
          <w:b/>
          <w:sz w:val="24"/>
        </w:rPr>
        <w:t>3.3.3考核（验收）标准和方法</w:t>
      </w:r>
    </w:p>
    <w:p>
      <w:pPr>
        <w:pStyle w:val="4"/>
      </w:pPr>
    </w:p>
    <w:p>
      <w:pPr>
        <w:pStyle w:val="4"/>
      </w:pPr>
    </w:p>
    <w:p>
      <w:pPr>
        <w:pStyle w:val="4"/>
      </w:pPr>
    </w:p>
    <w:p>
      <w:pPr>
        <w:pStyle w:val="4"/>
      </w:pPr>
      <w:r>
        <w:t>采购包1：</w:t>
      </w:r>
    </w:p>
    <w:p>
      <w:pPr>
        <w:pStyle w:val="4"/>
      </w:pPr>
      <w:r>
        <w:t>(一)本项目现场验收由采购方组织，供应商配合进行。采购人邀请专家参与验收，相关验收意见作为验收的参考资料。 (二)服务在乙方通知履约完成后5日内组织验收。 (三)验收标准：按国家有关规定以及采购文件的质量要求和技术指标(包括每一项技术和商务要求的履约情况)、乙方的响应文件及承诺与本合同约定标准进行验收；甲乙双方如对质量要求和技术指标的约定标准有相互抵触或异议的事项，由甲方在磋商文件中按质量要求和技术指标比较优胜的原则确定该项的约定标准进行验收； (四)验收时如发现所提交的成果不符合标准及本合同规定之情形者，甲方应做出详尽的现场记录，或由甲乙双方签署备忘录，此现场记录或备忘录可用作补充、缺失和整改的有效证据，由此产生的时间延误与有关费用由乙方承担，验收期限相应顺延； (五)如验收合格，双方签署验收报告。 (六)其他未尽事宜应严格按照《财政部关于进一步加强政府采购需求和履约验收管理的指导意见》(财库〔2016〕205号)、《政府采购需求管理办法》（财库〔2021〕22号）、《雅安市财政局关于规范政府采购履约验收工作的通知》（雅财采〔2021〕50号）和磋商文件相关要求进行验收。</w:t>
      </w:r>
    </w:p>
    <w:p>
      <w:pPr>
        <w:pStyle w:val="4"/>
        <w:jc w:val="left"/>
        <w:outlineLvl w:val="3"/>
      </w:pPr>
      <w:r>
        <w:rPr>
          <w:b/>
          <w:sz w:val="24"/>
        </w:rPr>
        <w:t>3.3.4支付方式</w:t>
      </w:r>
    </w:p>
    <w:p>
      <w:pPr>
        <w:pStyle w:val="4"/>
      </w:pPr>
    </w:p>
    <w:p>
      <w:pPr>
        <w:pStyle w:val="4"/>
      </w:pPr>
    </w:p>
    <w:p>
      <w:pPr>
        <w:pStyle w:val="4"/>
      </w:pPr>
    </w:p>
    <w:p>
      <w:pPr>
        <w:pStyle w:val="4"/>
      </w:pPr>
      <w:r>
        <w:t>采购包1：</w:t>
      </w:r>
    </w:p>
    <w:p>
      <w:pPr>
        <w:pStyle w:val="4"/>
      </w:pPr>
      <w:r>
        <w:t>分期付款</w:t>
      </w:r>
    </w:p>
    <w:p>
      <w:pPr>
        <w:pStyle w:val="4"/>
        <w:outlineLvl w:val="3"/>
      </w:pPr>
      <w:r>
        <w:rPr>
          <w:b/>
          <w:sz w:val="24"/>
        </w:rPr>
        <w:t>3.3.5支付约定</w:t>
      </w:r>
    </w:p>
    <w:p>
      <w:pPr>
        <w:pStyle w:val="4"/>
      </w:pPr>
    </w:p>
    <w:p>
      <w:pPr>
        <w:pStyle w:val="4"/>
      </w:pPr>
    </w:p>
    <w:p>
      <w:pPr>
        <w:pStyle w:val="4"/>
      </w:pPr>
    </w:p>
    <w:p>
      <w:pPr>
        <w:pStyle w:val="4"/>
      </w:pPr>
      <w:r>
        <w:t>采购包1： 付款条件说明： 采购人在签订采购合同并生效之日起 ，达到付款条件起 5 日内，支付合同总金额的 40.00%。</w:t>
      </w:r>
    </w:p>
    <w:p>
      <w:pPr>
        <w:pStyle w:val="4"/>
      </w:pPr>
      <w:r>
        <w:t>采购包1： 付款条件说明： 完成成果并提交采购人后 ，达到付款条件起 10 日内，支付合同总金额的 40.00%。</w:t>
      </w:r>
    </w:p>
    <w:p>
      <w:pPr>
        <w:pStyle w:val="4"/>
      </w:pPr>
      <w:r>
        <w:t>采购包1： 付款条件说明： 项目整体通过验收后 ，达到付款条件起 10 日内，支付合同总金额的 20.00%。</w:t>
      </w:r>
    </w:p>
    <w:p>
      <w:pPr>
        <w:pStyle w:val="4"/>
        <w:outlineLvl w:val="3"/>
      </w:pPr>
      <w:r>
        <w:rPr>
          <w:b/>
          <w:sz w:val="24"/>
        </w:rPr>
        <w:t>3.3.6违约责任及解决争议的方法</w:t>
      </w:r>
    </w:p>
    <w:p>
      <w:pPr>
        <w:pStyle w:val="4"/>
      </w:pPr>
    </w:p>
    <w:p>
      <w:pPr>
        <w:pStyle w:val="4"/>
      </w:pPr>
    </w:p>
    <w:p>
      <w:pPr>
        <w:pStyle w:val="4"/>
      </w:pPr>
    </w:p>
    <w:p>
      <w:pPr>
        <w:pStyle w:val="4"/>
      </w:pPr>
      <w:r>
        <w:t>采购包1：</w:t>
      </w:r>
    </w:p>
    <w:p>
      <w:pPr>
        <w:pStyle w:val="4"/>
      </w:pPr>
      <w:r>
        <w:t>(一)甲方违约责任 1.甲方应遵守本合同并执行合同中的各项规定，保证本合同的正常履行。 2.甲方逾期支付服务合同款项的，除应及时付足合同款项外，应向乙方偿付欠款总额万分之一/天的违约金；逾期付款超过120天的，乙方有权终止合同； 3.甲方偿付的违约金不足以弥补乙方损失的，还应按乙方经济损失尚未弥补的部分，支付赔偿金给乙方。 (二)乙方违约责任 1.乙方必须遵守采购合同并执行合同中的各项规定，保证采购合同的正常履行。 2.如因乙方工作人员在履行职务过程中的疏忽、失职、过错等故意或者过失原因给甲方造成损失或侵害，包括但不限于甲方本身的财产损失、由此而导致的甲方对任何第三方的法律责任等，乙方对此均应承担全部的赔偿责任。 3.乙方不能按时提供服务（成果）或逾期提供的而违约的，除应及时提供服务外，应向甲方偿付逾期提供部分服务总额的万分之一/天的违约金；逾期超过15天，甲方有权终止合同，乙方则应按合同总价的百分之一的款额向甲方偿付违约金，并须全额退还甲方已经付给乙方的服务费及其利息。 4.乙方在履约过程中，服务经甲方考核不合格的，甲方有权要求乙方整改，乙方三次整改仍不符合要求的，甲方有权终止合同。 5.乙方应当遵守甲方的相关项目需求及相关技术要求及实质性条款，实施完成采购合同应当完全满足相关项目需求及相关技术要求及实质性条款，若乙方瑕疵履行采购合同，甲方有权向乙方要求赔偿合同总价款20%的违约金，若造成相关损失的，甲方有权要求乙方承担所有赔偿责任。 6.有下列情形之一的，当事人可以解除合同： 　　6.1因不可抗力致使不能实现合同目的(由于非供应商或采购人原因，致使合同实质性条款无法实现的)； 　 6.2当事人一方迟延履行主要债务，经催告后在合理期限内仍未履行； 　　6.3当事人一方迟延履行债务或者有其他违约行为致使不能实现合同目的； 　 6.4法律规定的其他情形。 （三）解决争议办法 本合同产生的争议，由双方协商解决。协商不成的，双方同意将争议提交法院诉讼解决，管辖法院为原告所在地法院。</w:t>
      </w:r>
    </w:p>
    <w:p>
      <w:pPr>
        <w:pStyle w:val="4"/>
        <w:jc w:val="left"/>
        <w:outlineLvl w:val="2"/>
      </w:pPr>
      <w:r>
        <w:rPr>
          <w:b/>
          <w:sz w:val="28"/>
        </w:rPr>
        <w:t>3.4其他要求</w:t>
      </w:r>
    </w:p>
    <w:p>
      <w:pPr>
        <w:pStyle w:val="4"/>
      </w:pPr>
    </w:p>
    <w:p>
      <w:pPr>
        <w:pStyle w:val="4"/>
      </w:pPr>
    </w:p>
    <w:p>
      <w:pPr>
        <w:pStyle w:val="4"/>
      </w:pPr>
      <w:r>
        <w:t>（一）其他要求 1.合同事项 （1）政府采购合同签订时间：①按照《雅安市财政局关于优化政府采购营商环境的通知》雅财采〔2021〕22号要求，采购人应当加快与成交供应商签订政府采购合同，原则上不超过10个工作日，因情况特殊须确保在成交通知书发出后30日法定期限内及时签订采购合同。②采购人因不可抗力原因迟延签订合同的，应当自不可抗力事由消除之日起7日内完成合同签订事宜。采购人可通过完善内部流程进一步缩短合同签订期限。采购人可通过完善内部流程进一步缩短合同签订期限。 （2）政府采购合同的双方当事人不得擅自变更合同，依照政府采购法确需变更政府采购合同内容的，采购人应当自合同变更之日起2个工作日内在省级以上财政部门指定的媒体上发布政府采购合同变更公告，但涉及国家秘密、商业秘密的信息和其他依法不得公开的信息除外。政府采购合同变更公告应当包括原合同编号、名称和文本，原合同变更的条款号，变更后作为原合同组成部分的补充合同文本，合同变更时间，变更公告日期等。 2.本项目服务人员工作期间的疾病和人身安全、安全责任事故、人事关系、劳务纠纷等都由成交供应商自行负责，采购人不负任何直接或间接责任（供应商应在响应文件中提供承诺函进行响应，格式自拟）。 3.供应商应严格执行《中华人民共和国民法典》、《中华人民共和国劳动合同法》及项目所在地最低工资标准等相关法律、法规并依法与服务人员签订劳动合同，并办理各种用工手续，如因用工不当，给采购人及服务人员造成的损失由供应商承担（供应商应在响应文件中提供承诺函进行响应，格式自拟）。 4.供应商在项目执行过程中定期及时向采购人通告本项目供货的重大事项及其进度。 5.接受项目行业管理部门及政府有关部门的指导，接受采购人的监督。 6.本项目采购过程和合同履行过程中的风险严格按照采购人的风险控制管理要求执行。 （二）供应商投诉 投诉受理单位：汉源县财政局 联系电话：0835-4229282 地址： 四川省雅安市汉源县富林大道二段112号 邮编：625300 注：①供应商投诉应当有明确的请求和必要的证明材料。供应商投诉的事项不得超出已质疑事项的范围，须符合《政府采购质疑和投诉办法》(财政部令第94号)规定，并使用财政部下发《投诉书》范本，格式详见附件。②供应商可通过在线、现场、邮寄、邮箱等多种方式提起投诉。</w:t>
      </w:r>
    </w:p>
    <w:p>
      <w:pPr>
        <w:pStyle w:val="4"/>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FiZTc4N2NiN2Q3YzI0ODg5ZTQ4YmU2NzY0ZDc3MjMifQ=="/>
  </w:docVars>
  <w:rsids>
    <w:rsidRoot w:val="262B089B"/>
    <w:rsid w:val="262B08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null3"/>
    <w:autoRedefine/>
    <w:hidden/>
    <w:qFormat/>
    <w:uiPriority w:val="0"/>
    <w:rPr>
      <w:rFonts w:hint="eastAsia" w:asciiTheme="minorHAnsi" w:hAnsiTheme="minorHAnsi" w:eastAsiaTheme="minorEastAsia" w:cstheme="minorBidi"/>
      <w:lang w:val="en-US" w:eastAsia="zh-Han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15</Pages>
  <Words>0</Words>
  <Characters>0</Characters>
  <Lines>0</Lines>
  <Paragraphs>0</Paragraphs>
  <TotalTime>0</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2024-04-19T06:36:00Z</dcterms:created>
  <dc:creator>雷艳</dc:creator>
  <cp:lastModifiedBy>雷艳</cp:lastModifiedBy>
  <dcterms:modified xsi:type="dcterms:W3CDTF">2024-04-19T06:36:50Z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0DDD9CC098D74F6088151C1BA111D23F_11</vt:lpwstr>
  </property>
</Properties>
</file>