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15"/>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15"/>
        <w:outlineLvl w:val="2"/>
      </w:pPr>
      <w:r>
        <w:rPr>
          <w:b/>
          <w:sz w:val="28"/>
        </w:rPr>
        <w:t>3.1采购项目概况</w:t>
      </w:r>
    </w:p>
    <w:p>
      <w:pPr>
        <w:pStyle w:val="15"/>
        <w:ind w:firstLine="480"/>
      </w:pPr>
    </w:p>
    <w:p>
      <w:pPr>
        <w:pStyle w:val="15"/>
      </w:pPr>
    </w:p>
    <w:p>
      <w:pPr>
        <w:pStyle w:val="15"/>
      </w:pPr>
      <w:r>
        <w:t>汉源县住房和城乡建设局拟采购转运大型生活垃圾设施设备一批，以满足汉源县大型生活垃圾转运工作。</w:t>
      </w:r>
    </w:p>
    <w:p>
      <w:pPr>
        <w:pStyle w:val="15"/>
        <w:outlineLvl w:val="2"/>
      </w:pPr>
      <w:r>
        <w:rPr>
          <w:b/>
          <w:sz w:val="28"/>
        </w:rPr>
        <w:t>3.2采购内容</w:t>
      </w:r>
    </w:p>
    <w:p>
      <w:pPr>
        <w:pStyle w:val="15"/>
        <w:outlineLvl w:val="3"/>
      </w:pPr>
      <w:r>
        <w:rPr>
          <w:b/>
          <w:sz w:val="24"/>
        </w:rPr>
        <w:t>3.2.1标的清单</w:t>
      </w:r>
    </w:p>
    <w:p>
      <w:pPr>
        <w:pStyle w:val="15"/>
      </w:pPr>
    </w:p>
    <w:p>
      <w:pPr>
        <w:pStyle w:val="15"/>
      </w:pPr>
    </w:p>
    <w:p>
      <w:pPr>
        <w:pStyle w:val="15"/>
      </w:pPr>
      <w:r>
        <w:t>采购包1：</w:t>
      </w:r>
    </w:p>
    <w:p>
      <w:pPr>
        <w:pStyle w:val="15"/>
      </w:pPr>
      <w:r>
        <w:t>采购包预算金额（元）: 4,005,000.00</w:t>
      </w:r>
    </w:p>
    <w:p>
      <w:pPr>
        <w:pStyle w:val="15"/>
      </w:pPr>
      <w:r>
        <w:t>采购包最高限价（元）: 4,005,000.00</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序号</w:t>
            </w:r>
          </w:p>
        </w:tc>
        <w:tc>
          <w:tcPr>
            <w:tcW w:w="1271" w:type="dxa"/>
          </w:tcPr>
          <w:p>
            <w:pPr>
              <w:pStyle w:val="15"/>
            </w:pPr>
            <w:r>
              <w:t>标的名称</w:t>
            </w:r>
          </w:p>
        </w:tc>
        <w:tc>
          <w:tcPr>
            <w:tcW w:w="848" w:type="dxa"/>
          </w:tcPr>
          <w:p>
            <w:pPr>
              <w:pStyle w:val="15"/>
            </w:pPr>
            <w:r>
              <w:t>数量</w:t>
            </w:r>
          </w:p>
        </w:tc>
        <w:tc>
          <w:tcPr>
            <w:tcW w:w="1356" w:type="dxa"/>
          </w:tcPr>
          <w:p>
            <w:pPr>
              <w:pStyle w:val="15"/>
            </w:pPr>
            <w:r>
              <w:t>标的金额 （元）</w:t>
            </w:r>
          </w:p>
        </w:tc>
        <w:tc>
          <w:tcPr>
            <w:tcW w:w="678" w:type="dxa"/>
          </w:tcPr>
          <w:p>
            <w:pPr>
              <w:pStyle w:val="15"/>
            </w:pPr>
            <w:r>
              <w:t>计量单位</w:t>
            </w:r>
          </w:p>
        </w:tc>
        <w:tc>
          <w:tcPr>
            <w:tcW w:w="678" w:type="dxa"/>
          </w:tcPr>
          <w:p>
            <w:pPr>
              <w:pStyle w:val="15"/>
            </w:pPr>
            <w:r>
              <w:t>所属行业</w:t>
            </w:r>
          </w:p>
        </w:tc>
        <w:tc>
          <w:tcPr>
            <w:tcW w:w="593" w:type="dxa"/>
          </w:tcPr>
          <w:p>
            <w:pPr>
              <w:pStyle w:val="15"/>
            </w:pPr>
            <w:r>
              <w:t>是否涉及核心产品</w:t>
            </w:r>
          </w:p>
        </w:tc>
        <w:tc>
          <w:tcPr>
            <w:tcW w:w="678" w:type="dxa"/>
          </w:tcPr>
          <w:p>
            <w:pPr>
              <w:pStyle w:val="15"/>
            </w:pPr>
            <w:r>
              <w:t>是否涉及采购进口产品</w:t>
            </w:r>
          </w:p>
        </w:tc>
        <w:tc>
          <w:tcPr>
            <w:tcW w:w="678" w:type="dxa"/>
          </w:tcPr>
          <w:p>
            <w:pPr>
              <w:pStyle w:val="15"/>
            </w:pPr>
            <w:r>
              <w:t>是否涉及采购节能产品</w:t>
            </w:r>
          </w:p>
        </w:tc>
        <w:tc>
          <w:tcPr>
            <w:tcW w:w="848" w:type="dxa"/>
          </w:tcPr>
          <w:p>
            <w:pPr>
              <w:pStyle w:val="1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1</w:t>
            </w:r>
          </w:p>
        </w:tc>
        <w:tc>
          <w:tcPr>
            <w:tcW w:w="1271" w:type="dxa"/>
          </w:tcPr>
          <w:p>
            <w:pPr>
              <w:pStyle w:val="15"/>
            </w:pPr>
            <w:r>
              <w:t>B型生活垃圾转运集装箱</w:t>
            </w:r>
          </w:p>
        </w:tc>
        <w:tc>
          <w:tcPr>
            <w:tcW w:w="848" w:type="dxa"/>
          </w:tcPr>
          <w:p>
            <w:pPr>
              <w:pStyle w:val="15"/>
              <w:jc w:val="right"/>
            </w:pPr>
            <w:r>
              <w:t>3.00</w:t>
            </w:r>
          </w:p>
        </w:tc>
        <w:tc>
          <w:tcPr>
            <w:tcW w:w="1356" w:type="dxa"/>
          </w:tcPr>
          <w:p>
            <w:pPr>
              <w:pStyle w:val="15"/>
              <w:jc w:val="right"/>
            </w:pPr>
            <w:r>
              <w:t>450,000.00</w:t>
            </w:r>
          </w:p>
        </w:tc>
        <w:tc>
          <w:tcPr>
            <w:tcW w:w="678" w:type="dxa"/>
          </w:tcPr>
          <w:p>
            <w:pPr>
              <w:pStyle w:val="15"/>
            </w:pPr>
            <w:r>
              <w:t>个</w:t>
            </w:r>
          </w:p>
        </w:tc>
        <w:tc>
          <w:tcPr>
            <w:tcW w:w="678" w:type="dxa"/>
          </w:tcPr>
          <w:p>
            <w:pPr>
              <w:pStyle w:val="15"/>
            </w:pPr>
            <w:r>
              <w:t>工业</w:t>
            </w:r>
          </w:p>
        </w:tc>
        <w:tc>
          <w:tcPr>
            <w:tcW w:w="593" w:type="dxa"/>
          </w:tcPr>
          <w:p>
            <w:pPr>
              <w:pStyle w:val="15"/>
            </w:pPr>
            <w:r>
              <w:t>否</w:t>
            </w:r>
          </w:p>
        </w:tc>
        <w:tc>
          <w:tcPr>
            <w:tcW w:w="678" w:type="dxa"/>
          </w:tcPr>
          <w:p>
            <w:pPr>
              <w:pStyle w:val="15"/>
            </w:pPr>
            <w:r>
              <w:t>否</w:t>
            </w:r>
          </w:p>
        </w:tc>
        <w:tc>
          <w:tcPr>
            <w:tcW w:w="678" w:type="dxa"/>
          </w:tcPr>
          <w:p>
            <w:pPr>
              <w:pStyle w:val="15"/>
            </w:pPr>
            <w:r>
              <w:t>否</w:t>
            </w:r>
          </w:p>
        </w:tc>
        <w:tc>
          <w:tcPr>
            <w:tcW w:w="848" w:type="dxa"/>
          </w:tcPr>
          <w:p>
            <w:pPr>
              <w:pStyle w:val="15"/>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2</w:t>
            </w:r>
          </w:p>
        </w:tc>
        <w:tc>
          <w:tcPr>
            <w:tcW w:w="1271" w:type="dxa"/>
          </w:tcPr>
          <w:p>
            <w:pPr>
              <w:pStyle w:val="15"/>
            </w:pPr>
            <w:r>
              <w:t>A型生活垃圾转运集装箱</w:t>
            </w:r>
          </w:p>
        </w:tc>
        <w:tc>
          <w:tcPr>
            <w:tcW w:w="848" w:type="dxa"/>
          </w:tcPr>
          <w:p>
            <w:pPr>
              <w:pStyle w:val="15"/>
              <w:jc w:val="right"/>
            </w:pPr>
            <w:r>
              <w:t>10.00</w:t>
            </w:r>
          </w:p>
        </w:tc>
        <w:tc>
          <w:tcPr>
            <w:tcW w:w="1356" w:type="dxa"/>
          </w:tcPr>
          <w:p>
            <w:pPr>
              <w:pStyle w:val="15"/>
              <w:jc w:val="right"/>
            </w:pPr>
            <w:r>
              <w:t>1,500,000.00</w:t>
            </w:r>
          </w:p>
        </w:tc>
        <w:tc>
          <w:tcPr>
            <w:tcW w:w="678" w:type="dxa"/>
          </w:tcPr>
          <w:p>
            <w:pPr>
              <w:pStyle w:val="15"/>
            </w:pPr>
            <w:r>
              <w:t>个</w:t>
            </w:r>
          </w:p>
        </w:tc>
        <w:tc>
          <w:tcPr>
            <w:tcW w:w="678" w:type="dxa"/>
          </w:tcPr>
          <w:p>
            <w:pPr>
              <w:pStyle w:val="15"/>
            </w:pPr>
            <w:r>
              <w:t>工业</w:t>
            </w:r>
          </w:p>
        </w:tc>
        <w:tc>
          <w:tcPr>
            <w:tcW w:w="593" w:type="dxa"/>
          </w:tcPr>
          <w:p>
            <w:pPr>
              <w:pStyle w:val="15"/>
            </w:pPr>
            <w:r>
              <w:t>否</w:t>
            </w:r>
          </w:p>
        </w:tc>
        <w:tc>
          <w:tcPr>
            <w:tcW w:w="678" w:type="dxa"/>
          </w:tcPr>
          <w:p>
            <w:pPr>
              <w:pStyle w:val="15"/>
            </w:pPr>
            <w:r>
              <w:t>否</w:t>
            </w:r>
          </w:p>
        </w:tc>
        <w:tc>
          <w:tcPr>
            <w:tcW w:w="678" w:type="dxa"/>
          </w:tcPr>
          <w:p>
            <w:pPr>
              <w:pStyle w:val="15"/>
            </w:pPr>
            <w:r>
              <w:t>否</w:t>
            </w:r>
          </w:p>
        </w:tc>
        <w:tc>
          <w:tcPr>
            <w:tcW w:w="848" w:type="dxa"/>
          </w:tcPr>
          <w:p>
            <w:pPr>
              <w:pStyle w:val="15"/>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3</w:t>
            </w:r>
          </w:p>
        </w:tc>
        <w:tc>
          <w:tcPr>
            <w:tcW w:w="1271" w:type="dxa"/>
          </w:tcPr>
          <w:p>
            <w:pPr>
              <w:pStyle w:val="15"/>
            </w:pPr>
            <w:r>
              <w:t>车厢可卸式垃圾车</w:t>
            </w:r>
          </w:p>
        </w:tc>
        <w:tc>
          <w:tcPr>
            <w:tcW w:w="848" w:type="dxa"/>
          </w:tcPr>
          <w:p>
            <w:pPr>
              <w:pStyle w:val="15"/>
              <w:jc w:val="right"/>
            </w:pPr>
            <w:r>
              <w:t>3.00</w:t>
            </w:r>
          </w:p>
        </w:tc>
        <w:tc>
          <w:tcPr>
            <w:tcW w:w="1356" w:type="dxa"/>
          </w:tcPr>
          <w:p>
            <w:pPr>
              <w:pStyle w:val="15"/>
              <w:jc w:val="right"/>
            </w:pPr>
            <w:r>
              <w:t>2,055,000.00</w:t>
            </w:r>
          </w:p>
        </w:tc>
        <w:tc>
          <w:tcPr>
            <w:tcW w:w="678" w:type="dxa"/>
          </w:tcPr>
          <w:p>
            <w:pPr>
              <w:pStyle w:val="15"/>
            </w:pPr>
            <w:r>
              <w:t>辆</w:t>
            </w:r>
          </w:p>
        </w:tc>
        <w:tc>
          <w:tcPr>
            <w:tcW w:w="678" w:type="dxa"/>
          </w:tcPr>
          <w:p>
            <w:pPr>
              <w:pStyle w:val="15"/>
            </w:pPr>
            <w:r>
              <w:t>工业</w:t>
            </w:r>
          </w:p>
        </w:tc>
        <w:tc>
          <w:tcPr>
            <w:tcW w:w="593" w:type="dxa"/>
          </w:tcPr>
          <w:p>
            <w:pPr>
              <w:pStyle w:val="15"/>
            </w:pPr>
            <w:r>
              <w:t>是</w:t>
            </w:r>
          </w:p>
        </w:tc>
        <w:tc>
          <w:tcPr>
            <w:tcW w:w="678" w:type="dxa"/>
          </w:tcPr>
          <w:p>
            <w:pPr>
              <w:pStyle w:val="15"/>
            </w:pPr>
            <w:r>
              <w:t>否</w:t>
            </w:r>
          </w:p>
        </w:tc>
        <w:tc>
          <w:tcPr>
            <w:tcW w:w="678" w:type="dxa"/>
          </w:tcPr>
          <w:p>
            <w:pPr>
              <w:pStyle w:val="15"/>
            </w:pPr>
            <w:r>
              <w:t>否</w:t>
            </w:r>
          </w:p>
        </w:tc>
        <w:tc>
          <w:tcPr>
            <w:tcW w:w="848" w:type="dxa"/>
          </w:tcPr>
          <w:p>
            <w:pPr>
              <w:pStyle w:val="15"/>
            </w:pPr>
            <w:r>
              <w:t>否</w:t>
            </w:r>
          </w:p>
        </w:tc>
      </w:tr>
    </w:tbl>
    <w:p>
      <w:pPr>
        <w:pStyle w:val="15"/>
        <w:outlineLvl w:val="2"/>
      </w:pPr>
      <w:r>
        <w:rPr>
          <w:b/>
          <w:sz w:val="28"/>
        </w:rPr>
        <w:t>3.3技术要求</w:t>
      </w:r>
    </w:p>
    <w:p>
      <w:pPr>
        <w:pStyle w:val="15"/>
      </w:pPr>
    </w:p>
    <w:p>
      <w:pPr>
        <w:pStyle w:val="15"/>
      </w:pPr>
    </w:p>
    <w:p>
      <w:pPr>
        <w:pStyle w:val="15"/>
      </w:pPr>
    </w:p>
    <w:p>
      <w:pPr>
        <w:pStyle w:val="15"/>
      </w:pPr>
      <w:r>
        <w:t>采购包1：</w:t>
      </w:r>
    </w:p>
    <w:p>
      <w:pPr>
        <w:pStyle w:val="15"/>
      </w:pPr>
    </w:p>
    <w:p>
      <w:pPr>
        <w:pStyle w:val="15"/>
      </w:pPr>
      <w:r>
        <w:t>标的名称：B型生活垃圾转运集装箱</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1</w:t>
            </w:r>
          </w:p>
        </w:tc>
        <w:tc>
          <w:tcPr>
            <w:tcW w:w="2769" w:type="dxa"/>
          </w:tcPr>
          <w:p>
            <w:pPr>
              <w:pStyle w:val="15"/>
              <w:jc w:val="left"/>
            </w:pPr>
          </w:p>
          <w:p>
            <w:pPr>
              <w:pStyle w:val="15"/>
              <w:jc w:val="left"/>
            </w:pPr>
            <w:r>
              <w:rPr>
                <w:rFonts w:ascii="宋体" w:hAnsi="宋体" w:eastAsia="宋体" w:cs="宋体"/>
                <w:sz w:val="20"/>
              </w:rPr>
              <w:t>★</w:t>
            </w:r>
            <w:r>
              <w:rPr>
                <w:rFonts w:ascii="Calibri" w:hAnsi="Calibri" w:eastAsia="Calibri" w:cs="Calibri"/>
                <w:sz w:val="20"/>
              </w:rPr>
              <w:t>1.</w:t>
            </w:r>
            <w:r>
              <w:rPr>
                <w:rFonts w:ascii="宋体" w:hAnsi="宋体" w:eastAsia="宋体" w:cs="宋体"/>
                <w:sz w:val="20"/>
              </w:rPr>
              <w:t>箱体规格：全骨架式，外部采用竖向加强结构，整箱焊接处采用满焊方式；（投标人须在投标文件中提供设计图纸）</w:t>
            </w:r>
          </w:p>
          <w:p>
            <w:pPr>
              <w:pStyle w:val="15"/>
              <w:jc w:val="left"/>
            </w:pPr>
            <w:r>
              <w:rPr>
                <w:rFonts w:ascii="宋体" w:hAnsi="宋体" w:eastAsia="宋体" w:cs="宋体"/>
                <w:sz w:val="20"/>
              </w:rPr>
              <w:t>★</w:t>
            </w:r>
            <w:r>
              <w:rPr>
                <w:rFonts w:ascii="Calibri" w:hAnsi="Calibri" w:eastAsia="Calibri" w:cs="Calibri"/>
                <w:sz w:val="20"/>
              </w:rPr>
              <w:t>2.</w:t>
            </w:r>
            <w:r>
              <w:rPr>
                <w:rFonts w:ascii="宋体" w:hAnsi="宋体" w:eastAsia="宋体" w:cs="宋体"/>
                <w:sz w:val="20"/>
              </w:rPr>
              <w:t>箱体容积：≥</w:t>
            </w:r>
            <w:r>
              <w:rPr>
                <w:rFonts w:ascii="Calibri" w:hAnsi="Calibri" w:eastAsia="Calibri" w:cs="Calibri"/>
                <w:sz w:val="20"/>
              </w:rPr>
              <w:t>28m</w:t>
            </w:r>
            <w:r>
              <w:rPr>
                <w:rFonts w:ascii="Calibri" w:hAnsi="Calibri" w:eastAsia="Calibri" w:cs="Calibri"/>
                <w:sz w:val="20"/>
                <w:vertAlign w:val="superscript"/>
              </w:rPr>
              <w:t>3</w:t>
            </w:r>
            <w:r>
              <w:rPr>
                <w:rFonts w:ascii="Calibri" w:hAnsi="Calibri" w:eastAsia="Calibri" w:cs="Calibri"/>
                <w:sz w:val="20"/>
              </w:rPr>
              <w:t>;</w:t>
            </w:r>
            <w:r>
              <w:rPr>
                <w:rFonts w:ascii="宋体" w:hAnsi="宋体" w:eastAsia="宋体" w:cs="宋体"/>
                <w:sz w:val="20"/>
              </w:rPr>
              <w:t>（投标人须在投标文件中提供设计图纸）</w:t>
            </w:r>
          </w:p>
          <w:p>
            <w:pPr>
              <w:pStyle w:val="15"/>
              <w:jc w:val="left"/>
            </w:pPr>
            <w:r>
              <w:rPr>
                <w:rFonts w:ascii="宋体" w:hAnsi="宋体" w:eastAsia="宋体" w:cs="宋体"/>
                <w:sz w:val="20"/>
              </w:rPr>
              <w:t>★</w:t>
            </w:r>
            <w:r>
              <w:rPr>
                <w:rFonts w:ascii="Calibri" w:hAnsi="Calibri" w:eastAsia="Calibri" w:cs="Calibri"/>
                <w:sz w:val="20"/>
              </w:rPr>
              <w:t>3.</w:t>
            </w:r>
            <w:r>
              <w:rPr>
                <w:rFonts w:ascii="宋体" w:hAnsi="宋体" w:eastAsia="宋体" w:cs="宋体"/>
                <w:sz w:val="20"/>
              </w:rPr>
              <w:t>外形尺寸（长</w:t>
            </w:r>
            <w:r>
              <w:rPr>
                <w:rFonts w:ascii="Calibri" w:hAnsi="Calibri" w:eastAsia="Calibri" w:cs="Calibri"/>
                <w:sz w:val="20"/>
              </w:rPr>
              <w:t xml:space="preserve">x </w:t>
            </w:r>
            <w:r>
              <w:rPr>
                <w:rFonts w:ascii="宋体" w:hAnsi="宋体" w:eastAsia="宋体" w:cs="宋体"/>
                <w:sz w:val="20"/>
              </w:rPr>
              <w:t xml:space="preserve">宽 </w:t>
            </w:r>
            <w:r>
              <w:rPr>
                <w:rFonts w:ascii="Calibri" w:hAnsi="Calibri" w:eastAsia="Calibri" w:cs="Calibri"/>
                <w:sz w:val="20"/>
              </w:rPr>
              <w:t xml:space="preserve">x </w:t>
            </w:r>
            <w:r>
              <w:rPr>
                <w:rFonts w:ascii="宋体" w:hAnsi="宋体" w:eastAsia="宋体" w:cs="宋体"/>
                <w:sz w:val="20"/>
              </w:rPr>
              <w:t>高）</w:t>
            </w:r>
            <w:r>
              <w:rPr>
                <w:rFonts w:ascii="Calibri" w:hAnsi="Calibri" w:eastAsia="Calibri" w:cs="Calibri"/>
                <w:sz w:val="20"/>
              </w:rPr>
              <w:t>:</w:t>
            </w:r>
            <w:r>
              <w:rPr>
                <w:rFonts w:ascii="宋体" w:hAnsi="宋体" w:eastAsia="宋体" w:cs="宋体"/>
                <w:sz w:val="20"/>
              </w:rPr>
              <w:t>≥</w:t>
            </w:r>
            <w:r>
              <w:rPr>
                <w:rFonts w:ascii="Calibri" w:hAnsi="Calibri" w:eastAsia="Calibri" w:cs="Calibri"/>
                <w:sz w:val="20"/>
              </w:rPr>
              <w:t>7100x2500x2380mm;</w:t>
            </w:r>
            <w:r>
              <w:rPr>
                <w:rFonts w:ascii="宋体" w:hAnsi="宋体" w:eastAsia="宋体" w:cs="宋体"/>
                <w:sz w:val="20"/>
              </w:rPr>
              <w:t>（投标人须在投标文件中提供设计图纸）</w:t>
            </w:r>
          </w:p>
          <w:p>
            <w:pPr>
              <w:pStyle w:val="15"/>
              <w:jc w:val="left"/>
            </w:pPr>
            <w:r>
              <w:rPr>
                <w:rFonts w:ascii="宋体" w:hAnsi="宋体" w:eastAsia="宋体" w:cs="宋体"/>
                <w:sz w:val="20"/>
              </w:rPr>
              <w:t>★</w:t>
            </w:r>
            <w:r>
              <w:rPr>
                <w:rFonts w:ascii="Calibri" w:hAnsi="Calibri" w:eastAsia="Calibri" w:cs="Calibri"/>
                <w:sz w:val="20"/>
              </w:rPr>
              <w:t>4.</w:t>
            </w:r>
            <w:r>
              <w:rPr>
                <w:rFonts w:ascii="宋体" w:hAnsi="宋体" w:eastAsia="宋体" w:cs="宋体"/>
                <w:sz w:val="20"/>
              </w:rPr>
              <w:t>设备重量：≥</w:t>
            </w:r>
            <w:r>
              <w:rPr>
                <w:rFonts w:ascii="Calibri" w:hAnsi="Calibri" w:eastAsia="Calibri" w:cs="Calibri"/>
                <w:sz w:val="20"/>
              </w:rPr>
              <w:t>5200KG;</w:t>
            </w:r>
          </w:p>
          <w:p>
            <w:pPr>
              <w:pStyle w:val="15"/>
              <w:jc w:val="left"/>
            </w:pPr>
            <w:r>
              <w:rPr>
                <w:rFonts w:ascii="宋体" w:hAnsi="宋体" w:eastAsia="宋体" w:cs="宋体"/>
                <w:sz w:val="20"/>
              </w:rPr>
              <w:t>●</w:t>
            </w:r>
            <w:r>
              <w:rPr>
                <w:rFonts w:ascii="Calibri" w:hAnsi="Calibri" w:eastAsia="Calibri" w:cs="Calibri"/>
                <w:sz w:val="20"/>
              </w:rPr>
              <w:t>5.</w:t>
            </w:r>
            <w:r>
              <w:rPr>
                <w:rFonts w:ascii="宋体" w:hAnsi="宋体" w:eastAsia="宋体" w:cs="宋体"/>
                <w:sz w:val="20"/>
              </w:rPr>
              <w:t>箱体后门：箱体后门采用液压主动开门形式，由液压油缸将箱体后门翻转至箱体顶部后再装料或卸料；</w:t>
            </w:r>
          </w:p>
          <w:p>
            <w:pPr>
              <w:pStyle w:val="15"/>
              <w:jc w:val="left"/>
            </w:pPr>
            <w:r>
              <w:rPr>
                <w:rFonts w:ascii="宋体" w:hAnsi="宋体" w:eastAsia="宋体" w:cs="宋体"/>
                <w:sz w:val="20"/>
              </w:rPr>
              <w:t>●</w:t>
            </w:r>
            <w:r>
              <w:rPr>
                <w:rFonts w:ascii="Calibri" w:hAnsi="Calibri" w:eastAsia="Calibri" w:cs="Calibri"/>
                <w:sz w:val="20"/>
              </w:rPr>
              <w:t>6.</w:t>
            </w:r>
            <w:r>
              <w:rPr>
                <w:rFonts w:ascii="宋体" w:hAnsi="宋体" w:eastAsia="宋体" w:cs="宋体"/>
                <w:sz w:val="20"/>
              </w:rPr>
              <w:t>箱体配套液压管和液压缸固在箱体上面；</w:t>
            </w:r>
          </w:p>
          <w:p>
            <w:pPr>
              <w:pStyle w:val="15"/>
              <w:jc w:val="left"/>
            </w:pPr>
            <w:r>
              <w:rPr>
                <w:rFonts w:ascii="宋体" w:hAnsi="宋体" w:eastAsia="宋体" w:cs="宋体"/>
                <w:sz w:val="20"/>
              </w:rPr>
              <w:t>★</w:t>
            </w:r>
            <w:r>
              <w:rPr>
                <w:rFonts w:ascii="Calibri" w:hAnsi="Calibri" w:eastAsia="Calibri" w:cs="Calibri"/>
                <w:sz w:val="20"/>
              </w:rPr>
              <w:t>7.</w:t>
            </w:r>
            <w:r>
              <w:rPr>
                <w:rFonts w:ascii="宋体" w:hAnsi="宋体" w:eastAsia="宋体" w:cs="宋体"/>
                <w:sz w:val="20"/>
              </w:rPr>
              <w:t>箱体材料：箱体边板、底板、前板、顶板、尾门钢板均采用厚度≥4.8mm的高强度、耐磨、耐腐蚀钢板，性能必须达到国标Q355要求；箱体底部导轨、挂钩处防撞板材料均采用厚度≥8mm特高强度耐磨钢板，性能必须达到国标T700要求，箱体挂钩采用直径≥50mm的Q355圆钢，钢板硬度≥400HB；（投标人须提供具有检测资质的第三方检测机构出具的CMA或CNAS检测报告并加盖投标人公章）</w:t>
            </w:r>
          </w:p>
          <w:p>
            <w:pPr>
              <w:pStyle w:val="15"/>
              <w:jc w:val="left"/>
            </w:pPr>
            <w:r>
              <w:rPr>
                <w:rFonts w:ascii="宋体" w:hAnsi="宋体" w:eastAsia="宋体" w:cs="宋体"/>
                <w:sz w:val="20"/>
              </w:rPr>
              <w:t>★</w:t>
            </w:r>
            <w:r>
              <w:rPr>
                <w:rFonts w:ascii="Calibri" w:hAnsi="Calibri" w:eastAsia="Calibri" w:cs="Calibri"/>
                <w:sz w:val="20"/>
              </w:rPr>
              <w:t>8.</w:t>
            </w:r>
            <w:r>
              <w:rPr>
                <w:rFonts w:ascii="宋体" w:hAnsi="宋体" w:eastAsia="宋体" w:cs="宋体"/>
                <w:sz w:val="20"/>
              </w:rPr>
              <w:t>箱体密封、闸门、卸料：垃圾箱后门采用压入式密封胶条，密封胶条为方形，中间为圆孔；箱体后门设置可拆卸式污水箱，运输过程中出现污水泄漏能防止污水滴漏地面；箱体为全密封式，在装料和运输中无废弃物（如扬尘、废气、废水）排出；采用重力自卸方式，物料在无动力作用下能完全排出；</w:t>
            </w:r>
          </w:p>
          <w:p>
            <w:pPr>
              <w:pStyle w:val="15"/>
            </w:pPr>
            <w:r>
              <w:rPr>
                <w:rFonts w:ascii="宋体" w:hAnsi="宋体" w:eastAsia="宋体" w:cs="宋体"/>
                <w:sz w:val="20"/>
              </w:rPr>
              <w:t>★</w:t>
            </w:r>
            <w:r>
              <w:rPr>
                <w:rFonts w:ascii="Calibri" w:hAnsi="Calibri" w:eastAsia="Calibri" w:cs="Calibri"/>
                <w:sz w:val="20"/>
              </w:rPr>
              <w:t>9.</w:t>
            </w:r>
            <w:r>
              <w:rPr>
                <w:rFonts w:ascii="宋体" w:hAnsi="宋体" w:eastAsia="宋体" w:cs="宋体"/>
                <w:sz w:val="20"/>
              </w:rPr>
              <w:t>箱体防腐：采用环氧树脂玻璃鳞片胶泥防腐技术，抗渗漏性好，耐化学及油污腐蚀，涂膜收缩率低，耐磨损，不变形不起褶；（投标人须在投标文件中提供承诺函，格式自拟）</w:t>
            </w:r>
          </w:p>
          <w:p>
            <w:pPr>
              <w:pStyle w:val="15"/>
              <w:jc w:val="left"/>
            </w:pPr>
            <w:r>
              <w:rPr>
                <w:rFonts w:ascii="宋体" w:hAnsi="宋体" w:eastAsia="宋体" w:cs="宋体"/>
                <w:sz w:val="20"/>
              </w:rPr>
              <w:t>★</w:t>
            </w:r>
            <w:r>
              <w:rPr>
                <w:rFonts w:ascii="Calibri" w:hAnsi="Calibri" w:eastAsia="Calibri" w:cs="Calibri"/>
                <w:sz w:val="20"/>
              </w:rPr>
              <w:t>10.</w:t>
            </w:r>
            <w:r>
              <w:rPr>
                <w:rFonts w:ascii="宋体" w:hAnsi="宋体" w:eastAsia="宋体" w:cs="宋体"/>
                <w:sz w:val="20"/>
              </w:rPr>
              <w:t>箱体必须与采购人本次采购的总质量</w:t>
            </w:r>
            <w:r>
              <w:rPr>
                <w:rFonts w:ascii="Calibri" w:hAnsi="Calibri" w:eastAsia="Calibri" w:cs="Calibri"/>
                <w:sz w:val="20"/>
              </w:rPr>
              <w:t>31</w:t>
            </w:r>
            <w:r>
              <w:rPr>
                <w:rFonts w:ascii="宋体" w:hAnsi="宋体" w:eastAsia="宋体" w:cs="宋体"/>
                <w:sz w:val="20"/>
              </w:rPr>
              <w:t>吨车厢可卸式垃圾车以及现有的总质量</w:t>
            </w:r>
            <w:r>
              <w:rPr>
                <w:rFonts w:ascii="Calibri" w:hAnsi="Calibri" w:eastAsia="Calibri" w:cs="Calibri"/>
                <w:sz w:val="20"/>
              </w:rPr>
              <w:t>31</w:t>
            </w:r>
            <w:r>
              <w:rPr>
                <w:rFonts w:ascii="宋体" w:hAnsi="宋体" w:eastAsia="宋体" w:cs="宋体"/>
                <w:sz w:val="20"/>
              </w:rPr>
              <w:t>吨车厢可卸式垃圾车匹配；（投标人须在投标文件中提供承诺函，格式自拟）；（投标人在获取文件后联系采购人统一组织实地踏勘）。</w:t>
            </w:r>
          </w:p>
          <w:p>
            <w:pPr>
              <w:pStyle w:val="15"/>
            </w:pPr>
            <w:r>
              <w:rPr>
                <w:rFonts w:ascii="宋体" w:hAnsi="宋体" w:eastAsia="宋体" w:cs="宋体"/>
                <w:sz w:val="20"/>
              </w:rPr>
              <w:t>★</w:t>
            </w:r>
            <w:r>
              <w:rPr>
                <w:rFonts w:ascii="Calibri" w:hAnsi="Calibri" w:eastAsia="Calibri" w:cs="Calibri"/>
                <w:sz w:val="20"/>
              </w:rPr>
              <w:t>11.</w:t>
            </w:r>
            <w:r>
              <w:rPr>
                <w:rFonts w:ascii="宋体" w:hAnsi="宋体" w:eastAsia="宋体" w:cs="宋体"/>
                <w:sz w:val="20"/>
              </w:rPr>
              <w:t>箱体必须与汉源县市政环卫所垃圾压缩中转站现有垂直式垃圾压缩系统匹配；（投标人须在投标文件中提供承诺函，格式自拟）；（投标人在获取文件后联系采购人统一组织实地踏勘）。</w:t>
            </w:r>
          </w:p>
          <w:p>
            <w:pPr>
              <w:pStyle w:val="15"/>
            </w:pPr>
          </w:p>
        </w:tc>
      </w:tr>
    </w:tbl>
    <w:p>
      <w:pPr>
        <w:pStyle w:val="15"/>
      </w:pPr>
    </w:p>
    <w:p>
      <w:pPr>
        <w:pStyle w:val="15"/>
      </w:pPr>
      <w:r>
        <w:t>标的名称：A型生活垃圾转运集装箱</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1</w:t>
            </w:r>
          </w:p>
        </w:tc>
        <w:tc>
          <w:tcPr>
            <w:tcW w:w="2769" w:type="dxa"/>
          </w:tcPr>
          <w:p>
            <w:pPr>
              <w:pStyle w:val="15"/>
              <w:jc w:val="left"/>
            </w:pPr>
          </w:p>
          <w:p>
            <w:pPr>
              <w:pStyle w:val="15"/>
              <w:jc w:val="left"/>
            </w:pPr>
            <w:r>
              <w:rPr>
                <w:rFonts w:ascii="宋体" w:hAnsi="宋体" w:eastAsia="宋体" w:cs="宋体"/>
                <w:sz w:val="20"/>
              </w:rPr>
              <w:t>★</w:t>
            </w:r>
            <w:r>
              <w:rPr>
                <w:rFonts w:ascii="Calibri" w:hAnsi="Calibri" w:eastAsia="Calibri" w:cs="Calibri"/>
                <w:sz w:val="20"/>
              </w:rPr>
              <w:t>1.</w:t>
            </w:r>
            <w:r>
              <w:rPr>
                <w:rFonts w:ascii="宋体" w:hAnsi="宋体" w:eastAsia="宋体" w:cs="宋体"/>
                <w:sz w:val="20"/>
              </w:rPr>
              <w:t>箱体规格：全骨架式，外部采用竖向加强结构，整箱焊接处采用满焊方式；（投标人须在投标文件中提供设计图纸）</w:t>
            </w:r>
          </w:p>
          <w:p>
            <w:pPr>
              <w:pStyle w:val="15"/>
              <w:jc w:val="left"/>
            </w:pPr>
            <w:r>
              <w:rPr>
                <w:rFonts w:ascii="宋体" w:hAnsi="宋体" w:eastAsia="宋体" w:cs="宋体"/>
                <w:sz w:val="20"/>
              </w:rPr>
              <w:t>★</w:t>
            </w:r>
            <w:r>
              <w:rPr>
                <w:rFonts w:ascii="Calibri" w:hAnsi="Calibri" w:eastAsia="Calibri" w:cs="Calibri"/>
                <w:sz w:val="20"/>
              </w:rPr>
              <w:t>2.</w:t>
            </w:r>
            <w:r>
              <w:rPr>
                <w:rFonts w:ascii="宋体" w:hAnsi="宋体" w:eastAsia="宋体" w:cs="宋体"/>
                <w:sz w:val="20"/>
              </w:rPr>
              <w:t>箱体容积：≥</w:t>
            </w:r>
            <w:r>
              <w:rPr>
                <w:rFonts w:ascii="Calibri" w:hAnsi="Calibri" w:eastAsia="Calibri" w:cs="Calibri"/>
                <w:sz w:val="20"/>
              </w:rPr>
              <w:t>28m</w:t>
            </w:r>
            <w:r>
              <w:rPr>
                <w:rFonts w:ascii="Calibri" w:hAnsi="Calibri" w:eastAsia="Calibri" w:cs="Calibri"/>
                <w:sz w:val="20"/>
                <w:vertAlign w:val="superscript"/>
              </w:rPr>
              <w:t>3</w:t>
            </w:r>
            <w:r>
              <w:rPr>
                <w:rFonts w:ascii="Calibri" w:hAnsi="Calibri" w:eastAsia="Calibri" w:cs="Calibri"/>
                <w:sz w:val="20"/>
              </w:rPr>
              <w:t>;</w:t>
            </w:r>
            <w:r>
              <w:rPr>
                <w:rFonts w:ascii="宋体" w:hAnsi="宋体" w:eastAsia="宋体" w:cs="宋体"/>
                <w:sz w:val="20"/>
              </w:rPr>
              <w:t>（投标人须在投标文件中提供设计图纸）</w:t>
            </w:r>
          </w:p>
          <w:p>
            <w:pPr>
              <w:pStyle w:val="15"/>
              <w:jc w:val="left"/>
            </w:pPr>
            <w:r>
              <w:rPr>
                <w:rFonts w:ascii="宋体" w:hAnsi="宋体" w:eastAsia="宋体" w:cs="宋体"/>
                <w:sz w:val="20"/>
              </w:rPr>
              <w:t>★</w:t>
            </w:r>
            <w:r>
              <w:rPr>
                <w:rFonts w:ascii="Calibri" w:hAnsi="Calibri" w:eastAsia="Calibri" w:cs="Calibri"/>
                <w:sz w:val="20"/>
              </w:rPr>
              <w:t>3.</w:t>
            </w:r>
            <w:r>
              <w:rPr>
                <w:rFonts w:ascii="宋体" w:hAnsi="宋体" w:eastAsia="宋体" w:cs="宋体"/>
                <w:sz w:val="20"/>
              </w:rPr>
              <w:t>外形尺寸（长</w:t>
            </w:r>
            <w:r>
              <w:rPr>
                <w:rFonts w:ascii="Calibri" w:hAnsi="Calibri" w:eastAsia="Calibri" w:cs="Calibri"/>
                <w:sz w:val="20"/>
              </w:rPr>
              <w:t xml:space="preserve">x </w:t>
            </w:r>
            <w:r>
              <w:rPr>
                <w:rFonts w:ascii="宋体" w:hAnsi="宋体" w:eastAsia="宋体" w:cs="宋体"/>
                <w:sz w:val="20"/>
              </w:rPr>
              <w:t xml:space="preserve">宽 </w:t>
            </w:r>
            <w:r>
              <w:rPr>
                <w:rFonts w:ascii="Calibri" w:hAnsi="Calibri" w:eastAsia="Calibri" w:cs="Calibri"/>
                <w:sz w:val="20"/>
              </w:rPr>
              <w:t xml:space="preserve">x </w:t>
            </w:r>
            <w:r>
              <w:rPr>
                <w:rFonts w:ascii="宋体" w:hAnsi="宋体" w:eastAsia="宋体" w:cs="宋体"/>
                <w:sz w:val="20"/>
              </w:rPr>
              <w:t>高）</w:t>
            </w:r>
            <w:r>
              <w:rPr>
                <w:rFonts w:ascii="Calibri" w:hAnsi="Calibri" w:eastAsia="Calibri" w:cs="Calibri"/>
                <w:sz w:val="20"/>
              </w:rPr>
              <w:t>:</w:t>
            </w:r>
            <w:r>
              <w:rPr>
                <w:rFonts w:ascii="宋体" w:hAnsi="宋体" w:eastAsia="宋体" w:cs="宋体"/>
                <w:sz w:val="20"/>
              </w:rPr>
              <w:t>≥</w:t>
            </w:r>
            <w:r>
              <w:rPr>
                <w:rFonts w:ascii="Calibri" w:hAnsi="Calibri" w:eastAsia="Calibri" w:cs="Calibri"/>
                <w:sz w:val="20"/>
              </w:rPr>
              <w:t>7100x2500x2380mm;</w:t>
            </w:r>
            <w:r>
              <w:rPr>
                <w:rFonts w:ascii="宋体" w:hAnsi="宋体" w:eastAsia="宋体" w:cs="宋体"/>
                <w:sz w:val="20"/>
              </w:rPr>
              <w:t>（投标人须在投标文件中提供设计图纸）</w:t>
            </w:r>
          </w:p>
          <w:p>
            <w:pPr>
              <w:pStyle w:val="15"/>
              <w:jc w:val="left"/>
            </w:pPr>
            <w:r>
              <w:rPr>
                <w:rFonts w:ascii="宋体" w:hAnsi="宋体" w:eastAsia="宋体" w:cs="宋体"/>
                <w:sz w:val="20"/>
              </w:rPr>
              <w:t>★</w:t>
            </w:r>
            <w:r>
              <w:rPr>
                <w:rFonts w:ascii="Calibri" w:hAnsi="Calibri" w:eastAsia="Calibri" w:cs="Calibri"/>
                <w:sz w:val="20"/>
              </w:rPr>
              <w:t>4.</w:t>
            </w:r>
            <w:r>
              <w:rPr>
                <w:rFonts w:ascii="宋体" w:hAnsi="宋体" w:eastAsia="宋体" w:cs="宋体"/>
                <w:sz w:val="20"/>
              </w:rPr>
              <w:t>设备重量：≥</w:t>
            </w:r>
            <w:r>
              <w:rPr>
                <w:rFonts w:ascii="Calibri" w:hAnsi="Calibri" w:eastAsia="Calibri" w:cs="Calibri"/>
                <w:sz w:val="20"/>
              </w:rPr>
              <w:t>5200KG;</w:t>
            </w:r>
          </w:p>
          <w:p>
            <w:pPr>
              <w:pStyle w:val="15"/>
            </w:pPr>
            <w:r>
              <w:rPr>
                <w:rFonts w:ascii="宋体" w:hAnsi="宋体" w:eastAsia="宋体" w:cs="宋体"/>
                <w:sz w:val="20"/>
              </w:rPr>
              <w:t>●</w:t>
            </w:r>
            <w:r>
              <w:rPr>
                <w:rFonts w:ascii="Calibri" w:hAnsi="Calibri" w:eastAsia="Calibri" w:cs="Calibri"/>
                <w:sz w:val="20"/>
              </w:rPr>
              <w:t>5.</w:t>
            </w:r>
            <w:r>
              <w:rPr>
                <w:rFonts w:ascii="宋体" w:hAnsi="宋体" w:eastAsia="宋体" w:cs="宋体"/>
                <w:sz w:val="20"/>
              </w:rPr>
              <w:t>箱体后门：箱体卸料门采用液压双向锁紧，保证在配套车辆的驾驶室控制箱体卸料门的打开和锁紧，进料口密闭装置采用闸门结构；</w:t>
            </w:r>
          </w:p>
          <w:p>
            <w:pPr>
              <w:pStyle w:val="15"/>
            </w:pPr>
            <w:r>
              <w:rPr>
                <w:rFonts w:ascii="宋体" w:hAnsi="宋体" w:eastAsia="宋体" w:cs="宋体"/>
                <w:sz w:val="20"/>
              </w:rPr>
              <w:t>●</w:t>
            </w:r>
            <w:r>
              <w:rPr>
                <w:rFonts w:ascii="Calibri" w:hAnsi="Calibri" w:eastAsia="Calibri" w:cs="Calibri"/>
                <w:sz w:val="20"/>
              </w:rPr>
              <w:t>6.</w:t>
            </w:r>
            <w:r>
              <w:rPr>
                <w:rFonts w:ascii="宋体" w:hAnsi="宋体" w:eastAsia="宋体" w:cs="宋体"/>
                <w:sz w:val="20"/>
              </w:rPr>
              <w:t>箱体配套液压管和液压缸固定在箱体上面；</w:t>
            </w:r>
          </w:p>
          <w:p>
            <w:pPr>
              <w:pStyle w:val="15"/>
              <w:jc w:val="left"/>
            </w:pPr>
            <w:r>
              <w:rPr>
                <w:rFonts w:ascii="宋体" w:hAnsi="宋体" w:eastAsia="宋体" w:cs="宋体"/>
                <w:sz w:val="20"/>
              </w:rPr>
              <w:t>●</w:t>
            </w:r>
            <w:r>
              <w:rPr>
                <w:rFonts w:ascii="Calibri" w:hAnsi="Calibri" w:eastAsia="Calibri" w:cs="Calibri"/>
                <w:sz w:val="20"/>
              </w:rPr>
              <w:t>7.</w:t>
            </w:r>
            <w:r>
              <w:rPr>
                <w:rFonts w:ascii="宋体" w:hAnsi="宋体" w:eastAsia="宋体" w:cs="宋体"/>
                <w:sz w:val="20"/>
              </w:rPr>
              <w:t>箱体后门遮蔽门：箱体后门设置瓦楞式遮蔽门，遮蔽门面积≥</w:t>
            </w:r>
            <w:r>
              <w:rPr>
                <w:rFonts w:ascii="Calibri" w:hAnsi="Calibri" w:eastAsia="Calibri" w:cs="Calibri"/>
                <w:sz w:val="20"/>
              </w:rPr>
              <w:t>3.6m</w:t>
            </w:r>
            <w:r>
              <w:rPr>
                <w:rFonts w:ascii="Calibri" w:hAnsi="Calibri" w:eastAsia="Calibri" w:cs="Calibri"/>
                <w:sz w:val="20"/>
                <w:vertAlign w:val="superscript"/>
              </w:rPr>
              <w:t>2</w:t>
            </w:r>
            <w:r>
              <w:rPr>
                <w:rFonts w:ascii="宋体" w:hAnsi="宋体" w:eastAsia="宋体" w:cs="宋体"/>
                <w:sz w:val="20"/>
              </w:rPr>
              <w:t>，采用手动单侧开启方式；</w:t>
            </w:r>
          </w:p>
          <w:p>
            <w:pPr>
              <w:pStyle w:val="15"/>
              <w:jc w:val="left"/>
            </w:pPr>
            <w:r>
              <w:rPr>
                <w:rFonts w:ascii="宋体" w:hAnsi="宋体" w:eastAsia="宋体" w:cs="宋体"/>
                <w:sz w:val="20"/>
              </w:rPr>
              <w:t>★</w:t>
            </w:r>
            <w:r>
              <w:rPr>
                <w:rFonts w:ascii="Calibri" w:hAnsi="Calibri" w:eastAsia="Calibri" w:cs="Calibri"/>
                <w:sz w:val="20"/>
              </w:rPr>
              <w:t>8.</w:t>
            </w:r>
            <w:r>
              <w:rPr>
                <w:rFonts w:ascii="宋体" w:hAnsi="宋体" w:eastAsia="宋体" w:cs="宋体"/>
                <w:sz w:val="20"/>
              </w:rPr>
              <w:t>箱体材料：箱体边板、底板、前板、顶板、尾门钢板均采用厚度≥4.8mm的高强度、耐磨、耐腐蚀钢板，性能必须达到国标Q355要求；箱体底部导轨、挂钩处防撞板材料均采用厚度≥8mm特高强度耐磨钢板，性能必须达到国标T700要求，箱体挂钩采用直径≥50mm的Q355圆钢，钢板硬度≥400HB；（投标人须提供具有检测资质的第三方检测机构出具的CMA或CNAS检测报告并加盖投标人公章）</w:t>
            </w:r>
          </w:p>
          <w:p>
            <w:pPr>
              <w:pStyle w:val="15"/>
              <w:jc w:val="left"/>
            </w:pPr>
            <w:r>
              <w:rPr>
                <w:rFonts w:ascii="宋体" w:hAnsi="宋体" w:eastAsia="宋体" w:cs="宋体"/>
                <w:sz w:val="20"/>
              </w:rPr>
              <w:t>●</w:t>
            </w:r>
            <w:r>
              <w:rPr>
                <w:rFonts w:ascii="Calibri" w:hAnsi="Calibri" w:eastAsia="Calibri" w:cs="Calibri"/>
                <w:sz w:val="20"/>
              </w:rPr>
              <w:t>9.</w:t>
            </w:r>
            <w:r>
              <w:rPr>
                <w:rFonts w:ascii="宋体" w:hAnsi="宋体" w:eastAsia="宋体" w:cs="宋体"/>
                <w:sz w:val="20"/>
              </w:rPr>
              <w:t>箱体密封、闸门、卸料：垃圾箱后门采用压入式密封胶条，密封胶条为方形，中间为圆孔；箱体后门设置可拆卸式污水箱，运输过程中出现污水泄漏能防止污水滴漏地面；箱体为全密封式，在装料和运输中无废弃物（如扬尘、废气、废水）排出；采用重力自卸方式，物料在无动力作用下能完全排出；</w:t>
            </w:r>
          </w:p>
          <w:p>
            <w:pPr>
              <w:pStyle w:val="15"/>
            </w:pPr>
            <w:r>
              <w:rPr>
                <w:rFonts w:ascii="宋体" w:hAnsi="宋体" w:eastAsia="宋体" w:cs="宋体"/>
                <w:sz w:val="20"/>
              </w:rPr>
              <w:t>★</w:t>
            </w:r>
            <w:r>
              <w:rPr>
                <w:rFonts w:ascii="Calibri" w:hAnsi="Calibri" w:eastAsia="Calibri" w:cs="Calibri"/>
                <w:sz w:val="20"/>
              </w:rPr>
              <w:t>10.</w:t>
            </w:r>
            <w:r>
              <w:rPr>
                <w:rFonts w:ascii="宋体" w:hAnsi="宋体" w:eastAsia="宋体" w:cs="宋体"/>
                <w:sz w:val="20"/>
              </w:rPr>
              <w:t>箱体防腐：采用环氧树脂玻璃鳞片胶泥防腐技术，抗渗漏性好，耐化学及油污腐蚀，涂膜收缩率低，耐磨损，不变形不起褶；（投标人须在投标文件中提供承诺函，格式自拟）</w:t>
            </w:r>
          </w:p>
          <w:p>
            <w:pPr>
              <w:pStyle w:val="15"/>
              <w:jc w:val="left"/>
            </w:pPr>
            <w:r>
              <w:rPr>
                <w:rFonts w:ascii="宋体" w:hAnsi="宋体" w:eastAsia="宋体" w:cs="宋体"/>
                <w:sz w:val="20"/>
              </w:rPr>
              <w:t>★</w:t>
            </w:r>
            <w:r>
              <w:rPr>
                <w:rFonts w:ascii="Calibri" w:hAnsi="Calibri" w:eastAsia="Calibri" w:cs="Calibri"/>
                <w:sz w:val="20"/>
              </w:rPr>
              <w:t>11.</w:t>
            </w:r>
            <w:r>
              <w:rPr>
                <w:rFonts w:ascii="宋体" w:hAnsi="宋体" w:eastAsia="宋体" w:cs="宋体"/>
                <w:sz w:val="20"/>
              </w:rPr>
              <w:t>箱体必须与采购人本次采购的总质量</w:t>
            </w:r>
            <w:r>
              <w:rPr>
                <w:rFonts w:ascii="Calibri" w:hAnsi="Calibri" w:eastAsia="Calibri" w:cs="Calibri"/>
                <w:sz w:val="20"/>
              </w:rPr>
              <w:t>31</w:t>
            </w:r>
            <w:r>
              <w:rPr>
                <w:rFonts w:ascii="宋体" w:hAnsi="宋体" w:eastAsia="宋体" w:cs="宋体"/>
                <w:sz w:val="20"/>
              </w:rPr>
              <w:t>吨车厢可卸式垃圾车以及现有的总质量</w:t>
            </w:r>
            <w:r>
              <w:rPr>
                <w:rFonts w:ascii="Calibri" w:hAnsi="Calibri" w:eastAsia="Calibri" w:cs="Calibri"/>
                <w:sz w:val="20"/>
              </w:rPr>
              <w:t>31</w:t>
            </w:r>
            <w:r>
              <w:rPr>
                <w:rFonts w:ascii="宋体" w:hAnsi="宋体" w:eastAsia="宋体" w:cs="宋体"/>
                <w:sz w:val="20"/>
              </w:rPr>
              <w:t>吨车厢可卸式垃圾车完全匹配；（投标人须在投标文件中提供承诺函，格式自拟）；（投标人在获取文件后联系采购人统一组织实地踏勘）。</w:t>
            </w:r>
          </w:p>
          <w:p>
            <w:pPr>
              <w:pStyle w:val="15"/>
              <w:jc w:val="left"/>
            </w:pPr>
            <w:r>
              <w:rPr>
                <w:rFonts w:ascii="宋体" w:hAnsi="宋体" w:eastAsia="宋体" w:cs="宋体"/>
                <w:sz w:val="20"/>
              </w:rPr>
              <w:t>★</w:t>
            </w:r>
            <w:r>
              <w:rPr>
                <w:rFonts w:ascii="Calibri" w:hAnsi="Calibri" w:eastAsia="Calibri" w:cs="Calibri"/>
                <w:sz w:val="20"/>
              </w:rPr>
              <w:t>12.</w:t>
            </w:r>
            <w:r>
              <w:rPr>
                <w:rFonts w:ascii="宋体" w:hAnsi="宋体" w:eastAsia="宋体" w:cs="宋体"/>
                <w:sz w:val="20"/>
              </w:rPr>
              <w:t>箱体必须与汉源县九襄镇垃圾压缩中转站现有水平式垃圾压缩系统匹配；（投标人须在投标文件中提供承诺函，格式自拟）；（投标人在获取文件后联系采购人统一组织实地踏勘）。</w:t>
            </w:r>
          </w:p>
          <w:p>
            <w:pPr>
              <w:pStyle w:val="15"/>
            </w:pPr>
          </w:p>
        </w:tc>
      </w:tr>
    </w:tbl>
    <w:p>
      <w:pPr>
        <w:pStyle w:val="15"/>
      </w:pPr>
    </w:p>
    <w:p>
      <w:pPr>
        <w:pStyle w:val="15"/>
      </w:pPr>
      <w:r>
        <w:t>标的名称：车厢可卸式垃圾车</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1</w:t>
            </w:r>
          </w:p>
        </w:tc>
        <w:tc>
          <w:tcPr>
            <w:tcW w:w="2769" w:type="dxa"/>
          </w:tcPr>
          <w:p>
            <w:pPr>
              <w:pStyle w:val="15"/>
            </w:pPr>
          </w:p>
          <w:p>
            <w:pPr>
              <w:pStyle w:val="15"/>
            </w:pPr>
            <w:r>
              <w:rPr>
                <w:rFonts w:ascii="宋体" w:hAnsi="宋体" w:eastAsia="宋体" w:cs="宋体"/>
                <w:sz w:val="20"/>
              </w:rPr>
              <w:t>★</w:t>
            </w:r>
            <w:r>
              <w:rPr>
                <w:rFonts w:ascii="Calibri" w:hAnsi="Calibri" w:eastAsia="Calibri" w:cs="Calibri"/>
                <w:sz w:val="20"/>
              </w:rPr>
              <w:t>1.</w:t>
            </w:r>
            <w:r>
              <w:rPr>
                <w:rFonts w:ascii="宋体" w:hAnsi="宋体" w:eastAsia="宋体" w:cs="宋体"/>
                <w:sz w:val="20"/>
              </w:rPr>
              <w:t>发动机功率：≥</w:t>
            </w:r>
            <w:r>
              <w:rPr>
                <w:rFonts w:ascii="Calibri" w:hAnsi="Calibri" w:eastAsia="Calibri" w:cs="Calibri"/>
                <w:sz w:val="20"/>
              </w:rPr>
              <w:t>338KW</w:t>
            </w:r>
            <w:r>
              <w:rPr>
                <w:rFonts w:ascii="宋体" w:hAnsi="宋体" w:eastAsia="宋体" w:cs="宋体"/>
                <w:sz w:val="20"/>
              </w:rPr>
              <w:t>。</w:t>
            </w:r>
            <w:r>
              <w:rPr>
                <w:rFonts w:ascii="Calibri" w:hAnsi="Calibri" w:eastAsia="Calibri" w:cs="Calibri"/>
                <w:sz w:val="20"/>
              </w:rPr>
              <w:t>6</w:t>
            </w:r>
            <w:r>
              <w:rPr>
                <w:rFonts w:ascii="宋体" w:hAnsi="宋体" w:eastAsia="宋体" w:cs="宋体"/>
                <w:sz w:val="20"/>
              </w:rPr>
              <w:t>缸直列，直喷，增压中冷，电控共轨；（提供工信部公告网上查询公示截图或技术白皮书予以佐证）</w:t>
            </w:r>
          </w:p>
          <w:p>
            <w:pPr>
              <w:pStyle w:val="15"/>
            </w:pPr>
            <w:r>
              <w:rPr>
                <w:rFonts w:ascii="宋体" w:hAnsi="宋体" w:eastAsia="宋体" w:cs="宋体"/>
                <w:sz w:val="20"/>
              </w:rPr>
              <w:t>★</w:t>
            </w:r>
            <w:r>
              <w:rPr>
                <w:rFonts w:ascii="Calibri" w:hAnsi="Calibri" w:eastAsia="Calibri" w:cs="Calibri"/>
                <w:sz w:val="20"/>
              </w:rPr>
              <w:t>2.</w:t>
            </w:r>
            <w:r>
              <w:rPr>
                <w:rFonts w:ascii="宋体" w:hAnsi="宋体" w:eastAsia="宋体" w:cs="宋体"/>
                <w:sz w:val="20"/>
              </w:rPr>
              <w:t>燃油种类：柴油；排放标准：国Ⅵ；（提供工信部公告网上查询公示截图或技术白皮书予以佐证）</w:t>
            </w:r>
          </w:p>
          <w:p>
            <w:pPr>
              <w:pStyle w:val="15"/>
            </w:pPr>
            <w:r>
              <w:rPr>
                <w:rFonts w:ascii="宋体" w:hAnsi="宋体" w:eastAsia="宋体" w:cs="宋体"/>
                <w:sz w:val="20"/>
              </w:rPr>
              <w:t>★</w:t>
            </w:r>
            <w:r>
              <w:rPr>
                <w:rFonts w:ascii="Calibri" w:hAnsi="Calibri" w:eastAsia="Calibri" w:cs="Calibri"/>
                <w:sz w:val="20"/>
              </w:rPr>
              <w:t>3.</w:t>
            </w:r>
            <w:r>
              <w:rPr>
                <w:rFonts w:ascii="宋体" w:hAnsi="宋体" w:eastAsia="宋体" w:cs="宋体"/>
                <w:sz w:val="20"/>
              </w:rPr>
              <w:t>轴数：≥</w:t>
            </w:r>
            <w:r>
              <w:rPr>
                <w:rFonts w:ascii="Calibri" w:hAnsi="Calibri" w:eastAsia="Calibri" w:cs="Calibri"/>
                <w:sz w:val="20"/>
              </w:rPr>
              <w:t>4</w:t>
            </w:r>
            <w:r>
              <w:rPr>
                <w:rFonts w:ascii="宋体" w:hAnsi="宋体" w:eastAsia="宋体" w:cs="宋体"/>
                <w:sz w:val="20"/>
              </w:rPr>
              <w:t>轴；（提供工信部公告网上查询公示截图或技术白皮书予以佐证）</w:t>
            </w:r>
          </w:p>
          <w:p>
            <w:pPr>
              <w:pStyle w:val="15"/>
            </w:pPr>
            <w:r>
              <w:rPr>
                <w:rFonts w:ascii="宋体" w:hAnsi="宋体" w:eastAsia="宋体" w:cs="宋体"/>
                <w:sz w:val="20"/>
              </w:rPr>
              <w:t>●</w:t>
            </w:r>
            <w:r>
              <w:rPr>
                <w:rFonts w:ascii="Calibri" w:hAnsi="Calibri" w:eastAsia="Calibri" w:cs="Calibri"/>
                <w:sz w:val="20"/>
              </w:rPr>
              <w:t>4.</w:t>
            </w:r>
            <w:r>
              <w:rPr>
                <w:rFonts w:ascii="宋体" w:hAnsi="宋体" w:eastAsia="宋体" w:cs="宋体"/>
                <w:sz w:val="20"/>
              </w:rPr>
              <w:t>驱动方式：≥</w:t>
            </w:r>
            <w:r>
              <w:rPr>
                <w:rFonts w:ascii="Calibri" w:hAnsi="Calibri" w:eastAsia="Calibri" w:cs="Calibri"/>
                <w:sz w:val="20"/>
              </w:rPr>
              <w:t>8*4</w:t>
            </w:r>
            <w:r>
              <w:rPr>
                <w:rFonts w:ascii="宋体" w:hAnsi="宋体" w:eastAsia="宋体" w:cs="宋体"/>
                <w:sz w:val="20"/>
              </w:rPr>
              <w:t>；（投标人须在投标件中提供承诺函，格式自拟）</w:t>
            </w:r>
          </w:p>
          <w:p>
            <w:pPr>
              <w:pStyle w:val="15"/>
              <w:jc w:val="both"/>
            </w:pPr>
            <w:r>
              <w:rPr>
                <w:rFonts w:ascii="宋体" w:hAnsi="宋体" w:eastAsia="宋体" w:cs="宋体"/>
                <w:sz w:val="20"/>
              </w:rPr>
              <w:t>★</w:t>
            </w:r>
            <w:r>
              <w:rPr>
                <w:rFonts w:ascii="Calibri" w:hAnsi="Calibri" w:eastAsia="Calibri" w:cs="Calibri"/>
                <w:sz w:val="20"/>
              </w:rPr>
              <w:t>5.</w:t>
            </w:r>
            <w:r>
              <w:rPr>
                <w:rFonts w:ascii="宋体" w:hAnsi="宋体" w:eastAsia="宋体" w:cs="宋体"/>
                <w:sz w:val="20"/>
              </w:rPr>
              <w:t>变速箱：≥</w:t>
            </w:r>
            <w:r>
              <w:rPr>
                <w:rFonts w:ascii="Calibri" w:hAnsi="Calibri" w:eastAsia="Calibri" w:cs="Calibri"/>
                <w:sz w:val="20"/>
              </w:rPr>
              <w:t>12</w:t>
            </w:r>
            <w:r>
              <w:rPr>
                <w:rFonts w:ascii="宋体" w:hAnsi="宋体" w:eastAsia="宋体" w:cs="宋体"/>
                <w:sz w:val="20"/>
              </w:rPr>
              <w:t>档箱，差速锁，离合助力器，方向助力器；（投标人须在投标文件中提供承诺函，格式自拟）</w:t>
            </w:r>
          </w:p>
          <w:p>
            <w:pPr>
              <w:pStyle w:val="15"/>
            </w:pPr>
            <w:r>
              <w:rPr>
                <w:rFonts w:ascii="宋体" w:hAnsi="宋体" w:eastAsia="宋体" w:cs="宋体"/>
                <w:sz w:val="20"/>
              </w:rPr>
              <w:t>★</w:t>
            </w:r>
            <w:r>
              <w:rPr>
                <w:rFonts w:ascii="Calibri" w:hAnsi="Calibri" w:eastAsia="Calibri" w:cs="Calibri"/>
                <w:sz w:val="20"/>
              </w:rPr>
              <w:t>6.</w:t>
            </w:r>
            <w:r>
              <w:rPr>
                <w:rFonts w:ascii="宋体" w:hAnsi="宋体" w:eastAsia="宋体" w:cs="宋体"/>
                <w:sz w:val="20"/>
              </w:rPr>
              <w:t>外形尺寸（不含箱体）：总长：≥</w:t>
            </w:r>
            <w:r>
              <w:rPr>
                <w:rFonts w:ascii="Calibri" w:hAnsi="Calibri" w:eastAsia="Calibri" w:cs="Calibri"/>
                <w:sz w:val="20"/>
              </w:rPr>
              <w:t xml:space="preserve">10000mm  </w:t>
            </w:r>
            <w:r>
              <w:rPr>
                <w:rFonts w:ascii="宋体" w:hAnsi="宋体" w:eastAsia="宋体" w:cs="宋体"/>
                <w:sz w:val="20"/>
              </w:rPr>
              <w:t>总宽：≥</w:t>
            </w:r>
            <w:r>
              <w:rPr>
                <w:rFonts w:ascii="Calibri" w:hAnsi="Calibri" w:eastAsia="Calibri" w:cs="Calibri"/>
                <w:sz w:val="20"/>
              </w:rPr>
              <w:t xml:space="preserve">2500mm  </w:t>
            </w:r>
            <w:r>
              <w:rPr>
                <w:rFonts w:ascii="宋体" w:hAnsi="宋体" w:eastAsia="宋体" w:cs="宋体"/>
                <w:sz w:val="20"/>
              </w:rPr>
              <w:t>总高：≥</w:t>
            </w:r>
            <w:r>
              <w:rPr>
                <w:rFonts w:ascii="Calibri" w:hAnsi="Calibri" w:eastAsia="Calibri" w:cs="Calibri"/>
                <w:sz w:val="20"/>
              </w:rPr>
              <w:t>3100mm；</w:t>
            </w:r>
            <w:r>
              <w:rPr>
                <w:rFonts w:ascii="宋体" w:hAnsi="宋体" w:eastAsia="宋体" w:cs="宋体"/>
                <w:sz w:val="20"/>
              </w:rPr>
              <w:t>（提供工信部公告网上查询公示截图或技术白皮书予以佐证）</w:t>
            </w:r>
          </w:p>
          <w:p>
            <w:pPr>
              <w:pStyle w:val="15"/>
            </w:pPr>
            <w:r>
              <w:rPr>
                <w:rFonts w:ascii="宋体" w:hAnsi="宋体" w:eastAsia="宋体" w:cs="宋体"/>
                <w:sz w:val="20"/>
              </w:rPr>
              <w:t>★</w:t>
            </w:r>
            <w:r>
              <w:rPr>
                <w:rFonts w:ascii="Calibri" w:hAnsi="Calibri" w:eastAsia="Calibri" w:cs="Calibri"/>
                <w:sz w:val="20"/>
              </w:rPr>
              <w:t>7.</w:t>
            </w:r>
            <w:r>
              <w:rPr>
                <w:rFonts w:ascii="宋体" w:hAnsi="宋体" w:eastAsia="宋体" w:cs="宋体"/>
                <w:sz w:val="20"/>
              </w:rPr>
              <w:t>总质量：≥</w:t>
            </w:r>
            <w:r>
              <w:rPr>
                <w:rFonts w:ascii="Calibri" w:hAnsi="Calibri" w:eastAsia="Calibri" w:cs="Calibri"/>
                <w:sz w:val="20"/>
              </w:rPr>
              <w:t>31000kg；</w:t>
            </w:r>
            <w:r>
              <w:rPr>
                <w:rFonts w:ascii="宋体" w:hAnsi="宋体" w:eastAsia="宋体" w:cs="宋体"/>
                <w:sz w:val="20"/>
              </w:rPr>
              <w:t>（提供工信部公告网上查询公示截图或技术白皮书予以佐证）</w:t>
            </w:r>
          </w:p>
          <w:p>
            <w:pPr>
              <w:pStyle w:val="15"/>
            </w:pPr>
            <w:r>
              <w:rPr>
                <w:rFonts w:ascii="宋体" w:hAnsi="宋体" w:eastAsia="宋体" w:cs="宋体"/>
                <w:sz w:val="20"/>
              </w:rPr>
              <w:t>★</w:t>
            </w:r>
            <w:r>
              <w:rPr>
                <w:rFonts w:ascii="Calibri" w:hAnsi="Calibri" w:eastAsia="Calibri" w:cs="Calibri"/>
                <w:sz w:val="20"/>
              </w:rPr>
              <w:t>8.</w:t>
            </w:r>
            <w:r>
              <w:rPr>
                <w:rFonts w:ascii="宋体" w:hAnsi="宋体" w:eastAsia="宋体" w:cs="宋体"/>
                <w:sz w:val="20"/>
              </w:rPr>
              <w:t>额定载质量：≥</w:t>
            </w:r>
            <w:r>
              <w:rPr>
                <w:rFonts w:ascii="Calibri" w:hAnsi="Calibri" w:eastAsia="Calibri" w:cs="Calibri"/>
                <w:sz w:val="20"/>
              </w:rPr>
              <w:t>16500kg；</w:t>
            </w:r>
            <w:r>
              <w:rPr>
                <w:rFonts w:ascii="宋体" w:hAnsi="宋体" w:eastAsia="宋体" w:cs="宋体"/>
                <w:sz w:val="20"/>
              </w:rPr>
              <w:t>（提供工信部公告网上查询公示截图或技术白皮书予以佐证）</w:t>
            </w:r>
          </w:p>
          <w:p>
            <w:pPr>
              <w:pStyle w:val="15"/>
            </w:pPr>
            <w:r>
              <w:rPr>
                <w:rFonts w:ascii="宋体" w:hAnsi="宋体" w:eastAsia="宋体" w:cs="宋体"/>
                <w:sz w:val="20"/>
              </w:rPr>
              <w:t>●</w:t>
            </w:r>
            <w:r>
              <w:rPr>
                <w:rFonts w:ascii="Calibri" w:hAnsi="Calibri" w:eastAsia="Calibri" w:cs="Calibri"/>
                <w:sz w:val="20"/>
              </w:rPr>
              <w:t>9.</w:t>
            </w:r>
            <w:r>
              <w:rPr>
                <w:rFonts w:ascii="宋体" w:hAnsi="宋体" w:eastAsia="宋体" w:cs="宋体"/>
                <w:sz w:val="20"/>
              </w:rPr>
              <w:t>轴荷：≥</w:t>
            </w:r>
            <w:r>
              <w:rPr>
                <w:rFonts w:ascii="Calibri" w:hAnsi="Calibri" w:eastAsia="Calibri" w:cs="Calibri"/>
                <w:sz w:val="20"/>
              </w:rPr>
              <w:t>6500/7000/17500(</w:t>
            </w:r>
            <w:r>
              <w:rPr>
                <w:rFonts w:ascii="宋体" w:hAnsi="宋体" w:eastAsia="宋体" w:cs="宋体"/>
                <w:sz w:val="20"/>
              </w:rPr>
              <w:t>二轴组</w:t>
            </w:r>
            <w:r>
              <w:rPr>
                <w:rFonts w:ascii="Calibri" w:hAnsi="Calibri" w:eastAsia="Calibri" w:cs="Calibri"/>
                <w:sz w:val="20"/>
              </w:rPr>
              <w:t>)；</w:t>
            </w:r>
          </w:p>
          <w:p>
            <w:pPr>
              <w:pStyle w:val="15"/>
            </w:pPr>
            <w:r>
              <w:rPr>
                <w:rFonts w:ascii="宋体" w:hAnsi="宋体" w:eastAsia="宋体" w:cs="宋体"/>
                <w:sz w:val="20"/>
              </w:rPr>
              <w:t>●</w:t>
            </w:r>
            <w:r>
              <w:rPr>
                <w:rFonts w:ascii="Calibri" w:hAnsi="Calibri" w:eastAsia="Calibri" w:cs="Calibri"/>
                <w:sz w:val="20"/>
              </w:rPr>
              <w:t>10.</w:t>
            </w:r>
            <w:r>
              <w:rPr>
                <w:rFonts w:ascii="宋体" w:hAnsi="宋体" w:eastAsia="宋体" w:cs="宋体"/>
                <w:sz w:val="20"/>
              </w:rPr>
              <w:t>驾驶室配置：单排带卧、冷暖空调、电动门中控锁带遥控、一键升降电动窗、卧铺软垫、侧遮阳帘、后遮阳帘、</w:t>
            </w:r>
            <w:r>
              <w:rPr>
                <w:rFonts w:ascii="Calibri" w:hAnsi="Calibri" w:eastAsia="Calibri" w:cs="Calibri"/>
                <w:sz w:val="20"/>
              </w:rPr>
              <w:t>GPS</w:t>
            </w:r>
            <w:r>
              <w:rPr>
                <w:rFonts w:ascii="宋体" w:hAnsi="宋体" w:eastAsia="宋体" w:cs="宋体"/>
                <w:sz w:val="20"/>
              </w:rPr>
              <w:t>／北斗行车记录、行车记录仪加倒车影像、大屏娱乐、主副脚垫、主副气囊座椅、主座椅扶手、主副座椅垫、定速巡航、多功能方向盘、</w:t>
            </w:r>
            <w:r>
              <w:rPr>
                <w:rFonts w:ascii="Calibri" w:hAnsi="Calibri" w:eastAsia="Calibri" w:cs="Calibri"/>
                <w:sz w:val="20"/>
              </w:rPr>
              <w:t xml:space="preserve">220 </w:t>
            </w:r>
            <w:r>
              <w:rPr>
                <w:rFonts w:ascii="宋体" w:hAnsi="宋体" w:eastAsia="宋体" w:cs="宋体"/>
                <w:sz w:val="20"/>
              </w:rPr>
              <w:t>伏电源（逆变器）、电加热后视镜及电动后视镜、皮座椅、工具箱、驾驶室电动升降；（投标人须在响应文件中提供承诺函，格式自拟）</w:t>
            </w:r>
          </w:p>
          <w:p>
            <w:pPr>
              <w:pStyle w:val="15"/>
            </w:pPr>
            <w:r>
              <w:rPr>
                <w:rFonts w:ascii="宋体" w:hAnsi="宋体" w:eastAsia="宋体" w:cs="宋体"/>
                <w:sz w:val="20"/>
              </w:rPr>
              <w:t>★</w:t>
            </w:r>
            <w:r>
              <w:rPr>
                <w:rFonts w:ascii="Calibri" w:hAnsi="Calibri" w:eastAsia="Calibri" w:cs="Calibri"/>
                <w:sz w:val="20"/>
              </w:rPr>
              <w:t>11.</w:t>
            </w:r>
            <w:r>
              <w:rPr>
                <w:rFonts w:ascii="宋体" w:hAnsi="宋体" w:eastAsia="宋体" w:cs="宋体"/>
                <w:sz w:val="20"/>
              </w:rPr>
              <w:t>油箱材质铝合金（容积≥</w:t>
            </w:r>
            <w:r>
              <w:rPr>
                <w:rFonts w:ascii="Calibri" w:hAnsi="Calibri" w:eastAsia="Calibri" w:cs="Calibri"/>
                <w:sz w:val="20"/>
              </w:rPr>
              <w:t>350L</w:t>
            </w:r>
            <w:r>
              <w:rPr>
                <w:rFonts w:ascii="宋体" w:hAnsi="宋体" w:eastAsia="宋体" w:cs="宋体"/>
                <w:sz w:val="20"/>
              </w:rPr>
              <w:t>），铝合金储气罐；（投标人须在投标文件中提供承诺函，格式自拟）</w:t>
            </w:r>
          </w:p>
          <w:p>
            <w:pPr>
              <w:pStyle w:val="15"/>
            </w:pPr>
            <w:r>
              <w:rPr>
                <w:rFonts w:ascii="宋体" w:hAnsi="宋体" w:eastAsia="宋体" w:cs="宋体"/>
                <w:sz w:val="20"/>
              </w:rPr>
              <w:t>●</w:t>
            </w:r>
            <w:r>
              <w:rPr>
                <w:rFonts w:ascii="Calibri" w:hAnsi="Calibri" w:eastAsia="Calibri" w:cs="Calibri"/>
                <w:sz w:val="20"/>
              </w:rPr>
              <w:t>12. ABS</w:t>
            </w:r>
            <w:r>
              <w:rPr>
                <w:rFonts w:ascii="宋体" w:hAnsi="宋体" w:eastAsia="宋体" w:cs="宋体"/>
                <w:sz w:val="20"/>
              </w:rPr>
              <w:t>防抱死系统、真空轮胎、淋水器；（投标人须在投标文件中提供承诺函，格式自拟）</w:t>
            </w:r>
          </w:p>
          <w:p>
            <w:pPr>
              <w:pStyle w:val="15"/>
            </w:pPr>
            <w:r>
              <w:rPr>
                <w:rFonts w:ascii="宋体" w:hAnsi="宋体" w:eastAsia="宋体" w:cs="宋体"/>
                <w:sz w:val="20"/>
              </w:rPr>
              <w:t>●</w:t>
            </w:r>
            <w:r>
              <w:rPr>
                <w:rFonts w:ascii="Calibri" w:hAnsi="Calibri" w:eastAsia="Calibri" w:cs="Calibri"/>
                <w:sz w:val="20"/>
              </w:rPr>
              <w:t>13.</w:t>
            </w:r>
            <w:r>
              <w:rPr>
                <w:rFonts w:ascii="宋体" w:hAnsi="宋体" w:eastAsia="宋体" w:cs="宋体"/>
                <w:sz w:val="20"/>
              </w:rPr>
              <w:t>钩放垃圾箱时，车辆配置液压后撑支腿；</w:t>
            </w:r>
          </w:p>
          <w:p>
            <w:pPr>
              <w:pStyle w:val="15"/>
            </w:pPr>
            <w:r>
              <w:rPr>
                <w:rFonts w:ascii="宋体" w:hAnsi="宋体" w:eastAsia="宋体" w:cs="宋体"/>
                <w:sz w:val="20"/>
              </w:rPr>
              <w:t>●</w:t>
            </w:r>
            <w:r>
              <w:rPr>
                <w:rFonts w:ascii="Calibri" w:hAnsi="Calibri" w:eastAsia="Calibri" w:cs="Calibri"/>
                <w:sz w:val="20"/>
              </w:rPr>
              <w:t>14.</w:t>
            </w:r>
            <w:r>
              <w:rPr>
                <w:rFonts w:ascii="宋体" w:hAnsi="宋体" w:eastAsia="宋体" w:cs="宋体"/>
                <w:sz w:val="20"/>
              </w:rPr>
              <w:t>钩臂起重能力：≥</w:t>
            </w:r>
            <w:r>
              <w:rPr>
                <w:rFonts w:ascii="Calibri" w:hAnsi="Calibri" w:eastAsia="Calibri" w:cs="Calibri"/>
                <w:sz w:val="20"/>
              </w:rPr>
              <w:t>26T</w:t>
            </w:r>
            <w:r>
              <w:rPr>
                <w:rFonts w:ascii="宋体" w:hAnsi="宋体" w:eastAsia="宋体" w:cs="宋体"/>
                <w:sz w:val="20"/>
              </w:rPr>
              <w:t>；</w:t>
            </w:r>
          </w:p>
          <w:p>
            <w:pPr>
              <w:pStyle w:val="15"/>
            </w:pPr>
            <w:r>
              <w:rPr>
                <w:rFonts w:ascii="宋体" w:hAnsi="宋体" w:eastAsia="宋体" w:cs="宋体"/>
                <w:sz w:val="20"/>
              </w:rPr>
              <w:t>●</w:t>
            </w:r>
            <w:r>
              <w:rPr>
                <w:rFonts w:ascii="Calibri" w:hAnsi="Calibri" w:eastAsia="Calibri" w:cs="Calibri"/>
                <w:sz w:val="20"/>
              </w:rPr>
              <w:t>15.</w:t>
            </w:r>
            <w:r>
              <w:rPr>
                <w:rFonts w:ascii="宋体" w:hAnsi="宋体" w:eastAsia="宋体" w:cs="宋体"/>
                <w:sz w:val="20"/>
              </w:rPr>
              <w:t>卸料举升角：≥</w:t>
            </w:r>
            <w:r>
              <w:rPr>
                <w:rFonts w:ascii="Calibri" w:hAnsi="Calibri" w:eastAsia="Calibri" w:cs="Calibri"/>
                <w:sz w:val="20"/>
              </w:rPr>
              <w:t>45</w:t>
            </w:r>
            <w:r>
              <w:rPr>
                <w:rFonts w:ascii="宋体" w:hAnsi="宋体" w:eastAsia="宋体" w:cs="宋体"/>
                <w:sz w:val="20"/>
              </w:rPr>
              <w:t>°；</w:t>
            </w:r>
          </w:p>
          <w:p>
            <w:pPr>
              <w:pStyle w:val="15"/>
            </w:pPr>
            <w:r>
              <w:rPr>
                <w:rFonts w:ascii="宋体" w:hAnsi="宋体" w:eastAsia="宋体" w:cs="宋体"/>
                <w:sz w:val="20"/>
              </w:rPr>
              <w:t>●</w:t>
            </w:r>
            <w:r>
              <w:rPr>
                <w:rFonts w:ascii="Calibri" w:hAnsi="Calibri" w:eastAsia="Calibri" w:cs="Calibri"/>
                <w:sz w:val="20"/>
              </w:rPr>
              <w:t>16.</w:t>
            </w:r>
            <w:r>
              <w:rPr>
                <w:rFonts w:ascii="宋体" w:hAnsi="宋体" w:eastAsia="宋体" w:cs="宋体"/>
                <w:sz w:val="20"/>
              </w:rPr>
              <w:t>提箱动作时间：≤</w:t>
            </w:r>
            <w:r>
              <w:rPr>
                <w:rFonts w:ascii="Calibri" w:hAnsi="Calibri" w:eastAsia="Calibri" w:cs="Calibri"/>
                <w:sz w:val="20"/>
              </w:rPr>
              <w:t>60s</w:t>
            </w:r>
            <w:r>
              <w:rPr>
                <w:rFonts w:ascii="宋体" w:hAnsi="宋体" w:eastAsia="宋体" w:cs="宋体"/>
                <w:sz w:val="20"/>
              </w:rPr>
              <w:t>；卸箱动作时间≤</w:t>
            </w:r>
            <w:r>
              <w:rPr>
                <w:rFonts w:ascii="Calibri" w:hAnsi="Calibri" w:eastAsia="Calibri" w:cs="Calibri"/>
                <w:sz w:val="20"/>
              </w:rPr>
              <w:t>60s</w:t>
            </w:r>
            <w:r>
              <w:rPr>
                <w:rFonts w:ascii="宋体" w:hAnsi="宋体" w:eastAsia="宋体" w:cs="宋体"/>
                <w:sz w:val="20"/>
              </w:rPr>
              <w:t>；</w:t>
            </w:r>
          </w:p>
          <w:p>
            <w:pPr>
              <w:pStyle w:val="15"/>
            </w:pPr>
            <w:r>
              <w:rPr>
                <w:rFonts w:ascii="宋体" w:hAnsi="宋体" w:eastAsia="宋体" w:cs="宋体"/>
                <w:sz w:val="20"/>
              </w:rPr>
              <w:t>●</w:t>
            </w:r>
            <w:r>
              <w:rPr>
                <w:rFonts w:ascii="Calibri" w:hAnsi="Calibri" w:eastAsia="Calibri" w:cs="Calibri"/>
                <w:sz w:val="20"/>
              </w:rPr>
              <w:t>17.</w:t>
            </w:r>
            <w:r>
              <w:rPr>
                <w:rFonts w:ascii="宋体" w:hAnsi="宋体" w:eastAsia="宋体" w:cs="宋体"/>
                <w:sz w:val="20"/>
              </w:rPr>
              <w:t>拉臂钩液压系统最大工作压力</w:t>
            </w:r>
            <w:r>
              <w:rPr>
                <w:rFonts w:ascii="Calibri" w:hAnsi="Calibri" w:eastAsia="Calibri" w:cs="Calibri"/>
                <w:sz w:val="20"/>
              </w:rPr>
              <w:t>:35</w:t>
            </w:r>
            <w:r>
              <w:rPr>
                <w:rFonts w:ascii="宋体" w:hAnsi="宋体" w:eastAsia="宋体" w:cs="宋体"/>
                <w:sz w:val="20"/>
              </w:rPr>
              <w:t>（</w:t>
            </w:r>
            <w:r>
              <w:rPr>
                <w:rFonts w:ascii="Calibri" w:hAnsi="Calibri" w:eastAsia="Calibri" w:cs="Calibri"/>
                <w:sz w:val="20"/>
              </w:rPr>
              <w:t>Mpa</w:t>
            </w:r>
            <w:r>
              <w:rPr>
                <w:rFonts w:ascii="宋体" w:hAnsi="宋体" w:eastAsia="宋体" w:cs="宋体"/>
                <w:sz w:val="20"/>
              </w:rPr>
              <w:t>）；</w:t>
            </w:r>
          </w:p>
          <w:p>
            <w:pPr>
              <w:pStyle w:val="15"/>
            </w:pPr>
            <w:r>
              <w:rPr>
                <w:rFonts w:ascii="宋体" w:hAnsi="宋体" w:eastAsia="宋体" w:cs="宋体"/>
                <w:sz w:val="20"/>
              </w:rPr>
              <w:t>●</w:t>
            </w:r>
            <w:r>
              <w:rPr>
                <w:rFonts w:ascii="Calibri" w:hAnsi="Calibri" w:eastAsia="Calibri" w:cs="Calibri"/>
                <w:sz w:val="20"/>
              </w:rPr>
              <w:t>18.</w:t>
            </w:r>
            <w:r>
              <w:rPr>
                <w:rFonts w:ascii="宋体" w:hAnsi="宋体" w:eastAsia="宋体" w:cs="宋体"/>
                <w:sz w:val="20"/>
              </w:rPr>
              <w:t>拉臂钩下端带防撞模块，防止垃圾箱与拉臂钩的碰撞，拉臂钩带防脱装置；</w:t>
            </w:r>
          </w:p>
          <w:p>
            <w:pPr>
              <w:pStyle w:val="15"/>
            </w:pPr>
            <w:r>
              <w:rPr>
                <w:rFonts w:ascii="宋体" w:hAnsi="宋体" w:eastAsia="宋体" w:cs="宋体"/>
                <w:sz w:val="20"/>
              </w:rPr>
              <w:t>●</w:t>
            </w:r>
            <w:r>
              <w:rPr>
                <w:rFonts w:ascii="Calibri" w:hAnsi="Calibri" w:eastAsia="Calibri" w:cs="Calibri"/>
                <w:sz w:val="20"/>
              </w:rPr>
              <w:t>19.</w:t>
            </w:r>
            <w:r>
              <w:rPr>
                <w:rFonts w:ascii="宋体" w:hAnsi="宋体" w:eastAsia="宋体" w:cs="宋体"/>
                <w:sz w:val="20"/>
              </w:rPr>
              <w:t>拉臂钩结构件主要材质为高强度合金钢；</w:t>
            </w:r>
          </w:p>
          <w:p>
            <w:pPr>
              <w:pStyle w:val="15"/>
            </w:pPr>
            <w:r>
              <w:rPr>
                <w:rFonts w:ascii="宋体" w:hAnsi="宋体" w:eastAsia="宋体" w:cs="宋体"/>
                <w:sz w:val="20"/>
              </w:rPr>
              <w:t>●</w:t>
            </w:r>
            <w:r>
              <w:rPr>
                <w:rFonts w:ascii="Calibri" w:hAnsi="Calibri" w:eastAsia="Calibri" w:cs="Calibri"/>
                <w:sz w:val="20"/>
              </w:rPr>
              <w:t>20.</w:t>
            </w:r>
            <w:r>
              <w:rPr>
                <w:rFonts w:ascii="宋体" w:hAnsi="宋体" w:eastAsia="宋体" w:cs="宋体"/>
                <w:sz w:val="20"/>
              </w:rPr>
              <w:t>液压缸均安装安全阀</w:t>
            </w:r>
            <w:r>
              <w:rPr>
                <w:rFonts w:ascii="Calibri" w:hAnsi="Calibri" w:eastAsia="Calibri" w:cs="Calibri"/>
                <w:sz w:val="20"/>
              </w:rPr>
              <w:t>,</w:t>
            </w:r>
            <w:r>
              <w:rPr>
                <w:rFonts w:ascii="宋体" w:hAnsi="宋体" w:eastAsia="宋体" w:cs="宋体"/>
                <w:sz w:val="20"/>
              </w:rPr>
              <w:t>避免软管爆管或误操作时垃圾箱下落；</w:t>
            </w:r>
          </w:p>
          <w:p>
            <w:pPr>
              <w:pStyle w:val="15"/>
            </w:pPr>
            <w:r>
              <w:rPr>
                <w:rFonts w:ascii="宋体" w:hAnsi="宋体" w:eastAsia="宋体" w:cs="宋体"/>
                <w:sz w:val="20"/>
              </w:rPr>
              <w:t>★21</w:t>
            </w:r>
            <w:r>
              <w:rPr>
                <w:rFonts w:ascii="Calibri" w:hAnsi="Calibri" w:eastAsia="Calibri" w:cs="Calibri"/>
                <w:sz w:val="20"/>
              </w:rPr>
              <w:t>.</w:t>
            </w:r>
            <w:r>
              <w:rPr>
                <w:rFonts w:ascii="宋体" w:hAnsi="宋体" w:eastAsia="宋体" w:cs="宋体"/>
                <w:sz w:val="20"/>
              </w:rPr>
              <w:t>采用手动液压杆</w:t>
            </w:r>
            <w:r>
              <w:rPr>
                <w:rFonts w:ascii="Calibri" w:hAnsi="Calibri" w:eastAsia="Calibri" w:cs="Calibri"/>
                <w:sz w:val="20"/>
              </w:rPr>
              <w:t>+</w:t>
            </w:r>
            <w:r>
              <w:rPr>
                <w:rFonts w:ascii="宋体" w:hAnsi="宋体" w:eastAsia="宋体" w:cs="宋体"/>
                <w:sz w:val="20"/>
              </w:rPr>
              <w:t>驾驶室电控按键</w:t>
            </w:r>
            <w:r>
              <w:rPr>
                <w:rFonts w:ascii="Calibri" w:hAnsi="Calibri" w:eastAsia="Calibri" w:cs="Calibri"/>
                <w:sz w:val="20"/>
              </w:rPr>
              <w:t>+</w:t>
            </w:r>
            <w:r>
              <w:rPr>
                <w:rFonts w:ascii="宋体" w:hAnsi="宋体" w:eastAsia="宋体" w:cs="宋体"/>
                <w:sz w:val="20"/>
              </w:rPr>
              <w:t>无线遥控三种操作方式，在驾驶室、地面通过移动操作面板均可对拉臂钩操作控制，能保证驾驶员在驾驶室内完成提箱、卸箱及倾倒垃圾的全部操纵。拉臂钩出现故障不会影响底盘电气系统的正常工作，也不会影响整车制动系统性能；</w:t>
            </w:r>
          </w:p>
          <w:p>
            <w:pPr>
              <w:pStyle w:val="15"/>
            </w:pPr>
            <w:r>
              <w:rPr>
                <w:rFonts w:ascii="宋体" w:hAnsi="宋体" w:eastAsia="宋体" w:cs="宋体"/>
                <w:sz w:val="20"/>
              </w:rPr>
              <w:t>●</w:t>
            </w:r>
            <w:r>
              <w:rPr>
                <w:rFonts w:ascii="Calibri" w:hAnsi="Calibri" w:eastAsia="Calibri" w:cs="Calibri"/>
                <w:sz w:val="20"/>
              </w:rPr>
              <w:t>22.</w:t>
            </w:r>
            <w:r>
              <w:rPr>
                <w:rFonts w:ascii="宋体" w:hAnsi="宋体" w:eastAsia="宋体" w:cs="宋体"/>
                <w:sz w:val="20"/>
              </w:rPr>
              <w:t>锁紧方式采用三点机械锁紧：钩臂与垃圾箱前部锁紧，防止箱体在拉臂车上串动；拉臂钩中部左右限位装置，防止箱体左右摆动；拉臂车锁舌装置与箱体槽形装置配合，防止箱体后部左右及上下跳动。同时配备后箱体锁报警装置，当箱锁处于打开状态时会以声光的形式持续报警，以提醒操作人员，箱锁关闭后报警自动解除；</w:t>
            </w:r>
          </w:p>
          <w:p>
            <w:pPr>
              <w:pStyle w:val="15"/>
            </w:pPr>
            <w:r>
              <w:rPr>
                <w:rFonts w:ascii="宋体" w:hAnsi="宋体" w:eastAsia="宋体" w:cs="宋体"/>
                <w:sz w:val="20"/>
              </w:rPr>
              <w:t>●</w:t>
            </w:r>
            <w:r>
              <w:rPr>
                <w:rFonts w:ascii="Calibri" w:hAnsi="Calibri" w:eastAsia="Calibri" w:cs="Calibri"/>
                <w:sz w:val="20"/>
              </w:rPr>
              <w:t>23.</w:t>
            </w:r>
            <w:r>
              <w:rPr>
                <w:rFonts w:ascii="宋体" w:hAnsi="宋体" w:eastAsia="宋体" w:cs="宋体"/>
                <w:sz w:val="20"/>
              </w:rPr>
              <w:t>具备与箱体对接的液压快速接头，可快速对接箱体为箱体液压系统提供动力，上装部分机械部位要有黄油加注口，同时，液压快速接头要与原有垃圾箱匹配和现有购买垃圾箱（投标人在获取文件后联系采购人统一组织实地踏勘）匹配；</w:t>
            </w:r>
          </w:p>
          <w:p>
            <w:pPr>
              <w:pStyle w:val="15"/>
            </w:pPr>
            <w:r>
              <w:rPr>
                <w:rFonts w:ascii="宋体" w:hAnsi="宋体" w:eastAsia="宋体" w:cs="宋体"/>
                <w:sz w:val="20"/>
              </w:rPr>
              <w:t>★</w:t>
            </w:r>
            <w:r>
              <w:rPr>
                <w:rFonts w:ascii="Calibri" w:hAnsi="Calibri" w:eastAsia="Calibri" w:cs="Calibri"/>
                <w:sz w:val="20"/>
              </w:rPr>
              <w:t>24.</w:t>
            </w:r>
            <w:r>
              <w:rPr>
                <w:rFonts w:ascii="宋体" w:hAnsi="宋体" w:eastAsia="宋体" w:cs="宋体"/>
                <w:sz w:val="20"/>
              </w:rPr>
              <w:t>车厢可卸式垃圾车必须与汉源县市政环卫所垃圾压缩中转站现有垂直式垃圾压缩系统匹配和汉源县九襄镇垃圾压缩中转站现有水平式垃圾压缩系统匹配；（投标人须在投标文件中提供承诺函，格式自拟）；（投标人在获取文件后联系采购人统一组织实地踏勘）。</w:t>
            </w:r>
          </w:p>
          <w:p>
            <w:pPr>
              <w:pStyle w:val="15"/>
              <w:jc w:val="both"/>
            </w:pPr>
            <w:r>
              <w:rPr>
                <w:rFonts w:ascii="宋体" w:hAnsi="宋体" w:eastAsia="宋体" w:cs="宋体"/>
                <w:sz w:val="20"/>
              </w:rPr>
              <w:t>★</w:t>
            </w:r>
            <w:r>
              <w:rPr>
                <w:rFonts w:ascii="Calibri" w:hAnsi="Calibri" w:eastAsia="Calibri" w:cs="Calibri"/>
                <w:sz w:val="20"/>
              </w:rPr>
              <w:t>25.</w:t>
            </w:r>
            <w:r>
              <w:rPr>
                <w:rFonts w:ascii="宋体" w:hAnsi="宋体" w:eastAsia="宋体" w:cs="宋体"/>
                <w:sz w:val="20"/>
              </w:rPr>
              <w:t>投标人针对本次采购车辆做出的售后服务承诺书，整车质保期不低于</w:t>
            </w:r>
            <w:r>
              <w:rPr>
                <w:rFonts w:ascii="Calibri" w:hAnsi="Calibri" w:eastAsia="Calibri" w:cs="Calibri"/>
                <w:sz w:val="20"/>
              </w:rPr>
              <w:t>2</w:t>
            </w:r>
            <w:r>
              <w:rPr>
                <w:rFonts w:ascii="宋体" w:hAnsi="宋体" w:eastAsia="宋体" w:cs="宋体"/>
                <w:sz w:val="20"/>
              </w:rPr>
              <w:t>年。（投标人须在投标文件中提供承诺函，格式自拟）</w:t>
            </w:r>
          </w:p>
          <w:p>
            <w:pPr>
              <w:pStyle w:val="15"/>
            </w:pPr>
          </w:p>
        </w:tc>
      </w:tr>
    </w:tbl>
    <w:p>
      <w:pPr>
        <w:pStyle w:val="15"/>
        <w:outlineLvl w:val="2"/>
      </w:pPr>
      <w:r>
        <w:rPr>
          <w:b/>
          <w:sz w:val="28"/>
        </w:rPr>
        <w:t>3.4商务要求</w:t>
      </w:r>
    </w:p>
    <w:p>
      <w:pPr>
        <w:pStyle w:val="15"/>
        <w:outlineLvl w:val="3"/>
      </w:pPr>
      <w:r>
        <w:rPr>
          <w:b/>
          <w:sz w:val="24"/>
        </w:rPr>
        <w:t>3.4.1交货时间</w:t>
      </w:r>
    </w:p>
    <w:p>
      <w:pPr>
        <w:pStyle w:val="15"/>
      </w:pPr>
    </w:p>
    <w:p>
      <w:pPr>
        <w:pStyle w:val="15"/>
      </w:pPr>
    </w:p>
    <w:p>
      <w:pPr>
        <w:pStyle w:val="15"/>
      </w:pPr>
    </w:p>
    <w:p>
      <w:pPr>
        <w:pStyle w:val="15"/>
      </w:pPr>
      <w:r>
        <w:t>采购包1：</w:t>
      </w:r>
    </w:p>
    <w:p>
      <w:pPr>
        <w:pStyle w:val="15"/>
      </w:pPr>
      <w:r>
        <w:t xml:space="preserve"> 自合同签订之日起60日</w:t>
      </w:r>
    </w:p>
    <w:p>
      <w:pPr>
        <w:pStyle w:val="15"/>
        <w:outlineLvl w:val="3"/>
      </w:pPr>
      <w:r>
        <w:rPr>
          <w:b/>
          <w:sz w:val="24"/>
        </w:rPr>
        <w:t>3.4.2交货地点</w:t>
      </w:r>
    </w:p>
    <w:p>
      <w:pPr>
        <w:pStyle w:val="15"/>
      </w:pPr>
    </w:p>
    <w:p>
      <w:pPr>
        <w:pStyle w:val="15"/>
      </w:pPr>
    </w:p>
    <w:p>
      <w:pPr>
        <w:pStyle w:val="15"/>
      </w:pPr>
    </w:p>
    <w:p>
      <w:pPr>
        <w:pStyle w:val="15"/>
      </w:pPr>
      <w:r>
        <w:t>采购包1：</w:t>
      </w:r>
    </w:p>
    <w:p>
      <w:pPr>
        <w:pStyle w:val="15"/>
      </w:pPr>
      <w:r>
        <w:t>雅安市汉源县</w:t>
      </w:r>
    </w:p>
    <w:p>
      <w:pPr>
        <w:pStyle w:val="15"/>
        <w:outlineLvl w:val="3"/>
      </w:pPr>
      <w:r>
        <w:rPr>
          <w:b/>
          <w:sz w:val="24"/>
        </w:rPr>
        <w:t>3.4.3支付方式</w:t>
      </w:r>
    </w:p>
    <w:p>
      <w:pPr>
        <w:pStyle w:val="15"/>
      </w:pPr>
    </w:p>
    <w:p>
      <w:pPr>
        <w:pStyle w:val="15"/>
      </w:pPr>
    </w:p>
    <w:p>
      <w:pPr>
        <w:pStyle w:val="15"/>
      </w:pPr>
    </w:p>
    <w:p>
      <w:pPr>
        <w:pStyle w:val="15"/>
      </w:pPr>
      <w:r>
        <w:t>采购包1：</w:t>
      </w:r>
    </w:p>
    <w:p>
      <w:pPr>
        <w:pStyle w:val="15"/>
      </w:pPr>
      <w:r>
        <w:t>分期付款</w:t>
      </w:r>
    </w:p>
    <w:p>
      <w:pPr>
        <w:pStyle w:val="15"/>
        <w:outlineLvl w:val="3"/>
      </w:pPr>
      <w:r>
        <w:rPr>
          <w:b/>
          <w:sz w:val="24"/>
        </w:rPr>
        <w:t>3.4.4支付约定</w:t>
      </w:r>
    </w:p>
    <w:p>
      <w:pPr>
        <w:pStyle w:val="15"/>
      </w:pPr>
    </w:p>
    <w:p>
      <w:pPr>
        <w:pStyle w:val="15"/>
      </w:pPr>
    </w:p>
    <w:p>
      <w:pPr>
        <w:pStyle w:val="15"/>
      </w:pPr>
    </w:p>
    <w:p>
      <w:pPr>
        <w:pStyle w:val="15"/>
      </w:pPr>
      <w:r>
        <w:t>采购包1： 付款条件说明： 政府采购合同签订生效后 ，达到付款条件起 5 日内，支付合同总金额的 30.00%。</w:t>
      </w:r>
    </w:p>
    <w:p>
      <w:pPr>
        <w:pStyle w:val="15"/>
      </w:pPr>
      <w:r>
        <w:t>采购包1： 付款条件说明：  车辆及设备安装完成，验收合格后 ，达到付款条件起 10 日内，支付合同总金额的 20.00%。</w:t>
      </w:r>
    </w:p>
    <w:p>
      <w:pPr>
        <w:pStyle w:val="15"/>
      </w:pPr>
      <w:r>
        <w:t>采购包1： 付款条件说明： 车辆试运行60日后进行最终验收并合格后 ，达到付款条件起 10 日内，支付合同总金额的 50.00%。</w:t>
      </w:r>
    </w:p>
    <w:p>
      <w:pPr>
        <w:pStyle w:val="15"/>
        <w:outlineLvl w:val="3"/>
      </w:pPr>
      <w:r>
        <w:rPr>
          <w:b/>
          <w:sz w:val="24"/>
        </w:rPr>
        <w:t>3.4.5验收标准和方法</w:t>
      </w:r>
    </w:p>
    <w:p>
      <w:pPr>
        <w:pStyle w:val="15"/>
      </w:pPr>
    </w:p>
    <w:p>
      <w:pPr>
        <w:pStyle w:val="15"/>
      </w:pPr>
    </w:p>
    <w:p>
      <w:pPr>
        <w:pStyle w:val="15"/>
      </w:pPr>
    </w:p>
    <w:p>
      <w:pPr>
        <w:pStyle w:val="15"/>
      </w:pPr>
      <w:r>
        <w:t>采购包1：</w:t>
      </w:r>
    </w:p>
    <w:p>
      <w:pPr>
        <w:pStyle w:val="15"/>
      </w:pPr>
      <w:r>
        <w:t>(一)本项目现场验收由甲方组织，乙方配合进行。甲方邀请专家参与验收，相关验收意见作为验收的参考资料。 (二)在乙方通知履约完成后5日内组织验收。 (三)验收标准：按国家有关规定以及招标文件的质量要求和技术指标(包括每一项技术和商务要求的履约情况)、乙方的投标文件及承诺与本合同约定标准进行验收；甲乙双方如对质量要求和技术指标的约定标准有相互抵触或异议的事项，由甲方在招标文件中按质量要求和技术指标比较优胜的原则确定该项的约定标准进行验收； (四)验收时如发现所提交的成果不符合标准及本合同规定之情形者，甲方应做出详尽的现场记录，或由甲乙双方签署备忘录，此现场记录或备忘录可用作补充、缺失和整改的有效证据，由此产生的时间延误与有关费用由乙方承担，验收期限相应顺延； (五)如验收合格，双方签署验收报告。 (六)其他未尽事宜应严格按照《财政部关于进一步加强政府采购需求和履约验收管理的指导意见》(财库〔2016〕205号)、《政府采购需求管理办法》（财库〔2021〕22号）和招标文件相关要求进行验收。</w:t>
      </w:r>
    </w:p>
    <w:p>
      <w:pPr>
        <w:pStyle w:val="15"/>
        <w:outlineLvl w:val="3"/>
      </w:pPr>
      <w:r>
        <w:rPr>
          <w:b/>
          <w:sz w:val="24"/>
        </w:rPr>
        <w:t>3.4.6包装方式及运输</w:t>
      </w:r>
    </w:p>
    <w:p>
      <w:pPr>
        <w:pStyle w:val="15"/>
      </w:pPr>
    </w:p>
    <w:p>
      <w:pPr>
        <w:pStyle w:val="15"/>
      </w:pPr>
    </w:p>
    <w:p>
      <w:pPr>
        <w:pStyle w:val="15"/>
      </w:pPr>
    </w:p>
    <w:p>
      <w:pPr>
        <w:pStyle w:val="15"/>
      </w:pPr>
      <w:r>
        <w:t>采购包1：</w:t>
      </w:r>
    </w:p>
    <w:p>
      <w:pPr>
        <w:pStyle w:val="15"/>
      </w:pPr>
      <w:r>
        <w:t>★1、中标人须严格按照《商品包装政府采购需求标准(试行)》、 《快递包装政府采购需求标准(试行)》(财办库〔2020〕123号)的要求进行产品及相关快递服务的包装，具体要求查询链接：http://www.ccgp.gov.cn/zcfg/mof/202007/t20200703_14587250.htm。 ★2、中标人应当按照约定的方式交付标的物。对于包装方式没有约定或者约定不明确的，应当按照通用的方式包装；没有通用方式的，应当采取足以保护标的物且有利于节约资源，保护生态环境的包装方式。 ★3、本次采购的标的物需要运输，中标人在合同约定的时间内将标的物运输至合同约定地点。中标人自行运输标的物或委托承运人运输的，其损毁、灭失的风险自合同成立时起由中标人承担。 ★4、中标人按照约定将标的物运送至采购人指定地点并完成交付的或采购人违反约定不予收取的，标的物损毁、灭失的风险由采购人承担。</w:t>
      </w:r>
    </w:p>
    <w:p>
      <w:pPr>
        <w:pStyle w:val="15"/>
        <w:outlineLvl w:val="3"/>
      </w:pPr>
      <w:r>
        <w:rPr>
          <w:b/>
          <w:sz w:val="24"/>
        </w:rPr>
        <w:t>3.4.7质量保修范围和保修期</w:t>
      </w:r>
    </w:p>
    <w:p>
      <w:pPr>
        <w:pStyle w:val="15"/>
      </w:pPr>
    </w:p>
    <w:p>
      <w:pPr>
        <w:pStyle w:val="15"/>
      </w:pPr>
    </w:p>
    <w:p>
      <w:pPr>
        <w:pStyle w:val="15"/>
      </w:pPr>
    </w:p>
    <w:p>
      <w:pPr>
        <w:pStyle w:val="15"/>
      </w:pPr>
      <w:r>
        <w:t>采购包1：</w:t>
      </w:r>
    </w:p>
    <w:p>
      <w:pPr>
        <w:pStyle w:val="15"/>
      </w:pPr>
      <w:r>
        <w:t>★1.质保期：两年。 2.投标人应有完善的技术支持与服务体系，专人负责与采购人联系售后服务事宜，必要的售后机具配置、具有专门固定的售后服务电话。 3.投标人针对本项目向采购人提供培训服务，培训内容包括车辆、集装箱的性能、原理、操作、保养和维护等内容，达到采购人可独立使用，培训人数和地点由采购人指定，并在培训后免费提供技术咨询服务。 4.在质保期内货物出现质量问题，供应商应在接到通知后3小时内到场，12小时内完成维修。设备需更换的应在2个工作日内完成更换。 5.货物经投标人3次维修或更换仍不能达到本合同约定的质量标准，视作供应商未能按时交货，采购人有权退货并追究供应商的违约责任。 6.投标人承诺项目全部货物的各种部件均保证齐备、充足供应，若因产品升级更新等原因不能保障供应造成采购人损失的，供应商承担全部赔偿责任，在交货时需向采购人提供货物常规备品备件。 7.质保期内投标人负责所有因货物质量问题而产生的费用，所有服务免费。质保期满前一个月，供应商免费负责一次全面的检查、维护，并出具正式报告，如发现潜在问题，应负责排除不收取任何费用。 8.质保期内，投标人保证每年巡视维护设备不低于2次，每年对货物免费进行2次保养和安全检测。 9、供应商需向采购人出具《售后服务承诺书》。如合同项下车辆非由供应商制造，供应商应与车辆制造厂家或其专业售后服务机构共同出具《售后服务承诺书》。 10.依法法律、行政法规的规定或按照当事人的约定，标的物在有效使用年限届满后应予以回收的，供应商负有自行或委托第三人对标的物予以回收的义务。★ 11.投标人提供的车辆应满足国家现行机动车相关标准，并于中标后提供相关资料协助采购人上户（上户费用由中标人承担，包含交强险、车船税、商业险三者300万、车辆购置税等上户产生的一切费用）（须在投标文件中提供承诺函，格式自理）；</w:t>
      </w:r>
    </w:p>
    <w:p>
      <w:pPr>
        <w:pStyle w:val="15"/>
        <w:outlineLvl w:val="3"/>
      </w:pPr>
      <w:r>
        <w:rPr>
          <w:b/>
          <w:sz w:val="24"/>
        </w:rPr>
        <w:t>3.4.8违约责任与解决争议的方法</w:t>
      </w:r>
    </w:p>
    <w:p>
      <w:pPr>
        <w:pStyle w:val="15"/>
      </w:pPr>
    </w:p>
    <w:p>
      <w:pPr>
        <w:pStyle w:val="15"/>
      </w:pPr>
    </w:p>
    <w:p>
      <w:pPr>
        <w:pStyle w:val="15"/>
      </w:pPr>
    </w:p>
    <w:p>
      <w:pPr>
        <w:pStyle w:val="15"/>
      </w:pPr>
      <w:r>
        <w:t>采购包1：</w:t>
      </w:r>
    </w:p>
    <w:p>
      <w:pPr>
        <w:pStyle w:val="15"/>
      </w:pPr>
      <w:r>
        <w:t>（1）甲方违约责任 1）甲方无正当理由拒收货物的，甲方应偿付合同总价百分之10的违约金。 2）甲方逾期支付货款的，除应及时付足货款外，应向乙方偿付欠款总额万分之 5 /天的违约金；逾期付款超过90个工作日的，乙方有权终止合同。 3）甲方偿付的违约金不足以弥补乙方损失的，还应按乙方损失尚未弥补的部分，支付赔偿金给乙方。 （2）乙方违约责任 1）乙方交付的货物质量不符合合同规定的，乙方应向甲方支付中标金额的百分之10的违约金。 2）乙方因自身原因不能交付货物或逾期交付货物而违约的，除应及时交足货物外，应向甲方支付合同总额万分之 5 /天的违约金。因乙方原因逾期交货超过20天，甲方有权解除合同，乙方则应按合同总价的百分之10的款额向甲方偿付赔偿金，并须全额退还甲方已经付给乙方的货款及其利息。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10向甲方支付违约金并赔偿因此给甲方造成的一切损失。 5）乙方偿付的违约金不足以弥补甲方损失的，还应按甲方损失尚未弥补的部分，支付赔偿金给甲方。 6）经过调查核实或者检测检验，乙方响应产品的实际技术参数与其投标文件、响应文件中提供的响应产品的宣传资料标注的技术参数不一致的，或者投标文件中响应的技术参数与宣传资料标注的参数不一致，或者投标文件中响应的技术参数与产品实际参数不一致的，按照《中华人民共和国政府采购法》第七十七条第一款第（一）项以“提供虚假材料谋取中标、成交的”规定进行处罚。</w:t>
      </w:r>
    </w:p>
    <w:p>
      <w:pPr>
        <w:pStyle w:val="15"/>
        <w:jc w:val="left"/>
        <w:outlineLvl w:val="2"/>
      </w:pPr>
      <w:r>
        <w:rPr>
          <w:b/>
          <w:sz w:val="28"/>
        </w:rPr>
        <w:t>3.5其他要求</w:t>
      </w:r>
    </w:p>
    <w:p>
      <w:pPr>
        <w:pStyle w:val="15"/>
      </w:pPr>
    </w:p>
    <w:p>
      <w:pPr>
        <w:pStyle w:val="15"/>
      </w:pPr>
    </w:p>
    <w:p>
      <w:pPr>
        <w:pStyle w:val="15"/>
      </w:pPr>
      <w:r>
        <w:t>（一）★付款条件：注：①采购人不得向中标人提出任何不合理的要求作为签订合同的条件，不得将招标文件和合同中未规定的义务作为向中标人付款的条件。②对于满足采购合同约定资金支付条件的，釆购人应当自收到发票后10日内(第一次付款或预付款除外)将资金按时足额支付到约定账户。釆购人不得以机构变动、人员更替、内部程序、政策调整、单位放假等为由延迟付款，釆购人无故拒绝或者延迟支付政府采购合同款项的，应当依照采购合同约定承担违约责任。 ③每次付款前，中标人须向采购人出具合法有效完整的增值税发票及凭证资料后进行支付结算，付款方式均采用公对公的银行转账，中标人接受转账的开户信息以合同载明的为准。如因中标人未按照要求提供合法有效的发票导致逾期付款的，不视为采购人违约，采购人不承担任何责任。④鼓励采购人完善内部流程，自收到发票后1个工作日内完成资金支付事宜。 （二）其他要求 ★1.合同事项 ：（1）①按照《雅安市财政局关于优化政府采购营商环境的通知》雅财采〔2021〕22号要求，采购人应当加快与中标人签订政府采购合同，原则上不超过10个工作日，因情况特殊须确保在中标通知书发出后30日法定期限内及时签订采购合同。②采购人因不可抗力原因迟延签订合同的，应当自不可抗力事由消除之日起7日内完成合同签订事宜。 （2）政府采购合同的双方当事人不得擅自变更合同，依照政府采购法确需变更政府采购合同内容的，采购人应当自合同变更之日起2个工作日内在省级以上财政部门指定的媒体上发布政府采购合同变更公告，但涉及国家秘密、商业秘密的信息和其他依法不得公开的信息除外。政府采购合同变更公告应当包括原合同编号、名称和文本，原合同变更的条款号，变更后作为原合同组成部分的补充合同文本，合同变更时间，变更公告日期等。 ★2.投标人在项目执行过程中定期及时向采购人通告本项目供货的重大事项及其进度。 ★3.接受项目行业管理部门及政府有关部门的指导，接受采购人的监督。 ★4.本项目采购过程和合同履行过程中的风险严格按照采购人的风险控制管理要求执行。（三）投标人投诉 投诉受理单位：雅安市汉源县财政局，联系电话：0835-4229282，地址： 四川省雅安市汉源县富林大道二段112号， 邮编：625300，注：①投标人投诉应当有明确的请求和必要的证明材料。投标人投诉的事项不得超出已质疑事项的范围，须符合《政府采购质疑和投诉办法》(财政部令第94号)规定，并使用财政部下发《投诉书》范本，格式详见附件。②投标人可通过在线、现场、邮寄、邮箱等多种方式提起投诉。（四）★报价要求：供应商应在分项报价表中完整填写生产厂家、品牌及规格型号。（五）履约能力：1、项目实施方案包含①人员配置分工及包装运输；②安装调试；③质量保障措施及应急预案等三个方面的内容；2、项目售后服务方案包含①售后服务流程及组织结构图、售后管理；②售后服务实施办法及售后服务承诺；③备品备件供应措施、售后服务响应时间及保障措施等三个方面的内容；3、匹配设计方案包含：①箱体与压缩设备的对接方式及工作效率；②箱体与压缩设备对接后作业时的密闭性能；③安全运行保障措施等三个方面的内容；4、投标人具有类似项目履约经验，提供类似项目的履约经验证明材料。（六）★保险：1、投标人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2、投标人应为本项目提供履约的所有人员按照国家规定购买相关保险。3、投标人自行运输标的物或委托承运人运输的，应为该批货物购买货物运输保险及运输工具航程保险(如涉及)。（七）★验收其他要求：中标人按投标文件承诺及合同要求完成项目安装调试后，试运行5天，如所有软硬件运行正常，功能符合要求，可申请初步验收；签订初步验收报告并进入60日试运行，试运行间发生重大质量问题，上报相关主管部门处理；试运行结束后 7日内完成最终验收，验收标准及验收内容包括每一项技术和商务要求的履约情况，相关验收意见作为验收的结论。（八）★垃圾转运集装箱最终颜色于双方签订中标合同时约定。</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6"/>
      <w:suff w:val="nothing"/>
      <w:lvlText w:val="%2、"/>
      <w:lvlJc w:val="left"/>
      <w:pPr>
        <w:ind w:left="0" w:firstLine="0"/>
      </w:pPr>
      <w:rPr>
        <w:rFonts w:hint="eastAsia" w:ascii="宋体" w:hAnsi="宋体" w:eastAsia="宋体" w:cs="宋体"/>
      </w:rPr>
    </w:lvl>
    <w:lvl w:ilvl="2" w:tentative="0">
      <w:start w:val="1"/>
      <w:numFmt w:val="chineseCounting"/>
      <w:pStyle w:val="18"/>
      <w:suff w:val="nothing"/>
      <w:lvlText w:val="(%3)"/>
      <w:lvlJc w:val="left"/>
      <w:pPr>
        <w:tabs>
          <w:tab w:val="left" w:pos="0"/>
        </w:tabs>
        <w:ind w:left="0" w:firstLine="0"/>
      </w:pPr>
      <w:rPr>
        <w:rFonts w:hint="eastAsia" w:ascii="宋体" w:hAnsi="宋体" w:eastAsia="宋体" w:cs="宋体"/>
      </w:rPr>
    </w:lvl>
    <w:lvl w:ilvl="3" w:tentative="0">
      <w:start w:val="1"/>
      <w:numFmt w:val="decimal"/>
      <w:pStyle w:val="22"/>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26"/>
      <w:suff w:val="nothing"/>
      <w:lvlText w:val="%1."/>
      <w:lvlJc w:val="left"/>
      <w:pPr>
        <w:tabs>
          <w:tab w:val="left" w:pos="420"/>
        </w:tabs>
        <w:ind w:left="0" w:firstLine="0"/>
      </w:pPr>
      <w:rPr>
        <w:rFonts w:hint="default" w:ascii="宋体" w:hAnsi="宋体" w:eastAsia="宋体" w:cs="宋体"/>
      </w:rPr>
    </w:lvl>
    <w:lvl w:ilvl="1" w:tentative="0">
      <w:start w:val="1"/>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pStyle w:val="20"/>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21"/>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ZjVhNGQ1ZmY4MjU4MjIwMTk4ZmQyZDQzZmM5NTcifQ=="/>
  </w:docVars>
  <w:rsids>
    <w:rsidRoot w:val="22D948C2"/>
    <w:rsid w:val="00081FEE"/>
    <w:rsid w:val="01A87BFD"/>
    <w:rsid w:val="055E73BE"/>
    <w:rsid w:val="06343307"/>
    <w:rsid w:val="0C45701B"/>
    <w:rsid w:val="0D7C583C"/>
    <w:rsid w:val="0EDE0FA3"/>
    <w:rsid w:val="13A06F2D"/>
    <w:rsid w:val="1472148A"/>
    <w:rsid w:val="15962E78"/>
    <w:rsid w:val="17BE22E3"/>
    <w:rsid w:val="18986593"/>
    <w:rsid w:val="191B1A02"/>
    <w:rsid w:val="1D331005"/>
    <w:rsid w:val="1D424249"/>
    <w:rsid w:val="20B15CAD"/>
    <w:rsid w:val="20C13207"/>
    <w:rsid w:val="20D533E5"/>
    <w:rsid w:val="213864F8"/>
    <w:rsid w:val="222811E0"/>
    <w:rsid w:val="22D948C2"/>
    <w:rsid w:val="24357263"/>
    <w:rsid w:val="24A614BD"/>
    <w:rsid w:val="24E32585"/>
    <w:rsid w:val="25EB4B0C"/>
    <w:rsid w:val="26E20E38"/>
    <w:rsid w:val="28DE3CBB"/>
    <w:rsid w:val="293E7010"/>
    <w:rsid w:val="2A296580"/>
    <w:rsid w:val="2A6C3C90"/>
    <w:rsid w:val="2AA646C9"/>
    <w:rsid w:val="2B930AE3"/>
    <w:rsid w:val="2C370C3A"/>
    <w:rsid w:val="2CC426E8"/>
    <w:rsid w:val="2CDD3F87"/>
    <w:rsid w:val="2D710E31"/>
    <w:rsid w:val="2EB743F0"/>
    <w:rsid w:val="2F9C5652"/>
    <w:rsid w:val="318773D1"/>
    <w:rsid w:val="364A794E"/>
    <w:rsid w:val="384A5CBD"/>
    <w:rsid w:val="388A32D6"/>
    <w:rsid w:val="39590CF4"/>
    <w:rsid w:val="3D2A44C5"/>
    <w:rsid w:val="3D356319"/>
    <w:rsid w:val="3DDF0AA2"/>
    <w:rsid w:val="3E1E251B"/>
    <w:rsid w:val="3F2D1E94"/>
    <w:rsid w:val="3F3E0EB8"/>
    <w:rsid w:val="45730B82"/>
    <w:rsid w:val="463E0851"/>
    <w:rsid w:val="496156B5"/>
    <w:rsid w:val="4F8F17C8"/>
    <w:rsid w:val="5190336A"/>
    <w:rsid w:val="52A839DE"/>
    <w:rsid w:val="560B7E7D"/>
    <w:rsid w:val="561960B0"/>
    <w:rsid w:val="561F0979"/>
    <w:rsid w:val="56722082"/>
    <w:rsid w:val="573C3951"/>
    <w:rsid w:val="57854FE5"/>
    <w:rsid w:val="5AC83DC3"/>
    <w:rsid w:val="5AFC5DA3"/>
    <w:rsid w:val="5BEF47EA"/>
    <w:rsid w:val="5E833BD1"/>
    <w:rsid w:val="5EB703BD"/>
    <w:rsid w:val="5EC53737"/>
    <w:rsid w:val="5F8D19F4"/>
    <w:rsid w:val="60064E63"/>
    <w:rsid w:val="600C3913"/>
    <w:rsid w:val="60795CE5"/>
    <w:rsid w:val="615439AF"/>
    <w:rsid w:val="635D13EF"/>
    <w:rsid w:val="68723649"/>
    <w:rsid w:val="69116C93"/>
    <w:rsid w:val="6A33666A"/>
    <w:rsid w:val="6BAC23C5"/>
    <w:rsid w:val="6BF63696"/>
    <w:rsid w:val="6E477E0C"/>
    <w:rsid w:val="6EB84C34"/>
    <w:rsid w:val="710175AA"/>
    <w:rsid w:val="71855671"/>
    <w:rsid w:val="72735479"/>
    <w:rsid w:val="734D6BB2"/>
    <w:rsid w:val="77342477"/>
    <w:rsid w:val="7813570F"/>
    <w:rsid w:val="78A441F1"/>
    <w:rsid w:val="79F575AB"/>
    <w:rsid w:val="7AAD18B9"/>
    <w:rsid w:val="7AC9184A"/>
    <w:rsid w:val="7B34194A"/>
    <w:rsid w:val="7C995C5B"/>
    <w:rsid w:val="7D257975"/>
    <w:rsid w:val="7E974BB7"/>
    <w:rsid w:val="7F0D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rPr>
  </w:style>
  <w:style w:type="paragraph" w:styleId="3">
    <w:name w:val="HTML Address"/>
    <w:basedOn w:val="1"/>
    <w:next w:val="4"/>
    <w:autoRedefine/>
    <w:qFormat/>
    <w:uiPriority w:val="0"/>
    <w:pPr>
      <w:widowControl w:val="0"/>
      <w:autoSpaceDE/>
      <w:autoSpaceDN/>
      <w:spacing w:before="0" w:after="0" w:line="240" w:lineRule="auto"/>
      <w:ind w:left="0" w:firstLine="3584"/>
      <w:jc w:val="both"/>
    </w:pPr>
  </w:style>
  <w:style w:type="paragraph" w:styleId="4">
    <w:name w:val="toc 2"/>
    <w:basedOn w:val="1"/>
    <w:next w:val="1"/>
    <w:autoRedefine/>
    <w:qFormat/>
    <w:uiPriority w:val="0"/>
    <w:pPr>
      <w:wordWrap w:val="0"/>
      <w:topLinePunct/>
      <w:spacing w:line="400" w:lineRule="exact"/>
      <w:ind w:left="420" w:leftChars="200"/>
    </w:pPr>
    <w:rPr>
      <w:sz w:val="21"/>
    </w:rPr>
  </w:style>
  <w:style w:type="paragraph" w:styleId="5">
    <w:name w:val="Body Text 2"/>
    <w:basedOn w:val="1"/>
    <w:next w:val="1"/>
    <w:autoRedefine/>
    <w:qFormat/>
    <w:uiPriority w:val="0"/>
    <w:pPr>
      <w:adjustRightInd w:val="0"/>
      <w:snapToGrid w:val="0"/>
      <w:spacing w:line="480" w:lineRule="atLeast"/>
    </w:p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autoRedefine/>
    <w:qFormat/>
    <w:uiPriority w:val="0"/>
    <w:rPr>
      <w:color w:val="0000FF"/>
      <w:u w:val="single"/>
    </w:rPr>
  </w:style>
  <w:style w:type="paragraph" w:customStyle="1" w:styleId="11">
    <w:name w:val="标题 5（有编号）（绿盟科技）"/>
    <w:basedOn w:val="12"/>
    <w:next w:val="14"/>
    <w:autoRedefine/>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12">
    <w:name w:val="正文1"/>
    <w:next w:val="13"/>
    <w:autoRedefine/>
    <w:qFormat/>
    <w:uiPriority w:val="0"/>
    <w:pPr>
      <w:widowControl w:val="0"/>
      <w:suppressAutoHyphens w:val="0"/>
      <w:bidi w:val="0"/>
      <w:spacing w:beforeLines="0" w:afterLines="0"/>
      <w:jc w:val="both"/>
    </w:pPr>
    <w:rPr>
      <w:rFonts w:ascii="Calibri" w:hAnsi="Calibri" w:eastAsia="宋体" w:cs="黑体"/>
      <w:color w:val="auto"/>
      <w:kern w:val="2"/>
      <w:sz w:val="21"/>
      <w:szCs w:val="22"/>
      <w:lang w:val="en-US" w:eastAsia="zh-CN" w:bidi="ar-SA"/>
    </w:rPr>
  </w:style>
  <w:style w:type="paragraph" w:customStyle="1" w:styleId="13">
    <w:name w:val="正文文本1"/>
    <w:basedOn w:val="12"/>
    <w:next w:val="12"/>
    <w:autoRedefine/>
    <w:qFormat/>
    <w:uiPriority w:val="0"/>
    <w:pPr>
      <w:spacing w:beforeLines="0" w:afterLines="50"/>
    </w:pPr>
  </w:style>
  <w:style w:type="paragraph" w:customStyle="1" w:styleId="14">
    <w:name w:val="正文（绿盟科技）"/>
    <w:next w:val="3"/>
    <w:autoRedefine/>
    <w:qFormat/>
    <w:uiPriority w:val="0"/>
    <w:pPr>
      <w:spacing w:line="300" w:lineRule="auto"/>
    </w:pPr>
    <w:rPr>
      <w:rFonts w:ascii="Arial" w:hAnsi="Arial" w:eastAsia="宋体" w:cs="黑体"/>
      <w:sz w:val="21"/>
      <w:szCs w:val="21"/>
      <w:lang w:val="en-US" w:eastAsia="zh-CN" w:bidi="ar-SA"/>
    </w:rPr>
  </w:style>
  <w:style w:type="paragraph" w:customStyle="1" w:styleId="15">
    <w:name w:val="null3"/>
    <w:autoRedefine/>
    <w:hidden/>
    <w:qFormat/>
    <w:uiPriority w:val="0"/>
    <w:rPr>
      <w:rFonts w:hint="eastAsia" w:asciiTheme="minorHAnsi" w:hAnsiTheme="minorHAnsi" w:eastAsiaTheme="minorEastAsia" w:cstheme="minorBidi"/>
      <w:lang w:val="en-US" w:eastAsia="zh-Hans"/>
    </w:rPr>
  </w:style>
  <w:style w:type="paragraph" w:customStyle="1" w:styleId="16">
    <w:name w:val="15、“一、”二级标题"/>
    <w:basedOn w:val="1"/>
    <w:autoRedefine/>
    <w:qFormat/>
    <w:uiPriority w:val="0"/>
    <w:pPr>
      <w:numPr>
        <w:ilvl w:val="1"/>
        <w:numId w:val="2"/>
      </w:numPr>
      <w:wordWrap w:val="0"/>
      <w:topLinePunct/>
      <w:spacing w:line="520" w:lineRule="exact"/>
      <w:ind w:firstLine="803" w:firstLineChars="200"/>
      <w:outlineLvl w:val="1"/>
    </w:pPr>
    <w:rPr>
      <w:b/>
    </w:rPr>
  </w:style>
  <w:style w:type="paragraph" w:customStyle="1" w:styleId="17">
    <w:name w:val="01、普通正文"/>
    <w:basedOn w:val="1"/>
    <w:autoRedefine/>
    <w:qFormat/>
    <w:uiPriority w:val="0"/>
    <w:pPr>
      <w:wordWrap w:val="0"/>
      <w:topLinePunct/>
      <w:spacing w:line="520" w:lineRule="exact"/>
    </w:pPr>
    <w:rPr>
      <w:snapToGrid w:val="0"/>
    </w:rPr>
  </w:style>
  <w:style w:type="paragraph" w:customStyle="1" w:styleId="18">
    <w:name w:val="16、“(一)”三级标题"/>
    <w:basedOn w:val="17"/>
    <w:autoRedefine/>
    <w:qFormat/>
    <w:uiPriority w:val="0"/>
    <w:pPr>
      <w:numPr>
        <w:ilvl w:val="2"/>
        <w:numId w:val="2"/>
      </w:numPr>
      <w:ind w:firstLine="803" w:firstLineChars="200"/>
      <w:outlineLvl w:val="2"/>
    </w:pPr>
    <w:rPr>
      <w:b/>
    </w:rPr>
  </w:style>
  <w:style w:type="paragraph" w:customStyle="1" w:styleId="19">
    <w:name w:val="13、表格内居中正文"/>
    <w:basedOn w:val="1"/>
    <w:autoRedefine/>
    <w:qFormat/>
    <w:uiPriority w:val="0"/>
    <w:pPr>
      <w:wordWrap w:val="0"/>
      <w:topLinePunct/>
      <w:spacing w:line="360" w:lineRule="exact"/>
      <w:jc w:val="center"/>
    </w:pPr>
    <w:rPr>
      <w:sz w:val="21"/>
    </w:rPr>
  </w:style>
  <w:style w:type="paragraph" w:customStyle="1" w:styleId="20">
    <w:name w:val="11、“1.1.1”表格内三级标题"/>
    <w:basedOn w:val="1"/>
    <w:autoRedefine/>
    <w:qFormat/>
    <w:uiPriority w:val="0"/>
    <w:pPr>
      <w:numPr>
        <w:ilvl w:val="2"/>
        <w:numId w:val="3"/>
      </w:numPr>
      <w:wordWrap w:val="0"/>
      <w:topLinePunct/>
      <w:spacing w:line="360" w:lineRule="exact"/>
      <w:ind w:left="48" w:leftChars="20"/>
    </w:pPr>
    <w:rPr>
      <w:snapToGrid w:val="0"/>
      <w:sz w:val="21"/>
    </w:rPr>
  </w:style>
  <w:style w:type="paragraph" w:customStyle="1" w:styleId="21">
    <w:name w:val="06、“1.”正文四级标题"/>
    <w:basedOn w:val="1"/>
    <w:autoRedefine/>
    <w:qFormat/>
    <w:uiPriority w:val="0"/>
    <w:pPr>
      <w:numPr>
        <w:ilvl w:val="2"/>
        <w:numId w:val="4"/>
      </w:numPr>
      <w:wordWrap w:val="0"/>
      <w:topLinePunct/>
      <w:spacing w:line="520" w:lineRule="exact"/>
      <w:ind w:firstLine="803" w:firstLineChars="200"/>
    </w:pPr>
    <w:rPr>
      <w:snapToGrid w:val="0"/>
    </w:rPr>
  </w:style>
  <w:style w:type="paragraph" w:customStyle="1" w:styleId="22">
    <w:name w:val="17“1.”四级标题"/>
    <w:basedOn w:val="23"/>
    <w:autoRedefine/>
    <w:qFormat/>
    <w:uiPriority w:val="0"/>
    <w:pPr>
      <w:numPr>
        <w:ilvl w:val="3"/>
        <w:numId w:val="2"/>
      </w:numPr>
      <w:ind w:firstLine="803"/>
    </w:pPr>
  </w:style>
  <w:style w:type="paragraph" w:customStyle="1" w:styleId="23">
    <w:name w:val="02、首行缩进2字符正文"/>
    <w:basedOn w:val="1"/>
    <w:autoRedefine/>
    <w:qFormat/>
    <w:uiPriority w:val="0"/>
    <w:pPr>
      <w:wordWrap w:val="0"/>
      <w:topLinePunct/>
      <w:spacing w:line="520" w:lineRule="exact"/>
      <w:ind w:firstLine="480" w:firstLineChars="200"/>
    </w:pPr>
  </w:style>
  <w:style w:type="paragraph" w:customStyle="1" w:styleId="24">
    <w:name w:val="03、“注：”正文(加粗，首行缩进2字符)"/>
    <w:basedOn w:val="17"/>
    <w:autoRedefine/>
    <w:qFormat/>
    <w:uiPriority w:val="0"/>
    <w:pPr>
      <w:ind w:firstLine="480" w:firstLineChars="200"/>
    </w:pPr>
    <w:rPr>
      <w:b/>
    </w:rPr>
  </w:style>
  <w:style w:type="paragraph" w:customStyle="1" w:styleId="25">
    <w:name w:val="Body text|3"/>
    <w:basedOn w:val="1"/>
    <w:autoRedefine/>
    <w:qFormat/>
    <w:uiPriority w:val="0"/>
    <w:pPr>
      <w:widowControl w:val="0"/>
      <w:shd w:val="clear" w:color="auto" w:fill="auto"/>
    </w:pPr>
    <w:rPr>
      <w:sz w:val="19"/>
      <w:szCs w:val="19"/>
      <w:u w:val="none"/>
      <w:shd w:val="clear" w:color="auto" w:fill="FFFFFF"/>
      <w:lang w:val="zh-TW" w:eastAsia="zh-TW" w:bidi="zh-TW"/>
    </w:rPr>
  </w:style>
  <w:style w:type="paragraph" w:customStyle="1" w:styleId="26">
    <w:name w:val="09、“1.”表格内一级标题"/>
    <w:basedOn w:val="1"/>
    <w:autoRedefine/>
    <w:qFormat/>
    <w:uiPriority w:val="0"/>
    <w:pPr>
      <w:numPr>
        <w:ilvl w:val="0"/>
        <w:numId w:val="3"/>
      </w:numPr>
      <w:wordWrap w:val="0"/>
      <w:topLinePunct/>
      <w:spacing w:line="360" w:lineRule="exact"/>
      <w:ind w:left="48" w:leftChars="20"/>
    </w:pPr>
    <w:rPr>
      <w:rFonts w:ascii="宋体" w:hAnsi="宋体" w:eastAsia="宋体"/>
      <w:snapToGrid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12095</Words>
  <Characters>12620</Characters>
  <Lines>0</Lines>
  <Paragraphs>0</Paragraphs>
  <TotalTime>0</TotalTime>
  <ScaleCrop>false</ScaleCrop>
  <LinksUpToDate>false</LinksUpToDate>
  <CharactersWithSpaces>12710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2023-04-28T08:39:00Z</dcterms:created>
  <dc:creator>刘丽</dc:creator>
  <cp:lastModifiedBy>刘丽</cp:lastModifiedBy>
  <dcterms:modified xsi:type="dcterms:W3CDTF">2024-04-19T06:33:09Z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CFA8BB10D35644D58A54B0794D7F7ED8_11</vt:lpwstr>
  </property>
</Properties>
</file>