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left="0" w:firstLine="360" w:firstLineChars="200"/>
        <w:jc w:val="distribute"/>
        <w:textAlignment w:val="auto"/>
        <w:rPr>
          <w:rFonts w:hint="eastAsia"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fldChar w:fldCharType="begin"/>
      </w:r>
      <w:r>
        <w:rPr>
          <w:rFonts w:hint="eastAsia" w:ascii="微软雅黑 Light" w:hAnsi="微软雅黑 Light" w:eastAsia="微软雅黑 Light" w:cs="微软雅黑 Light"/>
          <w:kern w:val="0"/>
          <w:sz w:val="18"/>
          <w:szCs w:val="18"/>
        </w:rPr>
        <w:instrText xml:space="preserve"> INCLUDEPICTURE "http://www.ccgp-sichuan.gov.cn/ewebeditor/uploadfile/20181120143936641001.gif" \* MERGEFORMATINET </w:instrText>
      </w:r>
      <w:r>
        <w:rPr>
          <w:rFonts w:hint="eastAsia" w:ascii="微软雅黑 Light" w:hAnsi="微软雅黑 Light" w:eastAsia="微软雅黑 Light" w:cs="微软雅黑 Light"/>
          <w:kern w:val="0"/>
          <w:sz w:val="18"/>
          <w:szCs w:val="18"/>
        </w:rPr>
        <w:fldChar w:fldCharType="separate"/>
      </w:r>
      <w:r>
        <w:rPr>
          <w:rFonts w:hint="eastAsia" w:ascii="微软雅黑 Light" w:hAnsi="微软雅黑 Light" w:eastAsia="微软雅黑 Light" w:cs="微软雅黑 Light"/>
          <w:kern w:val="0"/>
          <w:sz w:val="18"/>
          <w:szCs w:val="18"/>
        </w:rPr>
        <w:drawing>
          <wp:inline distT="0" distB="0" distL="114300" distR="114300">
            <wp:extent cx="4400550" cy="1147445"/>
            <wp:effectExtent l="0" t="0" r="0" b="14605"/>
            <wp:docPr id="1" name="图片 1" descr="2018112014393664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1120143936641001"/>
                    <pic:cNvPicPr>
                      <a:picLocks noChangeAspect="1"/>
                    </pic:cNvPicPr>
                  </pic:nvPicPr>
                  <pic:blipFill>
                    <a:blip r:embed="rId4"/>
                    <a:stretch>
                      <a:fillRect/>
                    </a:stretch>
                  </pic:blipFill>
                  <pic:spPr>
                    <a:xfrm>
                      <a:off x="0" y="0"/>
                      <a:ext cx="4400550" cy="1147445"/>
                    </a:xfrm>
                    <a:prstGeom prst="rect">
                      <a:avLst/>
                    </a:prstGeom>
                    <a:noFill/>
                    <a:ln>
                      <a:noFill/>
                    </a:ln>
                  </pic:spPr>
                </pic:pic>
              </a:graphicData>
            </a:graphic>
          </wp:inline>
        </w:drawing>
      </w:r>
      <w:r>
        <w:rPr>
          <w:rFonts w:hint="eastAsia" w:ascii="微软雅黑 Light" w:hAnsi="微软雅黑 Light" w:eastAsia="微软雅黑 Light" w:cs="微软雅黑 Light"/>
          <w:kern w:val="0"/>
          <w:sz w:val="18"/>
          <w:szCs w:val="18"/>
        </w:rPr>
        <w:fldChar w:fldCharType="end"/>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jc w:val="distribute"/>
        <w:textAlignment w:val="auto"/>
        <w:outlineLvl w:val="1"/>
        <w:rPr>
          <w:rFonts w:hint="eastAsia" w:ascii="微软雅黑 Light" w:hAnsi="微软雅黑 Light" w:eastAsia="微软雅黑 Light" w:cs="微软雅黑 Light"/>
          <w:b/>
          <w:bCs/>
          <w:kern w:val="36"/>
          <w:sz w:val="24"/>
        </w:rPr>
      </w:pPr>
      <w:r>
        <w:rPr>
          <w:rFonts w:hint="eastAsia" w:ascii="微软雅黑 Light" w:hAnsi="微软雅黑 Light" w:eastAsia="微软雅黑 Light" w:cs="微软雅黑 Light"/>
          <w:b/>
          <w:bCs/>
          <w:kern w:val="36"/>
          <w:sz w:val="24"/>
        </w:rPr>
        <w:t>四川省财政厅关于推进四川省政府采购供应商信用融资工作的通知</w:t>
      </w:r>
    </w:p>
    <w:p>
      <w:pPr>
        <w:keepNext w:val="0"/>
        <w:keepLines w:val="0"/>
        <w:pageBreakBefore w:val="0"/>
        <w:widowControl w:val="0"/>
        <w:tabs>
          <w:tab w:val="left" w:pos="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sz w:val="24"/>
        </w:rPr>
        <w:t>各市</w:t>
      </w:r>
      <w:r>
        <w:rPr>
          <w:rFonts w:hint="eastAsia" w:ascii="微软雅黑 Light" w:hAnsi="微软雅黑 Light" w:eastAsia="微软雅黑 Light" w:cs="微软雅黑 Light"/>
          <w:kern w:val="0"/>
          <w:sz w:val="24"/>
        </w:rPr>
        <w:t>（州）、扩权县（市）财政局，各省直机关、事业单位、团体组织，各金融机构，各采购代理机构，各政府采购供应商：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一、融资概念</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二、基本原则</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（一）财政引导，市场运行</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财政部门推进“政采贷”，银行和供应商按照自愿原则参与。供应商自愿选择是否申请“政采贷”，银行依据其内部审查制度和决策程序决定是否为供应商提供融资，自担风险。</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（二）建立机制，服务银企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财政部门与银行建立“政采贷”工作机制，推动政府采购政策功能和金融资源的有机结合，拓宽银行的融资业务，助力解决政府采购中标、成交供应商资金不足、融资难、融资贵的困难，促进企业健康发展。</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（三）优质优惠，加强扶持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三、基本条件</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（一）银行暨“政采贷”金融产品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申请材料应当包括银行基本情况、“政采贷”产品名称、申请贷款条件、申请贷款方式、申请贷款程序、贷款审查流程、贷款额度、发放贷款时间、收款方式及其他优质服务和优惠承诺等。</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银行提供的“政采贷”产品应当满足“无抵押担保、程序简便、利率优惠、放款及时”的基本条件以及本通知其他相关规定。</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银行申请材料中应当载明其自愿提供“政采贷”产品，自担风险，不得要求或者变相要求财政部门和采购人为其提供风险担保、承诺。</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（二）供应商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政府采购供应商向银行申请“政采贷”，应当满足下列基本条件：</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1、具有依法承担民事责任的能力；</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2、具有依法履行政府采购合同的能力；</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3、参加的政府采购活动未被财政部门依法暂停、责令重新开展或者认定中标、成交无效；</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4、无《政府采购法》第二十二条第一款第（五）项所称的重大违法记录；</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5、未被法院、市场监管、税务、银行等部门单位纳入失信名单且在有效期内；</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6、在一定期限内的（银行可以具体确定）政府采购合同履约过程中或者其他经营活动履约过程中，无不依法履约被有关行政部门行政处罚的或者产生法律纠纷被法院、仲裁机构判决、裁决败诉的；</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7、其他银行要求的不属于提供财产抵押或第三方担保的条件。</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四、构建平台</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四川省财政厅将在四川政府采购网统一构建四川省“政采贷”信息化服务平台，推进四川省“政采贷”工作信息化建设。</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五、财金互动</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各级财政部门应当按照《四川省政府采购促进中小企业发展的若干规定》（川财采[2016]35号）等有关规定，对金融机构向小微企业提供“政采贷”贷款产生的损失，纳入财政金融互动政策范围给予风险补贴。</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六、基本流程</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（一）意向申请</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（二）正式申请</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（三）贷款审查</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（四）信息报送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（五）资金支付</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政府采购资金支付时，采购人必须将采购资金支付到政府采购合同中注明的贷款银行名称及账号，以保障贷款资金的安全回收。采购人不得将采购资金支付在政府采购合同约定以外的收款账号。</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政府采购资金支付过程中，银行需要查询采购资金支付进程有关信息的，财政部门和采购人应当支持。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七、职责要求</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 xml:space="preserve">（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 </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三）采购人应当积极支持“政采贷”工作，对于银行、供应商提出的合理需求，应当支持。对于已融资采购项目，供应商履约完成后，要及时开展履约验收工作，及时支付采购资金，不得无故拖延和拒付采购资金。</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（四）采购代理机构在组织实施政府采购活动中，应当采取有效方式，向供应商宣传“政采贷”政策。银行需要借用采购代理机构的场所直接向供应商介绍其“政采贷”产品的，采购代理机构应当支持。</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（五）供应商应当依法参加政府采购活动，公平竞争，诚实守信，严格按照政府采购合同履约，严格按照借款合同偿还债务。</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（六）财政部门、采购人、采购代理机构及其他有关单位和个人不得违规干预供应商选择“政采贷”银行及其产品，也不得违规干预银行向供应商进行贷款。</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（七）相关单位和个人在开展“政采贷”工作过程中，发现新问题、新情况或者有意见建议的，请及时向四川省财政厅反馈。</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八、违规处理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（一）银行违规处理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（二）供应商违规处理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rPr>
      </w:pPr>
      <w:r>
        <w:rPr>
          <w:rFonts w:hint="eastAsia" w:ascii="微软雅黑 Light" w:hAnsi="微软雅黑 Light" w:eastAsia="微软雅黑 Light" w:cs="微软雅黑 Light"/>
          <w:kern w:val="0"/>
          <w:sz w:val="24"/>
        </w:rPr>
        <w:t>（三）其他违规处理</w:t>
      </w:r>
    </w:p>
    <w:p>
      <w:pPr>
        <w:keepNext w:val="0"/>
        <w:keepLines w:val="0"/>
        <w:pageBreakBefore w:val="0"/>
        <w:widowControl w:val="0"/>
        <w:shd w:val="clear" w:color="auto" w:fill="FFFFFF"/>
        <w:tabs>
          <w:tab w:val="left" w:pos="4760"/>
        </w:tabs>
        <w:kinsoku/>
        <w:wordWrap/>
        <w:overflowPunct/>
        <w:topLinePunct w:val="0"/>
        <w:autoSpaceDE/>
        <w:autoSpaceDN/>
        <w:bidi w:val="0"/>
        <w:adjustRightInd w:val="0"/>
        <w:snapToGrid w:val="0"/>
        <w:spacing w:beforeAutospacing="0" w:afterAutospacing="0" w:line="240" w:lineRule="auto"/>
        <w:ind w:firstLine="480" w:firstLineChars="200"/>
        <w:jc w:val="left"/>
        <w:textAlignment w:val="auto"/>
        <w:rPr>
          <w:rFonts w:hint="eastAsia" w:ascii="微软雅黑 Light" w:hAnsi="微软雅黑 Light" w:eastAsia="微软雅黑 Light" w:cs="微软雅黑 Light"/>
          <w:kern w:val="0"/>
          <w:sz w:val="24"/>
          <w:lang w:val="en-US" w:eastAsia="zh-CN"/>
        </w:rPr>
      </w:pPr>
      <w:r>
        <w:rPr>
          <w:rFonts w:hint="eastAsia" w:ascii="微软雅黑 Light" w:hAnsi="微软雅黑 Light" w:eastAsia="微软雅黑 Light" w:cs="微软雅黑 Light"/>
          <w:kern w:val="0"/>
          <w:sz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微软雅黑 Light" w:hAnsi="微软雅黑 Light" w:eastAsia="微软雅黑 Light" w:cs="微软雅黑 Light"/>
          <w:b/>
          <w:bCs/>
          <w:sz w:val="36"/>
          <w:szCs w:val="36"/>
        </w:rPr>
      </w:pPr>
      <w:r>
        <w:rPr>
          <w:rFonts w:hint="eastAsia" w:ascii="微软雅黑 Light" w:hAnsi="微软雅黑 Light" w:eastAsia="微软雅黑 Light" w:cs="微软雅黑 Light"/>
          <w:b/>
          <w:bCs/>
          <w:sz w:val="36"/>
          <w:szCs w:val="36"/>
        </w:rPr>
        <w:t>雅安市金融机构“政采贷”业务办理联络表</w:t>
      </w:r>
    </w:p>
    <w:tbl>
      <w:tblPr>
        <w:tblStyle w:val="5"/>
        <w:tblW w:w="9746" w:type="dxa"/>
        <w:tblInd w:w="96" w:type="dxa"/>
        <w:tblLayout w:type="fixed"/>
        <w:tblCellMar>
          <w:top w:w="0" w:type="dxa"/>
          <w:left w:w="108" w:type="dxa"/>
          <w:bottom w:w="0" w:type="dxa"/>
          <w:right w:w="108" w:type="dxa"/>
        </w:tblCellMar>
      </w:tblPr>
      <w:tblGrid>
        <w:gridCol w:w="2636"/>
        <w:gridCol w:w="4335"/>
        <w:gridCol w:w="2775"/>
      </w:tblGrid>
      <w:tr>
        <w:tblPrEx>
          <w:tblCellMar>
            <w:top w:w="0" w:type="dxa"/>
            <w:left w:w="108" w:type="dxa"/>
            <w:bottom w:w="0" w:type="dxa"/>
            <w:right w:w="108" w:type="dxa"/>
          </w:tblCellMar>
        </w:tblPrEx>
        <w:trPr>
          <w:trHeight w:val="1060" w:hRule="atLeast"/>
        </w:trPr>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sz w:val="24"/>
                <w:szCs w:val="24"/>
              </w:rPr>
            </w:pPr>
            <w:r>
              <w:rPr>
                <w:rFonts w:hint="eastAsia" w:ascii="微软雅黑 Light" w:hAnsi="微软雅黑 Light" w:eastAsia="微软雅黑 Light" w:cs="微软雅黑 Light"/>
                <w:b/>
                <w:bCs/>
                <w:color w:val="000000"/>
                <w:kern w:val="0"/>
                <w:sz w:val="24"/>
                <w:szCs w:val="24"/>
                <w:lang w:bidi="ar"/>
              </w:rPr>
              <w:t>金融机构名称</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sz w:val="24"/>
                <w:szCs w:val="24"/>
              </w:rPr>
            </w:pPr>
            <w:r>
              <w:rPr>
                <w:rFonts w:hint="eastAsia" w:ascii="微软雅黑 Light" w:hAnsi="微软雅黑 Light" w:eastAsia="微软雅黑 Light" w:cs="微软雅黑 Light"/>
                <w:b/>
                <w:bCs/>
                <w:color w:val="000000"/>
                <w:kern w:val="0"/>
                <w:sz w:val="24"/>
                <w:szCs w:val="24"/>
                <w:lang w:bidi="ar"/>
              </w:rPr>
              <w:t>地址</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sz w:val="24"/>
                <w:szCs w:val="24"/>
              </w:rPr>
            </w:pPr>
            <w:r>
              <w:rPr>
                <w:rFonts w:hint="eastAsia" w:ascii="微软雅黑 Light" w:hAnsi="微软雅黑 Light" w:eastAsia="微软雅黑 Light" w:cs="微软雅黑 Light"/>
                <w:b/>
                <w:bCs/>
                <w:color w:val="000000"/>
                <w:kern w:val="0"/>
                <w:sz w:val="24"/>
                <w:szCs w:val="24"/>
                <w:lang w:bidi="ar"/>
              </w:rPr>
              <w:t>咨询办理联系电话</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中国银行股份有限公司雅安分行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雅安市雨城区羌江南路213号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0835-2236715</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农行雅安分行公司</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雅安市雨城区人民路21号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0835-2617058</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农行雨城支行公司</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雅安市雨城区熊猫大道386号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0835-2617137</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农行名山支行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雅安市名山区蒙阳镇茶都大道仙茶路55号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0835-3223455</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农行荥经支行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雅安市荥经县严道镇荥兴路西一段60号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0835-2617177</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农行汉源支行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雅安市汉源县富林镇江汉大道二段173号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0835-4222960</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农行石棉支行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雅安市石棉县东风路三段319号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0835-2617212</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农行天全支行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雅安市天全县中大街19号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0835-2617228</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农行芦山支行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雅安市芦山县迎宾大道366号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0835-2617241</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农行宝兴支行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雅安市宝兴县穆坪镇南街39号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0835-2617253</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中国建设银行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雅安市雨城区大北街47号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0835-2232799</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中国建设银行汉源支行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雅安市汉源县富林镇江汉大道二段173号附8号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0835-4225083</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中国建设银行名山支行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雅安市名山区蒙阳街道茶都大道479号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0835-3238713</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kern w:val="0"/>
                <w:sz w:val="24"/>
                <w:szCs w:val="24"/>
                <w:lang w:bidi="ar"/>
              </w:rPr>
            </w:pPr>
            <w:r>
              <w:rPr>
                <w:rFonts w:hint="eastAsia" w:ascii="微软雅黑 Light" w:hAnsi="微软雅黑 Light" w:eastAsia="微软雅黑 Light" w:cs="微软雅黑 Light"/>
                <w:b/>
                <w:bCs/>
                <w:color w:val="000000"/>
                <w:kern w:val="0"/>
                <w:sz w:val="24"/>
                <w:szCs w:val="24"/>
                <w:lang w:bidi="ar"/>
              </w:rPr>
              <w:t>金融机构名称</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kern w:val="0"/>
                <w:sz w:val="24"/>
                <w:szCs w:val="24"/>
                <w:lang w:bidi="ar"/>
              </w:rPr>
            </w:pPr>
            <w:r>
              <w:rPr>
                <w:rFonts w:hint="eastAsia" w:ascii="微软雅黑 Light" w:hAnsi="微软雅黑 Light" w:eastAsia="微软雅黑 Light" w:cs="微软雅黑 Light"/>
                <w:b/>
                <w:bCs/>
                <w:color w:val="000000"/>
                <w:kern w:val="0"/>
                <w:sz w:val="24"/>
                <w:szCs w:val="24"/>
                <w:lang w:bidi="ar"/>
              </w:rPr>
              <w:t>地址</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b/>
                <w:bCs/>
                <w:color w:val="000000"/>
                <w:kern w:val="0"/>
                <w:sz w:val="24"/>
                <w:szCs w:val="24"/>
                <w:lang w:bidi="ar"/>
              </w:rPr>
            </w:pPr>
            <w:r>
              <w:rPr>
                <w:rFonts w:hint="eastAsia" w:ascii="微软雅黑 Light" w:hAnsi="微软雅黑 Light" w:eastAsia="微软雅黑 Light" w:cs="微软雅黑 Light"/>
                <w:b/>
                <w:bCs/>
                <w:color w:val="000000"/>
                <w:kern w:val="0"/>
                <w:sz w:val="24"/>
                <w:szCs w:val="24"/>
                <w:lang w:bidi="ar"/>
              </w:rPr>
              <w:t>咨询办理联系电话</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工行雅安分行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雅安市雨城区熊猫大道378号金融大厦A栋</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0835-2227623</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雅安市商业银行股份有限公司雨城支行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雅安市雨城区熊猫大道379号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0835-3581853</w:t>
            </w:r>
            <w:r>
              <w:rPr>
                <w:rFonts w:hint="eastAsia" w:ascii="微软雅黑 Light" w:hAnsi="微软雅黑 Light" w:eastAsia="微软雅黑 Light" w:cs="微软雅黑 Light"/>
                <w:color w:val="000000"/>
                <w:kern w:val="0"/>
                <w:sz w:val="24"/>
                <w:szCs w:val="24"/>
                <w:lang w:bidi="ar"/>
              </w:rPr>
              <w:br w:type="textWrapping"/>
            </w:r>
            <w:r>
              <w:rPr>
                <w:rFonts w:hint="eastAsia" w:ascii="微软雅黑 Light" w:hAnsi="微软雅黑 Light" w:eastAsia="微软雅黑 Light" w:cs="微软雅黑 Light"/>
                <w:color w:val="000000"/>
                <w:kern w:val="0"/>
                <w:sz w:val="24"/>
                <w:szCs w:val="24"/>
                <w:lang w:bidi="ar"/>
              </w:rPr>
              <w:t>0835-3581875</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雅安市商业银行股份有限公司名山支行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雅安市名山区滨河路中段1号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0835-3232829</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雅安市商业银行股份有限公司荥经支行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雅安市荥经县严道镇康宁路东一段126号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0835-7622326</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雅安市商业银行股份有限公司汉源支行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雅安市汉源县富林镇江汉大道15号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0835-4222713</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雅安市商业银行股份有限公司石棉支行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雅安市石棉县东风路二段190号、190号附1号、190号附2号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0835-8863844</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雅安市商业银行股份有限公司天全支行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雅安市天全县向阳大道108号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0835-7222011</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雅安市商业银行股份有限公司芦山支行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雅安市芦山县芦阳镇东风路89号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0835-5955567</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雅安市商业银行股份有限公司宝兴支行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雅安市宝兴县穆坪镇穆坪南街47号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0835-6826548</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雅安市商业银行股份有限公司广元利州支行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广元市利州区南河武汉路46号（印象南岸）</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0839-3287896</w:t>
            </w:r>
            <w:r>
              <w:rPr>
                <w:rFonts w:hint="eastAsia" w:ascii="微软雅黑 Light" w:hAnsi="微软雅黑 Light" w:eastAsia="微软雅黑 Light" w:cs="微软雅黑 Light"/>
                <w:color w:val="000000"/>
                <w:kern w:val="0"/>
                <w:sz w:val="24"/>
                <w:szCs w:val="24"/>
                <w:lang w:bidi="ar"/>
              </w:rPr>
              <w:br w:type="textWrapping"/>
            </w:r>
            <w:r>
              <w:rPr>
                <w:rFonts w:hint="eastAsia" w:ascii="微软雅黑 Light" w:hAnsi="微软雅黑 Light" w:eastAsia="微软雅黑 Light" w:cs="微软雅黑 Light"/>
                <w:color w:val="000000"/>
                <w:kern w:val="0"/>
                <w:sz w:val="24"/>
                <w:szCs w:val="24"/>
                <w:lang w:bidi="ar"/>
              </w:rPr>
              <w:t>0839-3287887</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邮储银行雅安分行公司</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雅安市雨城区滨江西路3号附1号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0835-2893054</w:t>
            </w:r>
          </w:p>
        </w:tc>
      </w:tr>
      <w:tr>
        <w:tblPrEx>
          <w:tblCellMar>
            <w:top w:w="0" w:type="dxa"/>
            <w:left w:w="108" w:type="dxa"/>
            <w:bottom w:w="0" w:type="dxa"/>
            <w:right w:w="108" w:type="dxa"/>
          </w:tblCellMar>
        </w:tblPrEx>
        <w:trPr>
          <w:trHeight w:val="840" w:hRule="atLeast"/>
        </w:trPr>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雅安雨城惠民村镇银行</w:t>
            </w:r>
          </w:p>
        </w:tc>
        <w:tc>
          <w:tcPr>
            <w:tcW w:w="4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雅安市雨城区熊猫大道386号</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000000"/>
                <w:kern w:val="0"/>
                <w:sz w:val="24"/>
                <w:szCs w:val="24"/>
                <w:lang w:bidi="ar"/>
              </w:rPr>
              <w:t>0835-2360600</w:t>
            </w:r>
            <w:r>
              <w:rPr>
                <w:rFonts w:hint="eastAsia" w:ascii="微软雅黑 Light" w:hAnsi="微软雅黑 Light" w:eastAsia="微软雅黑 Light" w:cs="微软雅黑 Light"/>
                <w:color w:val="000000"/>
                <w:kern w:val="0"/>
                <w:sz w:val="24"/>
                <w:szCs w:val="24"/>
                <w:lang w:bidi="ar"/>
              </w:rPr>
              <w:br w:type="textWrapping"/>
            </w:r>
            <w:r>
              <w:rPr>
                <w:rFonts w:hint="eastAsia" w:ascii="微软雅黑 Light" w:hAnsi="微软雅黑 Light" w:eastAsia="微软雅黑 Light" w:cs="微软雅黑 Light"/>
                <w:color w:val="000000"/>
                <w:kern w:val="0"/>
                <w:sz w:val="24"/>
                <w:szCs w:val="24"/>
                <w:lang w:bidi="ar"/>
              </w:rPr>
              <w:t>0835-2368977</w:t>
            </w:r>
          </w:p>
        </w:tc>
      </w:tr>
    </w:tbl>
    <w:p>
      <w:pPr>
        <w:pStyle w:val="4"/>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swiss"/>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MDc5MTM0OTk5OTZkNjMxM2RkMWQyOTgzMjdlOWEifQ=="/>
  </w:docVars>
  <w:rsids>
    <w:rsidRoot w:val="00000000"/>
    <w:rsid w:val="03E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Subtitle"/>
    <w:basedOn w:val="1"/>
    <w:next w:val="1"/>
    <w:qFormat/>
    <w:uiPriority w:val="0"/>
    <w:pPr>
      <w:spacing w:before="240" w:after="60" w:line="312" w:lineRule="auto"/>
      <w:jc w:val="left"/>
      <w:outlineLvl w:val="1"/>
    </w:pPr>
    <w:rPr>
      <w:rFonts w:ascii="Cambria" w:hAnsi="Cambria"/>
      <w:b/>
      <w:bCs/>
      <w:kern w:val="28"/>
      <w:sz w:val="32"/>
      <w:szCs w:val="32"/>
    </w:rPr>
  </w:style>
  <w:style w:type="paragraph" w:styleId="4">
    <w:name w:val="List 2"/>
    <w:basedOn w:val="1"/>
    <w:qFormat/>
    <w:uiPriority w:val="0"/>
    <w:pPr>
      <w:ind w:left="100" w:leftChars="200" w:hanging="200" w:hangingChars="20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2023-06-29T02:56:44Z</dcterms:created>
  <dc:creator>A</dc:creator>
  <cp:lastModifiedBy>Mi  Manchi</cp:lastModifiedBy>
  <dcterms:modified xsi:type="dcterms:W3CDTF">2023-06-29T02:57:04Z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B2CE0E3ABDCE43A687BB6BF4D70BA7FB_12</vt:lpwstr>
  </property>
</Properties>
</file>