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hint="default" w:ascii="仿宋" w:hAnsi="仿宋" w:eastAsia="仿宋" w:cs="仿宋"/>
          <w:b/>
          <w:color w:val="auto"/>
          <w:sz w:val="36"/>
          <w:szCs w:val="36"/>
          <w:highlight w:val="none"/>
          <w:lang w:val="en-US" w:eastAsia="zh-CN"/>
        </w:rPr>
      </w:pPr>
      <w:r>
        <w:rPr>
          <w:rFonts w:hint="eastAsia" w:ascii="仿宋" w:hAnsi="仿宋" w:eastAsia="仿宋" w:cs="仿宋"/>
          <w:b/>
          <w:color w:val="auto"/>
          <w:sz w:val="36"/>
          <w:szCs w:val="36"/>
          <w:highlight w:val="none"/>
          <w:lang w:val="en-US" w:eastAsia="zh-CN"/>
        </w:rPr>
        <w:t>采购需求</w:t>
      </w:r>
    </w:p>
    <w:p>
      <w:pPr>
        <w:spacing w:line="360" w:lineRule="auto"/>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一、项目概述</w:t>
      </w:r>
    </w:p>
    <w:p>
      <w:pPr>
        <w:pStyle w:val="5"/>
        <w:spacing w:after="0" w:line="360" w:lineRule="auto"/>
        <w:ind w:firstLine="560" w:firstLineChars="200"/>
        <w:rPr>
          <w:rFonts w:hint="eastAsia" w:ascii="仿宋" w:hAnsi="仿宋" w:eastAsia="仿宋" w:cs="仿宋"/>
          <w:b/>
          <w:bCs/>
          <w:color w:val="auto"/>
          <w:sz w:val="28"/>
          <w:szCs w:val="28"/>
          <w:highlight w:val="none"/>
        </w:rPr>
      </w:pPr>
      <w:r>
        <w:rPr>
          <w:rFonts w:hint="eastAsia" w:ascii="仿宋" w:hAnsi="仿宋" w:eastAsia="仿宋" w:cs="仿宋"/>
          <w:color w:val="auto"/>
          <w:sz w:val="28"/>
          <w:szCs w:val="28"/>
          <w:highlight w:val="none"/>
          <w:lang w:val="en-US"/>
        </w:rPr>
        <w:t>巴中市审计局经济开发区审计分局</w:t>
      </w:r>
      <w:r>
        <w:rPr>
          <w:rFonts w:hint="eastAsia" w:ascii="仿宋" w:hAnsi="仿宋" w:eastAsia="仿宋" w:cs="仿宋"/>
          <w:color w:val="auto"/>
          <w:sz w:val="28"/>
          <w:szCs w:val="28"/>
          <w:highlight w:val="none"/>
          <w:lang w:val="en-US" w:eastAsia="zh-CN"/>
        </w:rPr>
        <w:t>拟采购巴中经开区生物医药产业园基础设施建设项目设计施工总承包跟踪审计服务供应商一名。开展跟踪审计工作，并出具跟踪审计报告。</w:t>
      </w:r>
    </w:p>
    <w:p>
      <w:pPr>
        <w:keepNext/>
        <w:keepLines/>
        <w:spacing w:line="360" w:lineRule="auto"/>
        <w:outlineLvl w:val="1"/>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二、标的名称及所属行业</w:t>
      </w:r>
    </w:p>
    <w:tbl>
      <w:tblPr>
        <w:tblStyle w:val="6"/>
        <w:tblW w:w="7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5"/>
        <w:gridCol w:w="4215"/>
        <w:gridCol w:w="1176"/>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noWrap w:val="0"/>
            <w:vAlign w:val="center"/>
          </w:tcPr>
          <w:p>
            <w:pPr>
              <w:keepNext/>
              <w:keepLines/>
              <w:spacing w:line="36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序号</w:t>
            </w:r>
          </w:p>
        </w:tc>
        <w:tc>
          <w:tcPr>
            <w:tcW w:w="4215" w:type="dxa"/>
            <w:noWrap w:val="0"/>
            <w:vAlign w:val="center"/>
          </w:tcPr>
          <w:p>
            <w:pPr>
              <w:keepNext/>
              <w:keepLines/>
              <w:spacing w:line="36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标的名称</w:t>
            </w:r>
          </w:p>
        </w:tc>
        <w:tc>
          <w:tcPr>
            <w:tcW w:w="1176" w:type="dxa"/>
            <w:noWrap w:val="0"/>
            <w:vAlign w:val="center"/>
          </w:tcPr>
          <w:p>
            <w:pPr>
              <w:keepNext/>
              <w:keepLines/>
              <w:spacing w:line="360" w:lineRule="auto"/>
              <w:jc w:val="cente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数量</w:t>
            </w:r>
            <w:r>
              <w:rPr>
                <w:rFonts w:hint="eastAsia" w:ascii="仿宋" w:hAnsi="仿宋" w:eastAsia="仿宋" w:cs="仿宋"/>
                <w:b/>
                <w:bCs/>
                <w:color w:val="auto"/>
                <w:sz w:val="28"/>
                <w:szCs w:val="28"/>
                <w:highlight w:val="none"/>
                <w:lang w:val="en-US" w:eastAsia="zh-CN"/>
              </w:rPr>
              <w:t>及单位</w:t>
            </w:r>
          </w:p>
        </w:tc>
        <w:tc>
          <w:tcPr>
            <w:tcW w:w="1548" w:type="dxa"/>
            <w:noWrap w:val="0"/>
            <w:vAlign w:val="center"/>
          </w:tcPr>
          <w:p>
            <w:pPr>
              <w:keepNext/>
              <w:keepLines/>
              <w:spacing w:line="36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5" w:type="dxa"/>
            <w:noWrap w:val="0"/>
            <w:vAlign w:val="center"/>
          </w:tcPr>
          <w:p>
            <w:pPr>
              <w:keepNext/>
              <w:keepLines/>
              <w:spacing w:line="360" w:lineRule="auto"/>
              <w:jc w:val="cente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p>
        </w:tc>
        <w:tc>
          <w:tcPr>
            <w:tcW w:w="4215" w:type="dxa"/>
            <w:noWrap w:val="0"/>
            <w:vAlign w:val="top"/>
          </w:tcPr>
          <w:p>
            <w:pPr>
              <w:keepNext/>
              <w:keepLines/>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巴中经开区生物医药产业园基础设施建设项目设计施工总承包跟踪审计</w:t>
            </w:r>
          </w:p>
        </w:tc>
        <w:tc>
          <w:tcPr>
            <w:tcW w:w="1176" w:type="dxa"/>
            <w:noWrap w:val="0"/>
            <w:vAlign w:val="center"/>
          </w:tcPr>
          <w:p>
            <w:pPr>
              <w:keepNext/>
              <w:keepLines/>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1项</w:t>
            </w:r>
          </w:p>
        </w:tc>
        <w:tc>
          <w:tcPr>
            <w:tcW w:w="1548" w:type="dxa"/>
            <w:noWrap w:val="0"/>
            <w:vAlign w:val="center"/>
          </w:tcPr>
          <w:p>
            <w:pPr>
              <w:keepNext/>
              <w:keepLines/>
              <w:spacing w:line="36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租赁和商务服务业</w:t>
            </w:r>
            <w:bookmarkStart w:id="0" w:name="_GoBack"/>
            <w:bookmarkEnd w:id="0"/>
          </w:p>
        </w:tc>
      </w:tr>
    </w:tbl>
    <w:p>
      <w:pPr>
        <w:keepNext/>
        <w:keepLines/>
        <w:numPr>
          <w:ilvl w:val="0"/>
          <w:numId w:val="0"/>
        </w:numPr>
        <w:spacing w:line="360" w:lineRule="auto"/>
        <w:outlineLvl w:val="1"/>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三、服务内容及要求</w:t>
      </w:r>
    </w:p>
    <w:p>
      <w:pPr>
        <w:keepNext/>
        <w:keepLines/>
        <w:spacing w:line="360" w:lineRule="auto"/>
        <w:outlineLvl w:val="1"/>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（一）服务内容</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3"/>
        <w:gridCol w:w="2382"/>
        <w:gridCol w:w="4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序号</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审计内容</w:t>
            </w:r>
          </w:p>
        </w:tc>
        <w:tc>
          <w:tcPr>
            <w:tcW w:w="47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审计范围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审查规划决策</w:t>
            </w:r>
          </w:p>
        </w:tc>
        <w:tc>
          <w:tcPr>
            <w:tcW w:w="4732" w:type="dxa"/>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规划合法性。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规划真实性。</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规划效益性。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审查项目评审</w:t>
            </w:r>
          </w:p>
        </w:tc>
        <w:tc>
          <w:tcPr>
            <w:tcW w:w="4732"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审调查过程的真实性。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审评审过程的真实性。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审查项目建议书</w:t>
            </w:r>
          </w:p>
        </w:tc>
        <w:tc>
          <w:tcPr>
            <w:tcW w:w="4732"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项目建议书合法性。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项目建议书真实性。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项目建议书效益性。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审查可行性研究</w:t>
            </w:r>
          </w:p>
        </w:tc>
        <w:tc>
          <w:tcPr>
            <w:tcW w:w="4732" w:type="dxa"/>
            <w:noWrap w:val="0"/>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投资决策程序的合规性。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2.审批程序的合规性。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3.可研报告内容的真实性。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4.可研报告内容的完整性。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5.编制依据的充分性。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6.可研报告的科学性。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7.可研报告的合理性。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审查行政许可</w:t>
            </w:r>
          </w:p>
        </w:tc>
        <w:tc>
          <w:tcPr>
            <w:tcW w:w="4732" w:type="dxa"/>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审批程序履行情况。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2.审批手续批复情况。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3.审批时效。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审查建设资金</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1.资金来源情况。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2.资本金到位情况。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3.上级拨入资金到位情况。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4.基建投资借款到位情况。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5.债券资金到位情况。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6.外资到位情况。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7.其他资金到位情况。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8.工程款拨付进度情况。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9.纳入建筑安装工程投资支出的项目合理性。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10.款项支付及抵扣情况。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11.设备投资支出的合理。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12.设备采购费用支付性情况。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13.建设单位管理费。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14.勘察设计费。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15.研究试验费。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16.可行性研究费。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17.临时设施费。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18.设备检验费。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19.监理费用。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20.利息收入及支出。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21.竣工决算报表。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22.竣工决算报表附注。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23.竣工决算结余资金真实性。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24.竣工决算结余资金合法性。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25.竣工决算结余资金合理性。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审查土地征收</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1.审查项目是否符合规划要求。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2.审查拆迁批复及许可情况。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3.检查国有土地征收补偿方案报批及公告程序。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4.审查社会稳定风险评估情况。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5.审查房屋调查登记情况。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6.检查征收补偿费用到位情况。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7.审查征收范围的真实性。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8.审查征收实施单位的合规性。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9.检查征收决定的公告情况。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10.审计强制征收行为的适当性。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4"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审查土地征收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补偿</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1.审查勘测资料的真实性。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2.审查拆迁户档案资料真实性。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3.审查安置房分配情况。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4.审查拆迁范围的符合性。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5.审查补偿标准制定是否科学合理。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6.审查补偿标准的执行是否公开透明。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7.审查协议、内容、标准、金额的真实性、合法性与公正性。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8.审查评估依据及方法。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9.检查征地拆迁资金到位情况。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10.检查征地拆迁资金管理情况。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11.检查征地工作经费使用情况。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12.检查土地补偿费管理和使用情况。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13.入户抽查拆迁补偿资金到位情况。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14.审查拆迁总费开支的真实性、合法性。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15.检查工期进度情况。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16.检查安置用地批准情况。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17.检查耕地开垦费与森林植被恢复费缴纳和耕地占补平衡政策执行情况。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18.检查各项税费缴纳情况。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19.被征地农民社会保障体系建立情况。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20.地方政策与国家政策相互衔接及落实执行情况。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21.被征地农民社会保障资金管理及使用情况。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22.社保政策执行效果。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23.土地征收补偿标准的适当性和统一性。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24.土地征收补偿范围的完整性。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25.土地征收补偿内容的真实性。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26.产权调换行为的合法合规性。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27.土地征收安置情况。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28.土地征收停产停业经济损失补偿。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29.土地征收临时安置补助费。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30.土地征收搬迁奖励。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31.土地征收违法临时建筑的补偿行为。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32.土地征收补偿款支付情况。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审查房屋征收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评估</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1.审查评估机构的选定是否合规。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2.审查评估机构的资质、信誉。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3.审查评估机构收费情况。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4.审查评估范围。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5.审查评估标准适用性。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6.审查评估依据是否真实、完整和有效。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7.审查评估时点和采取的评估方法。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8.审查被征收房屋的价值以及停产损失。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9.审查评估复核和鉴定行为。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审查建设用地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管理使用情况</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1.政策规划执行情况。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2.土地审批情况。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3.用地情况。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4.临时用地使用及复垦情况。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5.土地用途变更情况。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审查项目招投标</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1.审批手续是否完备。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2.招标标段划分的合规性。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3.招标范围和方式的合规性。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4.招标条件。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5.招标程序的合规性。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6.投标人和投标文件的合规性。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7.审查开标环节、评标环节、定标环节。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审查项目合同</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1.合同主体资格是否合规。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2.合同的主要条款是否与招标文件中主要合同条款一致。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3.合同造价条款清晰、有效、合法、合规。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建设质量</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1.质量管理职责落实情况。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2.对监理的管理情况。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3.对合同文件的管理情况。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4.对分包合同管理情况。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5.质量事故处理情况。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6.质量验收程序的规范性、真实性及有效性。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审查安全管理</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1.安全责任制执行情况。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2.现场安全管理制度的具体实施情况。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3.安全文明施工措施费管理使用情况。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15</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进度管理</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1.审查进度管理编制计划。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2.审查进度管理计划执行情况。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3.审查项目进度款支付使用情况。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审查材料设备</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供应事项</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1.采购计划和方案制订的科学性和有效性。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2.材料设备采购规范性。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3.材料设备采购的招投标情况。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4.材料设备采购合同签订情况。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5.合同管理情况。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6.合同变更管理情况。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7.材料设备入库的规范性。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8.材料设备出入库管理情况。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9.材料设备财务核算的完整性。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10.材料设备采购成本核算的合规性。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审查环境保护</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1.环境影响评价前期工作的充分性。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2.环境影响评价文件的编制、报批程序的合规性。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3.选址符合规定情况。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4.环评文件内容完整性、科学性、合理性。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5.初步设计文件与环境保护评价报告的一致性。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6.施工图设计是否符合环保要求。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7.环境保护工程费用和工程量计算的准确性。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8.环境保护设备及安装工程费用的合理性。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9.环保措施设计变更的合理性。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10.环境保护工程措施完成情况。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11.临时工程环境保护措施完成情况。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12.环保材料设备采购、使用、安装情况。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13.施工活动环保措施完成情况。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14.污染物收集、处置措施落实情况。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审查水土保持</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1.水土保持前期工作的充分性。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2.水土保持方案编制、报批程序的合规性。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3.选址符合规定情况。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4.水土保持方案内容的完整性、科学性、合理性。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5.初步设计文件与水土保持方案要求的一致性。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6.施工图设计是否符合水土保持要求。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7.水土保持设施和单体工程费用及工程量计算的准确性。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8.水土保持监测措施设计的合理性。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9.水土保持工程、植物措施设计的合理性。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10.水土保持工程措施完成情况。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11.水土保持监测措施完成情况。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12.水土保持措施费用真实性。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19</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预算执行</w:t>
            </w:r>
          </w:p>
        </w:tc>
        <w:tc>
          <w:tcPr>
            <w:tcW w:w="47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审查初步设计概算。(1)编制人员资格。(2)编制依据的可行性。(3)审查编制深度。(4)审查建设规模、标准。(5)审查设备规格、数量和配置。(6)审查工程量。(7)审查计价指标。(8)审查定额套用。(9)审查其他费用。(10)审查总费用。(11)审查投资经济效果。</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2.审查施工图预算。(1)编制人资质审查。(2)分部分项工程费。(3)措施费。(4)其他项目费。(5)规费。(6)税金。</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3.审查设计变更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(1)设计变更的期限。(2)设计变更审批程序。(3)设计变更原因。(4)设计变更内容。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20</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审查工程结算</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1.索赔时限。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2.索赔条件。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3.索赔证据。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4.索赔内容。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5.反索赔办理。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6.结算方式和时间。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7.签证单。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8.工程量。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9.定额套用。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10.材料价格。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11.费用计算。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12.费用扣回。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审查建设单位</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1.单位性质、组织架构、人员知识及专业结构。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2.职责范围或者经营范围、业务活动及其目标。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3.与投资活动相关的法律法规、政策及其执行情况。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4.财政财务管理体制、业务管理体制及执行情况。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5.适用的业绩指标体系以及业绩评价情况。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6.相关内部管理制度、投资控制程序及其执行情况。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7.相关信息系统及其电子数据情况。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8.经济环境、行业状况及其他外部因素。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9.以往接受审计和监管情况及问题的整改落实情况。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10.需要了解的其他情况。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审查勘察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设计单位</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1.审查勘察设计单位资质。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2.审查勘察设计人员资质。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3.审查勘察设计单位转分包情况。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4.审查转分包单位资质。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5.审查勘察设计文件审批情况。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6.审查勘察设计文件编制的规范合规性。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审查施工单位</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1.审查工程款拨付到位情况。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2.审查工程款拨付金额是否正确。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3.审查工程款拨付整改情况。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4.审查施工单位工程款支付情况。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5.审核施工单位财务报表的真实性。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6.审核施工单位发票的真实性。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7.审查相关业务的真实性。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8.审查违规转分包情况。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9.延伸审查分包单位。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10.施工单位人员、装备是否满足需要。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11.审查施工单位履职情况。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12.审查施工进度情况。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24</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审查其他</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参建单位</w:t>
            </w:r>
          </w:p>
        </w:tc>
        <w:tc>
          <w:tcPr>
            <w:tcW w:w="473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1.单位资质。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2.人员资格。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3.转分包情况。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4.履职情况。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5.成果文件的规范合规性。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jc w:val="center"/>
        </w:trPr>
        <w:tc>
          <w:tcPr>
            <w:tcW w:w="75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25</w:t>
            </w:r>
          </w:p>
        </w:tc>
        <w:tc>
          <w:tcPr>
            <w:tcW w:w="238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审查其他内容</w:t>
            </w:r>
          </w:p>
        </w:tc>
        <w:tc>
          <w:tcPr>
            <w:tcW w:w="47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1.项目日常监管及自律内控情况。</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2.项目推进中各参建单位自身难以解决的困难等。</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3.和项目建设相关的其他情况。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jc w:val="center"/>
        </w:trPr>
        <w:tc>
          <w:tcPr>
            <w:tcW w:w="786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注：包括但不限于上述主要服务内容。</w:t>
            </w:r>
          </w:p>
        </w:tc>
      </w:tr>
    </w:tbl>
    <w:p>
      <w:pPr>
        <w:keepNext/>
        <w:keepLines/>
        <w:pageBreakBefore w:val="0"/>
        <w:kinsoku/>
        <w:wordWrap/>
        <w:overflowPunct/>
        <w:topLinePunct w:val="0"/>
        <w:bidi w:val="0"/>
        <w:adjustRightInd/>
        <w:snapToGrid/>
        <w:spacing w:line="360" w:lineRule="auto"/>
        <w:ind w:leftChars="0"/>
        <w:textAlignment w:val="auto"/>
        <w:outlineLvl w:val="1"/>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（二）服务时效</w:t>
      </w:r>
    </w:p>
    <w:p>
      <w:pPr>
        <w:pageBreakBefore w:val="0"/>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本次政府采购为全过程跟踪审计，供应商根据跟踪审计服务内容组织相关专业人员开展跟踪审计工作，跟踪审计服务时限暂定为22个月。供应商的进场时间为政府采购合同签订后的3个工作日内(具体时间以采购人通知为准)。</w:t>
      </w:r>
    </w:p>
    <w:p>
      <w:pPr>
        <w:keepNext/>
        <w:keepLines/>
        <w:pageBreakBefore w:val="0"/>
        <w:kinsoku/>
        <w:wordWrap/>
        <w:overflowPunct/>
        <w:topLinePunct w:val="0"/>
        <w:bidi w:val="0"/>
        <w:adjustRightInd/>
        <w:snapToGrid/>
        <w:spacing w:line="360" w:lineRule="auto"/>
        <w:ind w:leftChars="0" w:firstLine="281" w:firstLineChars="100"/>
        <w:textAlignment w:val="auto"/>
        <w:outlineLvl w:val="2"/>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(三)质量要求</w:t>
      </w:r>
    </w:p>
    <w:p>
      <w:pPr>
        <w:pageBreakBefore w:val="0"/>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color w:val="auto"/>
          <w:sz w:val="28"/>
          <w:szCs w:val="28"/>
          <w:highlight w:val="none"/>
          <w:lang w:val="zh-CN" w:eastAsia="zh-CN"/>
        </w:rPr>
      </w:pP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lang w:val="zh-CN" w:eastAsia="zh-CN"/>
        </w:rPr>
        <w:t>跟踪审计质量应当符合《中华人民共和国审计法》《中华人民共和国国家审计准则》以及相关法规的规定。</w:t>
      </w:r>
    </w:p>
    <w:p>
      <w:pPr>
        <w:pageBreakBefore w:val="0"/>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color w:val="auto"/>
          <w:sz w:val="28"/>
          <w:szCs w:val="28"/>
          <w:highlight w:val="none"/>
          <w:lang w:val="zh-CN" w:eastAsia="zh-CN"/>
        </w:rPr>
      </w:pPr>
      <w:r>
        <w:rPr>
          <w:rFonts w:hint="eastAsia" w:ascii="仿宋" w:hAnsi="仿宋" w:eastAsia="仿宋" w:cs="仿宋"/>
          <w:color w:val="auto"/>
          <w:sz w:val="28"/>
          <w:szCs w:val="28"/>
          <w:highlight w:val="none"/>
          <w:lang w:val="en-US" w:eastAsia="zh-CN"/>
        </w:rPr>
        <w:t>2.供应商必须按采购人的要求及时</w:t>
      </w:r>
      <w:r>
        <w:rPr>
          <w:rFonts w:hint="eastAsia" w:ascii="仿宋" w:hAnsi="仿宋" w:eastAsia="仿宋" w:cs="仿宋"/>
          <w:color w:val="auto"/>
          <w:sz w:val="28"/>
          <w:szCs w:val="28"/>
          <w:highlight w:val="none"/>
          <w:lang w:val="zh-CN" w:eastAsia="zh-CN"/>
        </w:rPr>
        <w:t>完成上述跟踪审计内容并书面提出存在的问题及建议意见供</w:t>
      </w:r>
      <w:r>
        <w:rPr>
          <w:rFonts w:hint="eastAsia" w:ascii="仿宋" w:hAnsi="仿宋" w:eastAsia="仿宋" w:cs="仿宋"/>
          <w:color w:val="auto"/>
          <w:sz w:val="28"/>
          <w:szCs w:val="28"/>
          <w:highlight w:val="none"/>
          <w:lang w:val="en-US" w:eastAsia="zh-CN"/>
        </w:rPr>
        <w:t>采购人</w:t>
      </w:r>
      <w:r>
        <w:rPr>
          <w:rFonts w:hint="eastAsia" w:ascii="仿宋" w:hAnsi="仿宋" w:eastAsia="仿宋" w:cs="仿宋"/>
          <w:color w:val="auto"/>
          <w:sz w:val="28"/>
          <w:szCs w:val="28"/>
          <w:highlight w:val="none"/>
          <w:lang w:val="zh-CN" w:eastAsia="zh-CN"/>
        </w:rPr>
        <w:t>决策参考。</w:t>
      </w:r>
    </w:p>
    <w:p>
      <w:pPr>
        <w:pageBreakBefore w:val="0"/>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color w:val="auto"/>
          <w:sz w:val="28"/>
          <w:szCs w:val="28"/>
          <w:highlight w:val="none"/>
          <w:lang w:val="zh-CN"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val="zh-CN" w:eastAsia="zh-CN"/>
        </w:rPr>
        <w:t>审计结论必须附相关证明据材料，审计取证应严格按照《中华人民共和国国家审计准则》的规范要求进行；</w:t>
      </w:r>
      <w:r>
        <w:rPr>
          <w:rFonts w:hint="eastAsia" w:ascii="仿宋" w:hAnsi="仿宋" w:eastAsia="仿宋" w:cs="仿宋"/>
          <w:color w:val="auto"/>
          <w:sz w:val="28"/>
          <w:szCs w:val="28"/>
          <w:highlight w:val="none"/>
          <w:lang w:val="en-US" w:eastAsia="zh-CN"/>
        </w:rPr>
        <w:t>供应商</w:t>
      </w:r>
      <w:r>
        <w:rPr>
          <w:rFonts w:hint="eastAsia" w:ascii="仿宋" w:hAnsi="仿宋" w:eastAsia="仿宋" w:cs="仿宋"/>
          <w:color w:val="auto"/>
          <w:sz w:val="28"/>
          <w:szCs w:val="28"/>
          <w:highlight w:val="none"/>
          <w:lang w:val="zh-CN" w:eastAsia="zh-CN"/>
        </w:rPr>
        <w:t>对审计结果的真实性、公正性、合法性负责，并承担相应的经济、法律责任。</w:t>
      </w:r>
    </w:p>
    <w:p>
      <w:pPr>
        <w:pageBreakBefore w:val="0"/>
        <w:kinsoku/>
        <w:wordWrap/>
        <w:overflowPunct/>
        <w:topLinePunct w:val="0"/>
        <w:bidi w:val="0"/>
        <w:adjustRightInd/>
        <w:snapToGrid/>
        <w:spacing w:line="360" w:lineRule="auto"/>
        <w:ind w:leftChars="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zh-CN" w:eastAsia="zh-CN"/>
        </w:rPr>
        <w:t>（</w:t>
      </w: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lang w:val="zh-CN" w:eastAsia="zh-CN"/>
        </w:rPr>
        <w:t>）</w:t>
      </w:r>
      <w:r>
        <w:rPr>
          <w:rFonts w:hint="eastAsia" w:ascii="仿宋" w:hAnsi="仿宋" w:eastAsia="仿宋" w:cs="仿宋"/>
          <w:b/>
          <w:bCs/>
          <w:color w:val="auto"/>
          <w:sz w:val="28"/>
          <w:szCs w:val="28"/>
          <w:highlight w:val="none"/>
          <w:lang w:val="en-US" w:eastAsia="zh-CN"/>
        </w:rPr>
        <w:t xml:space="preserve">成果文件要求 </w:t>
      </w:r>
    </w:p>
    <w:p>
      <w:pPr>
        <w:pageBreakBefore w:val="0"/>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每月5号前提交上月跟踪审计月报和跟踪审计日志，次年1月15日前提交上一年度跟踪审计年报，书面报告应包括(但不限于)跟踪审计工作开展情况、项目建设情况、审计发现问题及处理建议意见、发现问题整改情况和下一步工作计划等。</w:t>
      </w:r>
    </w:p>
    <w:p>
      <w:pPr>
        <w:pageBreakBefore w:val="0"/>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跟踪审计应建立台账，按实际跟踪天数按日记载，台账要注重反映量化成果，作为反映跟踪审计全貌的工作日志；应将发现的问题及时向采购人提供证据资料和建议，并附该问题引起投资额增减金额的测算资料。</w:t>
      </w:r>
    </w:p>
    <w:p>
      <w:pPr>
        <w:pageBreakBefore w:val="0"/>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3.对跟踪审计中发现的重大问题，及时向采购人项目负责人汇报。按采购人要求填报《审计工作联系函》。 </w:t>
      </w:r>
    </w:p>
    <w:p>
      <w:pPr>
        <w:pageBreakBefore w:val="0"/>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跟踪审计工作结束后15日内，提交跟踪审计综合报告及报表，并如实、完整地将跟踪审计报告、跟踪审计日志、审计取证单、工作底稿等全部纸质资料原件和电子数据文档资料进行整理装卷后移交给采购人，并清除不应保留的电子信息。</w:t>
      </w:r>
    </w:p>
    <w:p>
      <w:pPr>
        <w:keepNext/>
        <w:keepLines/>
        <w:pageBreakBefore w:val="0"/>
        <w:kinsoku/>
        <w:wordWrap/>
        <w:overflowPunct/>
        <w:topLinePunct w:val="0"/>
        <w:bidi w:val="0"/>
        <w:adjustRightInd/>
        <w:snapToGrid/>
        <w:spacing w:line="360" w:lineRule="auto"/>
        <w:ind w:leftChars="0"/>
        <w:textAlignment w:val="auto"/>
        <w:outlineLvl w:val="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四、</w:t>
      </w:r>
      <w:r>
        <w:rPr>
          <w:rFonts w:hint="eastAsia" w:ascii="仿宋" w:hAnsi="仿宋" w:eastAsia="仿宋" w:cs="仿宋"/>
          <w:b/>
          <w:bCs/>
          <w:color w:val="auto"/>
          <w:sz w:val="28"/>
          <w:szCs w:val="28"/>
          <w:highlight w:val="none"/>
        </w:rPr>
        <w:t>商务要求</w:t>
      </w:r>
    </w:p>
    <w:p>
      <w:pPr>
        <w:pageBreakBefore w:val="0"/>
        <w:kinsoku/>
        <w:wordWrap/>
        <w:overflowPunct/>
        <w:topLinePunct w:val="0"/>
        <w:bidi w:val="0"/>
        <w:adjustRightInd/>
        <w:snapToGrid/>
        <w:spacing w:line="360" w:lineRule="auto"/>
        <w:ind w:leftChars="0" w:firstLine="281" w:firstLineChars="1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bCs/>
          <w:color w:val="auto"/>
          <w:sz w:val="28"/>
          <w:szCs w:val="28"/>
          <w:highlight w:val="none"/>
        </w:rPr>
        <w:t>（一）</w:t>
      </w:r>
      <w:r>
        <w:rPr>
          <w:rFonts w:hint="eastAsia" w:ascii="仿宋" w:hAnsi="仿宋" w:eastAsia="仿宋" w:cs="仿宋"/>
          <w:b/>
          <w:bCs/>
          <w:color w:val="auto"/>
          <w:sz w:val="28"/>
          <w:szCs w:val="28"/>
          <w:highlight w:val="none"/>
          <w:lang w:val="en-US" w:eastAsia="zh-CN"/>
        </w:rPr>
        <w:t>履约</w:t>
      </w:r>
      <w:r>
        <w:rPr>
          <w:rFonts w:hint="eastAsia" w:ascii="仿宋" w:hAnsi="仿宋" w:eastAsia="仿宋" w:cs="仿宋"/>
          <w:b/>
          <w:bCs/>
          <w:color w:val="auto"/>
          <w:sz w:val="28"/>
          <w:szCs w:val="28"/>
          <w:highlight w:val="none"/>
        </w:rPr>
        <w:t>地点：</w:t>
      </w:r>
      <w:r>
        <w:rPr>
          <w:rFonts w:hint="eastAsia" w:ascii="仿宋" w:hAnsi="仿宋" w:eastAsia="仿宋" w:cs="仿宋"/>
          <w:b w:val="0"/>
          <w:bCs w:val="0"/>
          <w:color w:val="auto"/>
          <w:sz w:val="28"/>
          <w:szCs w:val="28"/>
          <w:highlight w:val="none"/>
        </w:rPr>
        <w:t>供应商承诺签订合同后，服务期间在巴中市行政区域内设置办公场所。供应商应在</w:t>
      </w:r>
      <w:r>
        <w:rPr>
          <w:rFonts w:hint="eastAsia" w:ascii="仿宋" w:hAnsi="仿宋" w:eastAsia="仿宋" w:cs="仿宋"/>
          <w:b w:val="0"/>
          <w:bCs w:val="0"/>
          <w:color w:val="auto"/>
          <w:sz w:val="28"/>
          <w:szCs w:val="28"/>
          <w:highlight w:val="none"/>
          <w:lang w:val="en-US" w:eastAsia="zh-CN"/>
        </w:rPr>
        <w:t>采购人</w:t>
      </w:r>
      <w:r>
        <w:rPr>
          <w:rFonts w:hint="eastAsia" w:ascii="仿宋" w:hAnsi="仿宋" w:eastAsia="仿宋" w:cs="仿宋"/>
          <w:b w:val="0"/>
          <w:bCs w:val="0"/>
          <w:color w:val="auto"/>
          <w:sz w:val="28"/>
          <w:szCs w:val="28"/>
          <w:highlight w:val="none"/>
        </w:rPr>
        <w:t>指定场所开展工作。</w:t>
      </w:r>
    </w:p>
    <w:p>
      <w:pPr>
        <w:pageBreakBefore w:val="0"/>
        <w:kinsoku/>
        <w:wordWrap/>
        <w:overflowPunct/>
        <w:topLinePunct w:val="0"/>
        <w:bidi w:val="0"/>
        <w:adjustRightInd/>
        <w:snapToGrid/>
        <w:spacing w:line="360" w:lineRule="auto"/>
        <w:ind w:leftChars="0" w:firstLine="281" w:firstLineChars="100"/>
        <w:textAlignment w:val="auto"/>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bCs/>
          <w:color w:val="auto"/>
          <w:sz w:val="28"/>
          <w:szCs w:val="28"/>
          <w:highlight w:val="none"/>
        </w:rPr>
        <w:t>(二)</w:t>
      </w:r>
      <w:r>
        <w:rPr>
          <w:rFonts w:hint="eastAsia" w:ascii="仿宋" w:hAnsi="仿宋" w:eastAsia="仿宋" w:cs="仿宋"/>
          <w:b/>
          <w:bCs/>
          <w:color w:val="auto"/>
          <w:sz w:val="28"/>
          <w:szCs w:val="28"/>
          <w:highlight w:val="none"/>
          <w:lang w:val="en-US" w:eastAsia="zh-CN"/>
        </w:rPr>
        <w:t>履约时间：</w:t>
      </w:r>
      <w:r>
        <w:rPr>
          <w:rFonts w:hint="eastAsia" w:ascii="仿宋" w:hAnsi="仿宋" w:eastAsia="仿宋" w:cs="仿宋"/>
          <w:b w:val="0"/>
          <w:bCs w:val="0"/>
          <w:color w:val="auto"/>
          <w:sz w:val="28"/>
          <w:szCs w:val="28"/>
          <w:highlight w:val="none"/>
          <w:lang w:val="en-US" w:eastAsia="zh-CN"/>
        </w:rPr>
        <w:t>合同签订之日起22个月。因不可抗力因素,需要延长审计期限的,供应商应当在合同约定期限内向采购人提出书面申请，经采购人确认需延长审计期限的采取书面答复。</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ind w:leftChars="100" w:right="0" w:rightChars="0"/>
        <w:jc w:val="left"/>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（三）付款方式</w:t>
      </w:r>
    </w:p>
    <w:p>
      <w:pPr>
        <w:spacing w:line="360" w:lineRule="auto"/>
        <w:ind w:firstLine="560" w:firstLineChars="200"/>
        <w:outlineLvl w:val="9"/>
        <w:rPr>
          <w:rFonts w:hint="eastAsia" w:ascii="仿宋" w:hAnsi="仿宋" w:eastAsia="仿宋" w:cs="仿宋"/>
          <w:b w:val="0"/>
          <w:bCs w:val="0"/>
          <w:snapToGrid w:val="0"/>
          <w:color w:val="auto"/>
          <w:kern w:val="0"/>
          <w:sz w:val="28"/>
          <w:szCs w:val="28"/>
          <w:highlight w:val="none"/>
          <w:vertAlign w:val="baseline"/>
          <w:lang w:val="en-US" w:eastAsia="zh-CN"/>
        </w:rPr>
      </w:pPr>
      <w:r>
        <w:rPr>
          <w:rFonts w:hint="eastAsia" w:ascii="仿宋" w:hAnsi="仿宋" w:eastAsia="仿宋" w:cs="仿宋"/>
          <w:b w:val="0"/>
          <w:bCs w:val="0"/>
          <w:color w:val="auto"/>
          <w:sz w:val="28"/>
          <w:szCs w:val="28"/>
          <w:highlight w:val="none"/>
          <w:lang w:val="en-US" w:eastAsia="zh-CN"/>
        </w:rPr>
        <w:t>1、</w:t>
      </w:r>
      <w:r>
        <w:rPr>
          <w:rFonts w:hint="eastAsia" w:ascii="仿宋" w:hAnsi="仿宋" w:eastAsia="仿宋" w:cs="仿宋"/>
          <w:b w:val="0"/>
          <w:bCs w:val="0"/>
          <w:snapToGrid w:val="0"/>
          <w:color w:val="auto"/>
          <w:kern w:val="0"/>
          <w:sz w:val="28"/>
          <w:szCs w:val="28"/>
          <w:highlight w:val="none"/>
          <w:vertAlign w:val="baseline"/>
          <w:lang w:val="en-US" w:eastAsia="zh-CN"/>
        </w:rPr>
        <w:t>签订合同后，人员进场开展工作之日起15日内，支付合同总价款的30%；</w:t>
      </w:r>
    </w:p>
    <w:p>
      <w:pPr>
        <w:spacing w:line="360" w:lineRule="auto"/>
        <w:ind w:firstLine="560" w:firstLineChars="200"/>
        <w:outlineLvl w:val="9"/>
        <w:rPr>
          <w:rFonts w:hint="eastAsia" w:ascii="仿宋" w:hAnsi="仿宋" w:eastAsia="仿宋" w:cs="仿宋"/>
          <w:b w:val="0"/>
          <w:bCs w:val="0"/>
          <w:snapToGrid w:val="0"/>
          <w:color w:val="auto"/>
          <w:kern w:val="0"/>
          <w:sz w:val="28"/>
          <w:szCs w:val="28"/>
          <w:highlight w:val="none"/>
          <w:vertAlign w:val="baseline"/>
          <w:lang w:val="en-US" w:eastAsia="zh-CN"/>
        </w:rPr>
      </w:pPr>
      <w:r>
        <w:rPr>
          <w:rFonts w:hint="eastAsia" w:ascii="仿宋" w:hAnsi="仿宋" w:eastAsia="仿宋" w:cs="仿宋"/>
          <w:b w:val="0"/>
          <w:bCs w:val="0"/>
          <w:snapToGrid w:val="0"/>
          <w:color w:val="auto"/>
          <w:kern w:val="0"/>
          <w:sz w:val="28"/>
          <w:szCs w:val="28"/>
          <w:highlight w:val="none"/>
          <w:vertAlign w:val="baseline"/>
          <w:lang w:val="en-US" w:eastAsia="zh-CN"/>
        </w:rPr>
        <w:t>2、跟踪审计累计满6个月，累计完成跟踪审计主要内容（技术参数及性能指标）中的7项，且提交审计成果文件并经采购人验收合格后15日内支付合同价款的15%；</w:t>
      </w:r>
    </w:p>
    <w:p>
      <w:pPr>
        <w:spacing w:line="360" w:lineRule="auto"/>
        <w:ind w:firstLine="560" w:firstLineChars="200"/>
        <w:outlineLvl w:val="9"/>
        <w:rPr>
          <w:rFonts w:hint="eastAsia" w:ascii="仿宋" w:hAnsi="仿宋" w:eastAsia="仿宋" w:cs="仿宋"/>
          <w:b w:val="0"/>
          <w:bCs w:val="0"/>
          <w:snapToGrid w:val="0"/>
          <w:color w:val="auto"/>
          <w:kern w:val="0"/>
          <w:sz w:val="28"/>
          <w:szCs w:val="28"/>
          <w:highlight w:val="none"/>
          <w:vertAlign w:val="baseline"/>
          <w:lang w:val="en-US" w:eastAsia="zh-CN"/>
        </w:rPr>
      </w:pPr>
      <w:r>
        <w:rPr>
          <w:rFonts w:hint="eastAsia" w:ascii="仿宋" w:hAnsi="仿宋" w:eastAsia="仿宋" w:cs="仿宋"/>
          <w:b w:val="0"/>
          <w:bCs w:val="0"/>
          <w:snapToGrid w:val="0"/>
          <w:color w:val="auto"/>
          <w:kern w:val="0"/>
          <w:sz w:val="28"/>
          <w:szCs w:val="28"/>
          <w:highlight w:val="none"/>
          <w:vertAlign w:val="baseline"/>
          <w:lang w:val="en-US" w:eastAsia="zh-CN"/>
        </w:rPr>
        <w:t>3、跟踪审计累计满12个月，累计完成跟踪审计主要内容（技术参数及性能指标）中的14项，且提交审计成果文件并经采购人验收合格后15日内支付合同价款的15%；</w:t>
      </w:r>
    </w:p>
    <w:p>
      <w:pPr>
        <w:spacing w:line="360" w:lineRule="auto"/>
        <w:ind w:firstLine="280" w:firstLineChars="100"/>
        <w:outlineLvl w:val="9"/>
        <w:rPr>
          <w:rFonts w:hint="eastAsia" w:ascii="仿宋" w:hAnsi="仿宋" w:eastAsia="仿宋" w:cs="仿宋"/>
          <w:b w:val="0"/>
          <w:bCs w:val="0"/>
          <w:snapToGrid w:val="0"/>
          <w:color w:val="auto"/>
          <w:kern w:val="0"/>
          <w:sz w:val="28"/>
          <w:szCs w:val="28"/>
          <w:highlight w:val="none"/>
          <w:vertAlign w:val="baseline"/>
          <w:lang w:val="en-US" w:eastAsia="zh-CN"/>
        </w:rPr>
      </w:pPr>
      <w:r>
        <w:rPr>
          <w:rFonts w:hint="eastAsia" w:ascii="仿宋" w:hAnsi="仿宋" w:eastAsia="仿宋" w:cs="仿宋"/>
          <w:b w:val="0"/>
          <w:bCs w:val="0"/>
          <w:snapToGrid w:val="0"/>
          <w:color w:val="auto"/>
          <w:kern w:val="0"/>
          <w:sz w:val="28"/>
          <w:szCs w:val="28"/>
          <w:highlight w:val="none"/>
          <w:vertAlign w:val="baseline"/>
          <w:lang w:val="en-US" w:eastAsia="zh-CN"/>
        </w:rPr>
        <w:t>4、跟踪审计累计满18个月，累计完成跟踪审计主要内容（技术参数及性能指标）中的20项，且提交审计成果文件并经采购人验收合格后15日内支付合同价款的15%；</w:t>
      </w:r>
    </w:p>
    <w:p>
      <w:pPr>
        <w:spacing w:line="360" w:lineRule="auto"/>
        <w:ind w:firstLine="280" w:firstLineChars="100"/>
        <w:outlineLvl w:val="9"/>
        <w:rPr>
          <w:rFonts w:hint="eastAsia" w:ascii="仿宋" w:hAnsi="仿宋" w:eastAsia="仿宋" w:cs="仿宋"/>
          <w:b w:val="0"/>
          <w:bCs w:val="0"/>
          <w:snapToGrid w:val="0"/>
          <w:color w:val="auto"/>
          <w:kern w:val="0"/>
          <w:sz w:val="28"/>
          <w:szCs w:val="28"/>
          <w:highlight w:val="none"/>
          <w:vertAlign w:val="baseline"/>
          <w:lang w:val="en-US" w:eastAsia="zh-CN"/>
        </w:rPr>
      </w:pPr>
      <w:r>
        <w:rPr>
          <w:rFonts w:hint="eastAsia" w:ascii="仿宋" w:hAnsi="仿宋" w:eastAsia="仿宋" w:cs="仿宋"/>
          <w:b w:val="0"/>
          <w:bCs w:val="0"/>
          <w:snapToGrid w:val="0"/>
          <w:color w:val="auto"/>
          <w:kern w:val="0"/>
          <w:sz w:val="28"/>
          <w:szCs w:val="28"/>
          <w:highlight w:val="none"/>
          <w:vertAlign w:val="baseline"/>
          <w:lang w:val="en-US" w:eastAsia="zh-CN"/>
        </w:rPr>
        <w:t>5、跟踪审计累计满22个月，累计完成跟踪审计主要内容（技术参数及性能指标）中的25项，且提交审计成果文件并经采购人验收合格后15日内支付合同价款的15%；</w:t>
      </w:r>
    </w:p>
    <w:p>
      <w:pPr>
        <w:spacing w:line="360" w:lineRule="auto"/>
        <w:ind w:firstLine="560" w:firstLineChars="200"/>
        <w:outlineLvl w:val="9"/>
        <w:rPr>
          <w:rFonts w:hint="default"/>
          <w:b w:val="0"/>
          <w:bCs w:val="0"/>
          <w:color w:val="auto"/>
          <w:lang w:val="en-US" w:eastAsia="zh-CN"/>
        </w:rPr>
      </w:pPr>
      <w:r>
        <w:rPr>
          <w:rFonts w:hint="eastAsia" w:ascii="仿宋" w:hAnsi="仿宋" w:eastAsia="仿宋" w:cs="仿宋"/>
          <w:b w:val="0"/>
          <w:bCs w:val="0"/>
          <w:snapToGrid w:val="0"/>
          <w:color w:val="auto"/>
          <w:kern w:val="0"/>
          <w:sz w:val="28"/>
          <w:szCs w:val="28"/>
          <w:highlight w:val="none"/>
          <w:vertAlign w:val="baseline"/>
          <w:lang w:val="en-US" w:eastAsia="zh-CN"/>
        </w:rPr>
        <w:t>6、跟踪审计满22个月</w:t>
      </w:r>
      <w:r>
        <w:rPr>
          <w:rFonts w:hint="eastAsia" w:ascii="仿宋" w:hAnsi="仿宋" w:eastAsia="仿宋" w:cs="仿宋"/>
          <w:b w:val="0"/>
          <w:bCs w:val="0"/>
          <w:snapToGrid w:val="0"/>
          <w:color w:val="auto"/>
          <w:kern w:val="0"/>
          <w:sz w:val="28"/>
          <w:szCs w:val="28"/>
          <w:highlight w:val="none"/>
          <w:lang w:val="en-US" w:eastAsia="zh-CN"/>
        </w:rPr>
        <w:t>，提供装订成册的全套跟踪审计档案并经采购人检查无误后</w:t>
      </w:r>
      <w:r>
        <w:rPr>
          <w:rFonts w:hint="eastAsia" w:ascii="仿宋" w:hAnsi="仿宋" w:eastAsia="仿宋" w:cs="仿宋"/>
          <w:b w:val="0"/>
          <w:bCs w:val="0"/>
          <w:snapToGrid w:val="0"/>
          <w:color w:val="auto"/>
          <w:kern w:val="0"/>
          <w:sz w:val="28"/>
          <w:szCs w:val="28"/>
          <w:highlight w:val="none"/>
          <w:vertAlign w:val="baseline"/>
          <w:lang w:val="en-US" w:eastAsia="zh-CN"/>
        </w:rPr>
        <w:t>15日内支付合同价款的10%。</w:t>
      </w:r>
    </w:p>
    <w:p>
      <w:pPr>
        <w:pStyle w:val="4"/>
        <w:keepNext w:val="0"/>
        <w:keepLines w:val="0"/>
        <w:pageBreakBefore w:val="0"/>
        <w:widowControl w:val="0"/>
        <w:numPr>
          <w:ilvl w:val="0"/>
          <w:numId w:val="0"/>
        </w:numPr>
        <w:kinsoku/>
        <w:wordWrap/>
        <w:overflowPunct/>
        <w:topLinePunct w:val="0"/>
        <w:bidi w:val="0"/>
        <w:adjustRightInd/>
        <w:snapToGrid/>
        <w:spacing w:after="0" w:line="360" w:lineRule="auto"/>
        <w:ind w:leftChars="0" w:firstLine="281" w:firstLineChars="10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（四）报价要求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560" w:firstLineChars="200"/>
        <w:jc w:val="left"/>
        <w:textAlignment w:val="auto"/>
        <w:rPr>
          <w:rFonts w:hint="eastAsia" w:ascii="仿宋" w:hAnsi="仿宋" w:eastAsia="仿宋" w:cs="仿宋"/>
          <w:snapToGrid w:val="0"/>
          <w:color w:val="auto"/>
          <w:kern w:val="0"/>
          <w:sz w:val="28"/>
          <w:szCs w:val="28"/>
          <w:highlight w:val="none"/>
          <w:lang w:val="en-US" w:eastAsia="zh-CN"/>
        </w:rPr>
      </w:pPr>
      <w:r>
        <w:rPr>
          <w:rFonts w:hint="eastAsia" w:ascii="仿宋" w:hAnsi="仿宋" w:eastAsia="仿宋" w:cs="仿宋"/>
          <w:color w:val="auto"/>
          <w:kern w:val="0"/>
          <w:sz w:val="28"/>
          <w:szCs w:val="28"/>
          <w:highlight w:val="none"/>
          <w:lang w:bidi="ar"/>
        </w:rPr>
        <w:t>供应商的报价是其响应本项目要求的全部工作内容的价格体现</w:t>
      </w:r>
      <w:r>
        <w:rPr>
          <w:rFonts w:hint="eastAsia" w:ascii="仿宋" w:hAnsi="仿宋" w:eastAsia="仿宋" w:cs="仿宋"/>
          <w:color w:val="auto"/>
          <w:kern w:val="0"/>
          <w:sz w:val="28"/>
          <w:szCs w:val="28"/>
          <w:highlight w:val="none"/>
          <w:lang w:eastAsia="zh-CN" w:bidi="ar"/>
        </w:rPr>
        <w:t>，</w:t>
      </w:r>
      <w:r>
        <w:rPr>
          <w:rFonts w:hint="eastAsia" w:ascii="仿宋" w:hAnsi="仿宋" w:eastAsia="仿宋" w:cs="仿宋"/>
          <w:snapToGrid w:val="0"/>
          <w:color w:val="auto"/>
          <w:kern w:val="0"/>
          <w:sz w:val="28"/>
          <w:szCs w:val="28"/>
          <w:highlight w:val="none"/>
          <w:lang w:val="en-US" w:eastAsia="zh-CN"/>
        </w:rPr>
        <w:t>包括人工工资、专业服务、交通、住宿、办公、差旅、保险、资料整理及成果汇集、后期服务、其他服务、税费以及磋商文件规定的其他费用。</w:t>
      </w:r>
    </w:p>
    <w:p>
      <w:pPr>
        <w:pStyle w:val="4"/>
        <w:keepNext w:val="0"/>
        <w:keepLines w:val="0"/>
        <w:pageBreakBefore w:val="0"/>
        <w:numPr>
          <w:ilvl w:val="0"/>
          <w:numId w:val="0"/>
        </w:numPr>
        <w:kinsoku/>
        <w:wordWrap/>
        <w:overflowPunct/>
        <w:topLinePunct w:val="0"/>
        <w:bidi w:val="0"/>
        <w:adjustRightInd/>
        <w:snapToGrid/>
        <w:spacing w:after="0" w:line="360" w:lineRule="auto"/>
        <w:ind w:leftChars="100"/>
        <w:textAlignment w:val="auto"/>
        <w:rPr>
          <w:rFonts w:hint="eastAsia" w:ascii="仿宋" w:hAnsi="仿宋" w:eastAsia="仿宋" w:cs="仿宋"/>
          <w:b/>
          <w:bCs/>
          <w:snapToGrid w:val="0"/>
          <w:color w:val="auto"/>
          <w:kern w:val="0"/>
          <w:sz w:val="28"/>
          <w:szCs w:val="28"/>
          <w:highlight w:val="none"/>
          <w:lang w:val="en-US" w:eastAsia="zh-CN"/>
        </w:rPr>
      </w:pPr>
      <w:r>
        <w:rPr>
          <w:rFonts w:hint="eastAsia" w:ascii="仿宋" w:hAnsi="仿宋" w:eastAsia="仿宋" w:cs="仿宋"/>
          <w:b/>
          <w:bCs/>
          <w:snapToGrid w:val="0"/>
          <w:color w:val="auto"/>
          <w:kern w:val="0"/>
          <w:sz w:val="28"/>
          <w:szCs w:val="28"/>
          <w:highlight w:val="none"/>
          <w:lang w:val="en-US" w:eastAsia="zh-CN"/>
        </w:rPr>
        <w:t>（五）其他要求</w:t>
      </w:r>
    </w:p>
    <w:p>
      <w:pPr>
        <w:keepNext w:val="0"/>
        <w:keepLines w:val="0"/>
        <w:pageBreakBefore w:val="0"/>
        <w:numPr>
          <w:ilvl w:val="0"/>
          <w:numId w:val="0"/>
        </w:numPr>
        <w:kinsoku/>
        <w:wordWrap/>
        <w:overflowPunct/>
        <w:topLinePunct w:val="0"/>
        <w:bidi w:val="0"/>
        <w:adjustRightInd/>
        <w:snapToGrid/>
        <w:spacing w:line="360" w:lineRule="auto"/>
        <w:ind w:leftChars="0" w:firstLine="281" w:firstLineChars="100"/>
        <w:textAlignment w:val="auto"/>
        <w:rPr>
          <w:rFonts w:hint="eastAsia" w:ascii="仿宋" w:hAnsi="仿宋" w:eastAsia="仿宋" w:cs="仿宋"/>
          <w:b/>
          <w:bCs/>
          <w:snapToGrid w:val="0"/>
          <w:color w:val="auto"/>
          <w:kern w:val="0"/>
          <w:sz w:val="28"/>
          <w:szCs w:val="28"/>
          <w:highlight w:val="none"/>
          <w:lang w:val="en-US" w:eastAsia="zh-CN" w:bidi="ar-SA"/>
        </w:rPr>
      </w:pPr>
      <w:r>
        <w:rPr>
          <w:rFonts w:hint="eastAsia" w:ascii="仿宋" w:hAnsi="仿宋" w:eastAsia="仿宋" w:cs="仿宋"/>
          <w:b/>
          <w:bCs/>
          <w:snapToGrid w:val="0"/>
          <w:color w:val="auto"/>
          <w:kern w:val="0"/>
          <w:sz w:val="28"/>
          <w:szCs w:val="28"/>
          <w:highlight w:val="none"/>
          <w:lang w:val="en-US" w:eastAsia="zh-CN" w:bidi="ar-SA"/>
        </w:rPr>
        <w:t>一）服务期提前或延期</w:t>
      </w:r>
    </w:p>
    <w:p>
      <w:pPr>
        <w:keepNext w:val="0"/>
        <w:keepLines w:val="0"/>
        <w:pageBreakBefore w:val="0"/>
        <w:numPr>
          <w:ilvl w:val="0"/>
          <w:numId w:val="0"/>
        </w:numPr>
        <w:kinsoku/>
        <w:wordWrap/>
        <w:overflowPunct/>
        <w:topLinePunct w:val="0"/>
        <w:bidi w:val="0"/>
        <w:adjustRightInd/>
        <w:snapToGrid/>
        <w:spacing w:line="360" w:lineRule="auto"/>
        <w:ind w:leftChars="0" w:firstLine="280" w:firstLineChars="100"/>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跟踪审计过程中，若遇服务期提前或延期，按以下方式解决：</w:t>
      </w:r>
    </w:p>
    <w:p>
      <w:pPr>
        <w:keepNext w:val="0"/>
        <w:keepLines w:val="0"/>
        <w:pageBreakBefore w:val="0"/>
        <w:numPr>
          <w:ilvl w:val="0"/>
          <w:numId w:val="0"/>
        </w:numPr>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1.服务期限提前,跟踪审计费用按实际服务时间计算。跟踪审计费用=实际服务月份数*(成交金额/22个月)。注：不足半月的不计算，超过半月不足1月的按半月计算。</w:t>
      </w:r>
    </w:p>
    <w:p>
      <w:pPr>
        <w:keepNext w:val="0"/>
        <w:keepLines w:val="0"/>
        <w:pageBreakBefore w:val="0"/>
        <w:numPr>
          <w:ilvl w:val="0"/>
          <w:numId w:val="0"/>
        </w:numPr>
        <w:kinsoku/>
        <w:wordWrap/>
        <w:overflowPunct/>
        <w:topLinePunct w:val="0"/>
        <w:bidi w:val="0"/>
        <w:adjustRightInd/>
        <w:snapToGrid/>
        <w:spacing w:line="360" w:lineRule="auto"/>
        <w:ind w:leftChars="0" w:firstLine="560" w:firstLineChars="200"/>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2.服务期限延期，因供应商责任造成时间延长的，不增加相关跟踪审计服务费用；非供应商原因需延期的，由供应商书面提出延期申请(并附延期原因及延期时间)，采购人按程序批准，延期服务费标准按(成交金额/22个月)执行。未经批准自行延期的，采购人不承担任何延期审计服务费。</w:t>
      </w:r>
    </w:p>
    <w:p>
      <w:pPr>
        <w:keepNext w:val="0"/>
        <w:keepLines w:val="0"/>
        <w:pageBreakBefore w:val="0"/>
        <w:widowControl/>
        <w:kinsoku/>
        <w:wordWrap/>
        <w:overflowPunct/>
        <w:topLinePunct w:val="0"/>
        <w:bidi w:val="0"/>
        <w:adjustRightInd/>
        <w:snapToGrid/>
        <w:spacing w:beforeAutospacing="0" w:afterAutospacing="0" w:line="360" w:lineRule="auto"/>
        <w:ind w:left="0" w:leftChars="0" w:right="0" w:rightChars="0" w:firstLine="562" w:firstLineChars="200"/>
        <w:jc w:val="left"/>
        <w:textAlignment w:val="auto"/>
        <w:rPr>
          <w:rFonts w:hint="eastAsia" w:ascii="仿宋" w:hAnsi="仿宋" w:eastAsia="仿宋" w:cs="仿宋"/>
          <w:b/>
          <w:bCs/>
          <w:snapToGrid w:val="0"/>
          <w:color w:val="auto"/>
          <w:kern w:val="0"/>
          <w:sz w:val="28"/>
          <w:szCs w:val="28"/>
          <w:highlight w:val="none"/>
          <w:lang w:val="en-US" w:eastAsia="zh-CN" w:bidi="ar-SA"/>
        </w:rPr>
      </w:pPr>
      <w:r>
        <w:rPr>
          <w:rFonts w:hint="eastAsia" w:ascii="仿宋" w:hAnsi="仿宋" w:eastAsia="仿宋" w:cs="仿宋"/>
          <w:b/>
          <w:bCs/>
          <w:snapToGrid w:val="0"/>
          <w:color w:val="auto"/>
          <w:kern w:val="0"/>
          <w:sz w:val="28"/>
          <w:szCs w:val="28"/>
          <w:highlight w:val="none"/>
          <w:lang w:val="en-US" w:eastAsia="zh-CN" w:bidi="ar-SA"/>
        </w:rPr>
        <w:t>二）奖励或惩罚</w:t>
      </w:r>
    </w:p>
    <w:p>
      <w:pPr>
        <w:keepNext w:val="0"/>
        <w:keepLines w:val="0"/>
        <w:pageBreakBefore w:val="0"/>
        <w:widowControl/>
        <w:kinsoku/>
        <w:wordWrap/>
        <w:overflowPunct/>
        <w:topLinePunct w:val="0"/>
        <w:bidi w:val="0"/>
        <w:adjustRightInd/>
        <w:snapToGrid/>
        <w:spacing w:beforeAutospacing="0" w:afterAutospacing="0" w:line="360" w:lineRule="auto"/>
        <w:ind w:left="0" w:leftChars="0" w:right="0" w:rightChars="0" w:firstLine="560" w:firstLineChars="200"/>
        <w:jc w:val="left"/>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供应商在实施委托审计项目时有以下情形之一的，采购人根据审计质量考核，有权奖励增加、惩罚扣减相应审计费用：</w:t>
      </w:r>
    </w:p>
    <w:p>
      <w:pPr>
        <w:keepNext w:val="0"/>
        <w:keepLines w:val="0"/>
        <w:pageBreakBefore w:val="0"/>
        <w:widowControl/>
        <w:kinsoku/>
        <w:wordWrap/>
        <w:overflowPunct/>
        <w:topLinePunct w:val="0"/>
        <w:bidi w:val="0"/>
        <w:adjustRightInd/>
        <w:snapToGrid/>
        <w:spacing w:beforeAutospacing="0" w:afterAutospacing="0" w:line="360" w:lineRule="auto"/>
        <w:ind w:left="0" w:leftChars="0" w:right="0" w:rightChars="0" w:firstLine="560" w:firstLineChars="200"/>
        <w:jc w:val="left"/>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1.发现重大违法违纪线索，经采购人查证属实并经有关部门处理(处罚)的，可按给国家挽回直接经济损失金额的4%给予供应商奖励(累计奖励金额不超过合同价的10%)；</w:t>
      </w:r>
    </w:p>
    <w:p>
      <w:pPr>
        <w:keepNext w:val="0"/>
        <w:keepLines w:val="0"/>
        <w:pageBreakBefore w:val="0"/>
        <w:widowControl/>
        <w:kinsoku/>
        <w:wordWrap/>
        <w:overflowPunct/>
        <w:topLinePunct w:val="0"/>
        <w:bidi w:val="0"/>
        <w:adjustRightInd/>
        <w:snapToGrid/>
        <w:spacing w:beforeAutospacing="0" w:afterAutospacing="0" w:line="360" w:lineRule="auto"/>
        <w:ind w:left="0" w:leftChars="0" w:right="0" w:rightChars="0" w:firstLine="560" w:firstLineChars="200"/>
        <w:jc w:val="left"/>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2.应当发现而未发现重大违法违规问题，而被采购人或有关部门发现，每发现一项按合同价的2%扣减审计服务费(扣减金额累计不超过合同金额的10%)；</w:t>
      </w:r>
    </w:p>
    <w:p>
      <w:pPr>
        <w:keepNext w:val="0"/>
        <w:keepLines w:val="0"/>
        <w:pageBreakBefore w:val="0"/>
        <w:widowControl/>
        <w:kinsoku/>
        <w:wordWrap/>
        <w:overflowPunct/>
        <w:topLinePunct w:val="0"/>
        <w:bidi w:val="0"/>
        <w:adjustRightInd/>
        <w:snapToGrid/>
        <w:spacing w:beforeAutospacing="0" w:afterAutospacing="0" w:line="360" w:lineRule="auto"/>
        <w:ind w:left="0" w:leftChars="0" w:right="0" w:rightChars="0" w:firstLine="560" w:firstLineChars="200"/>
        <w:jc w:val="left"/>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3.利用实施审计获取信息，牟取利益的，除终止合同、不予支付审计服务费外，并提请有关部门依法追究责任；</w:t>
      </w:r>
    </w:p>
    <w:p>
      <w:pPr>
        <w:keepNext w:val="0"/>
        <w:keepLines w:val="0"/>
        <w:pageBreakBefore w:val="0"/>
        <w:widowControl/>
        <w:kinsoku/>
        <w:wordWrap/>
        <w:overflowPunct/>
        <w:topLinePunct w:val="0"/>
        <w:bidi w:val="0"/>
        <w:adjustRightInd/>
        <w:snapToGrid/>
        <w:spacing w:beforeAutospacing="0" w:afterAutospacing="0" w:line="360" w:lineRule="auto"/>
        <w:ind w:left="0" w:leftChars="0" w:right="0" w:rightChars="0" w:firstLine="560" w:firstLineChars="200"/>
        <w:jc w:val="left"/>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4.违规向被审计单位及与项目建设相关单位或人员收取费用的，除终止合同、不予支付审计服务费外，并提请有关部门依法追究责任；</w:t>
      </w:r>
    </w:p>
    <w:p>
      <w:pPr>
        <w:keepNext w:val="0"/>
        <w:keepLines w:val="0"/>
        <w:pageBreakBefore w:val="0"/>
        <w:widowControl/>
        <w:kinsoku/>
        <w:wordWrap/>
        <w:overflowPunct/>
        <w:topLinePunct w:val="0"/>
        <w:bidi w:val="0"/>
        <w:adjustRightInd/>
        <w:snapToGrid/>
        <w:spacing w:beforeAutospacing="0" w:afterAutospacing="0" w:line="360" w:lineRule="auto"/>
        <w:ind w:left="0" w:leftChars="0" w:right="0" w:rightChars="0" w:firstLine="560" w:firstLineChars="200"/>
        <w:jc w:val="left"/>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5.无故延迟提交审计报告等审计成果的，每延迟1天，扣减当期应付审计服务费的1%，以此类推，扣完为止；不按规定获取审计证据、编制工作底稿，经采购人两次书面提醒仍不整改的，按当期应付审计服务费总额的10%扣减审计服务费；</w:t>
      </w:r>
    </w:p>
    <w:p>
      <w:pPr>
        <w:keepNext w:val="0"/>
        <w:keepLines w:val="0"/>
        <w:pageBreakBefore w:val="0"/>
        <w:widowControl/>
        <w:kinsoku/>
        <w:wordWrap/>
        <w:overflowPunct/>
        <w:topLinePunct w:val="0"/>
        <w:bidi w:val="0"/>
        <w:adjustRightInd/>
        <w:snapToGrid/>
        <w:spacing w:beforeAutospacing="0" w:afterAutospacing="0" w:line="360" w:lineRule="auto"/>
        <w:ind w:left="0" w:leftChars="0" w:right="0" w:rightChars="0" w:firstLine="560" w:firstLineChars="200"/>
        <w:jc w:val="left"/>
        <w:textAlignment w:val="auto"/>
        <w:rPr>
          <w:rFonts w:hint="eastAsia" w:ascii="仿宋" w:hAnsi="仿宋" w:eastAsia="仿宋" w:cs="仿宋"/>
          <w:snapToGrid w:val="0"/>
          <w:color w:val="auto"/>
          <w:kern w:val="0"/>
          <w:sz w:val="28"/>
          <w:szCs w:val="28"/>
          <w:highlight w:val="none"/>
          <w:lang w:val="en-US" w:eastAsia="zh-CN" w:bidi="ar-SA"/>
        </w:rPr>
      </w:pPr>
      <w:r>
        <w:rPr>
          <w:rFonts w:hint="eastAsia" w:ascii="仿宋" w:hAnsi="仿宋" w:eastAsia="仿宋" w:cs="仿宋"/>
          <w:snapToGrid w:val="0"/>
          <w:color w:val="auto"/>
          <w:kern w:val="0"/>
          <w:sz w:val="28"/>
          <w:szCs w:val="28"/>
          <w:highlight w:val="none"/>
          <w:lang w:val="en-US" w:eastAsia="zh-CN" w:bidi="ar-SA"/>
        </w:rPr>
        <w:t>6.未履行书面请假手续擅自离岗的，按2000元/人/天扣减审计服务费(半天扣减一半)；未经采购人审核批准擅自更换跟踪审计人员的，按10000元/人/次扣减审计服务费(扣减金额累计不超过合同金额的10%)</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562" w:firstLineChars="200"/>
        <w:jc w:val="both"/>
        <w:textAlignment w:val="auto"/>
        <w:rPr>
          <w:rFonts w:hint="eastAsia" w:ascii="仿宋" w:hAnsi="仿宋" w:eastAsia="仿宋" w:cs="仿宋"/>
          <w:b/>
          <w:bCs/>
          <w:snapToGrid w:val="0"/>
          <w:color w:val="auto"/>
          <w:sz w:val="28"/>
          <w:szCs w:val="28"/>
          <w:highlight w:val="none"/>
          <w:lang w:val="en-US"/>
        </w:rPr>
      </w:pPr>
      <w:r>
        <w:rPr>
          <w:rFonts w:hint="eastAsia" w:ascii="仿宋" w:hAnsi="仿宋" w:eastAsia="仿宋" w:cs="仿宋"/>
          <w:b/>
          <w:bCs/>
          <w:snapToGrid w:val="0"/>
          <w:color w:val="auto"/>
          <w:kern w:val="0"/>
          <w:sz w:val="28"/>
          <w:szCs w:val="28"/>
          <w:highlight w:val="none"/>
          <w:lang w:val="en-US" w:eastAsia="zh-CN" w:bidi="ar-SA"/>
        </w:rPr>
        <w:t>三）</w:t>
      </w:r>
      <w:r>
        <w:rPr>
          <w:rFonts w:hint="eastAsia" w:ascii="仿宋" w:hAnsi="仿宋" w:eastAsia="仿宋" w:cs="仿宋"/>
          <w:b/>
          <w:bCs/>
          <w:snapToGrid w:val="0"/>
          <w:color w:val="auto"/>
          <w:sz w:val="28"/>
          <w:szCs w:val="28"/>
          <w:highlight w:val="none"/>
          <w:lang w:val="en-US"/>
        </w:rPr>
        <w:t>知识产权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ascii="仿宋" w:hAnsi="仿宋" w:eastAsia="仿宋" w:cs="仿宋"/>
          <w:snapToGrid w:val="0"/>
          <w:color w:val="auto"/>
          <w:sz w:val="28"/>
          <w:szCs w:val="28"/>
          <w:highlight w:val="none"/>
          <w:lang w:val="en-US"/>
        </w:rPr>
      </w:pPr>
      <w:r>
        <w:rPr>
          <w:rFonts w:hint="eastAsia" w:ascii="仿宋" w:hAnsi="仿宋" w:eastAsia="仿宋" w:cs="仿宋"/>
          <w:snapToGrid w:val="0"/>
          <w:color w:val="auto"/>
          <w:sz w:val="28"/>
          <w:szCs w:val="28"/>
          <w:highlight w:val="none"/>
          <w:lang w:val="en-US" w:eastAsia="zh-CN"/>
        </w:rPr>
        <w:t>1.供应商</w:t>
      </w:r>
      <w:r>
        <w:rPr>
          <w:rFonts w:hint="eastAsia" w:ascii="仿宋" w:hAnsi="仿宋" w:eastAsia="仿宋" w:cs="仿宋"/>
          <w:snapToGrid w:val="0"/>
          <w:color w:val="auto"/>
          <w:sz w:val="28"/>
          <w:szCs w:val="28"/>
          <w:highlight w:val="none"/>
          <w:lang w:val="en-US"/>
        </w:rPr>
        <w:t>应保证所提供的服务或其任何一部分均不会侵犯任何第三方的专利权、商标权或著作权。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firstLine="560" w:firstLineChars="200"/>
        <w:jc w:val="both"/>
        <w:textAlignment w:val="auto"/>
        <w:rPr>
          <w:rFonts w:hint="eastAsia" w:ascii="仿宋" w:hAnsi="仿宋" w:eastAsia="仿宋" w:cs="仿宋"/>
          <w:snapToGrid w:val="0"/>
          <w:color w:val="auto"/>
          <w:sz w:val="28"/>
          <w:szCs w:val="28"/>
          <w:highlight w:val="none"/>
          <w:lang w:val="en-US"/>
        </w:rPr>
      </w:pPr>
      <w:r>
        <w:rPr>
          <w:rFonts w:hint="eastAsia" w:ascii="仿宋" w:hAnsi="仿宋" w:eastAsia="仿宋" w:cs="仿宋"/>
          <w:snapToGrid w:val="0"/>
          <w:color w:val="auto"/>
          <w:sz w:val="28"/>
          <w:szCs w:val="28"/>
          <w:highlight w:val="none"/>
          <w:lang w:val="en-US" w:eastAsia="zh-CN"/>
        </w:rPr>
        <w:t>2.</w:t>
      </w:r>
      <w:r>
        <w:rPr>
          <w:rFonts w:hint="eastAsia" w:ascii="仿宋" w:hAnsi="仿宋" w:eastAsia="仿宋" w:cs="仿宋"/>
          <w:snapToGrid w:val="0"/>
          <w:color w:val="auto"/>
          <w:sz w:val="28"/>
          <w:szCs w:val="28"/>
          <w:highlight w:val="none"/>
          <w:lang w:val="en-US"/>
        </w:rPr>
        <w:t>无产权瑕疵条款</w:t>
      </w:r>
      <w:r>
        <w:rPr>
          <w:rFonts w:hint="eastAsia" w:ascii="仿宋" w:hAnsi="仿宋" w:eastAsia="仿宋" w:cs="仿宋"/>
          <w:snapToGrid w:val="0"/>
          <w:color w:val="auto"/>
          <w:sz w:val="28"/>
          <w:szCs w:val="28"/>
          <w:highlight w:val="none"/>
          <w:lang w:val="en-US" w:eastAsia="zh-CN"/>
        </w:rPr>
        <w:t>：供应商</w:t>
      </w:r>
      <w:r>
        <w:rPr>
          <w:rFonts w:hint="eastAsia" w:ascii="仿宋" w:hAnsi="仿宋" w:eastAsia="仿宋" w:cs="仿宋"/>
          <w:snapToGrid w:val="0"/>
          <w:color w:val="auto"/>
          <w:sz w:val="28"/>
          <w:szCs w:val="28"/>
          <w:highlight w:val="none"/>
          <w:lang w:val="en-US"/>
        </w:rPr>
        <w:t>保证所提供的服务的所有权完全属于</w:t>
      </w:r>
      <w:r>
        <w:rPr>
          <w:rFonts w:hint="eastAsia" w:ascii="仿宋" w:hAnsi="仿宋" w:eastAsia="仿宋" w:cs="仿宋"/>
          <w:snapToGrid w:val="0"/>
          <w:color w:val="auto"/>
          <w:sz w:val="28"/>
          <w:szCs w:val="28"/>
          <w:highlight w:val="none"/>
          <w:lang w:val="en-US" w:eastAsia="zh-CN"/>
        </w:rPr>
        <w:t>供应商</w:t>
      </w:r>
      <w:r>
        <w:rPr>
          <w:rFonts w:hint="eastAsia" w:ascii="仿宋" w:hAnsi="仿宋" w:eastAsia="仿宋" w:cs="仿宋"/>
          <w:snapToGrid w:val="0"/>
          <w:color w:val="auto"/>
          <w:sz w:val="28"/>
          <w:szCs w:val="28"/>
          <w:highlight w:val="none"/>
          <w:lang w:val="en-US"/>
        </w:rPr>
        <w:t>且无任何抵押、查封等产权瑕疵。如有产权瑕疵的，视为</w:t>
      </w:r>
      <w:r>
        <w:rPr>
          <w:rFonts w:hint="eastAsia" w:ascii="仿宋" w:hAnsi="仿宋" w:eastAsia="仿宋" w:cs="仿宋"/>
          <w:snapToGrid w:val="0"/>
          <w:color w:val="auto"/>
          <w:sz w:val="28"/>
          <w:szCs w:val="28"/>
          <w:highlight w:val="none"/>
          <w:lang w:val="en-US" w:eastAsia="zh-CN"/>
        </w:rPr>
        <w:t>供应商</w:t>
      </w:r>
      <w:r>
        <w:rPr>
          <w:rFonts w:hint="eastAsia" w:ascii="仿宋" w:hAnsi="仿宋" w:eastAsia="仿宋" w:cs="仿宋"/>
          <w:snapToGrid w:val="0"/>
          <w:color w:val="auto"/>
          <w:sz w:val="28"/>
          <w:szCs w:val="28"/>
          <w:highlight w:val="none"/>
          <w:lang w:val="en-US"/>
        </w:rPr>
        <w:t>违约。</w:t>
      </w:r>
      <w:r>
        <w:rPr>
          <w:rFonts w:hint="eastAsia" w:ascii="仿宋" w:hAnsi="仿宋" w:eastAsia="仿宋" w:cs="仿宋"/>
          <w:snapToGrid w:val="0"/>
          <w:color w:val="auto"/>
          <w:sz w:val="28"/>
          <w:szCs w:val="28"/>
          <w:highlight w:val="none"/>
          <w:lang w:val="en-US" w:eastAsia="zh-CN"/>
        </w:rPr>
        <w:t>供应商</w:t>
      </w:r>
      <w:r>
        <w:rPr>
          <w:rFonts w:hint="eastAsia" w:ascii="仿宋" w:hAnsi="仿宋" w:eastAsia="仿宋" w:cs="仿宋"/>
          <w:snapToGrid w:val="0"/>
          <w:color w:val="auto"/>
          <w:sz w:val="28"/>
          <w:szCs w:val="28"/>
          <w:highlight w:val="none"/>
          <w:lang w:val="en-US"/>
        </w:rPr>
        <w:t>应负担由此而产生的一切损失。</w:t>
      </w:r>
    </w:p>
    <w:p>
      <w:pPr>
        <w:pStyle w:val="4"/>
        <w:pageBreakBefore w:val="0"/>
        <w:kinsoku/>
        <w:wordWrap/>
        <w:overflowPunct/>
        <w:topLinePunct w:val="0"/>
        <w:bidi w:val="0"/>
        <w:adjustRightInd/>
        <w:snapToGrid/>
        <w:spacing w:after="0" w:line="360" w:lineRule="auto"/>
        <w:ind w:leftChars="0"/>
        <w:textAlignment w:val="auto"/>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w:t>
      </w:r>
      <w:r>
        <w:rPr>
          <w:rFonts w:hint="eastAsia" w:ascii="仿宋" w:hAnsi="仿宋" w:eastAsia="仿宋" w:cs="仿宋"/>
          <w:b/>
          <w:bCs/>
          <w:color w:val="auto"/>
          <w:kern w:val="2"/>
          <w:sz w:val="28"/>
          <w:szCs w:val="28"/>
          <w:highlight w:val="none"/>
          <w:lang w:val="en-US" w:eastAsia="zh-CN" w:bidi="ar-SA"/>
        </w:rPr>
        <w:t>（六）安全责任</w:t>
      </w:r>
    </w:p>
    <w:p>
      <w:pPr>
        <w:pageBreakBefore w:val="0"/>
        <w:kinsoku/>
        <w:wordWrap/>
        <w:overflowPunct/>
        <w:topLinePunct w:val="0"/>
        <w:bidi w:val="0"/>
        <w:adjustRightInd/>
        <w:snapToGrid/>
        <w:spacing w:line="360" w:lineRule="auto"/>
        <w:ind w:leftChars="0" w:firstLine="556" w:firstLineChars="200"/>
        <w:textAlignment w:val="auto"/>
        <w:rPr>
          <w:rFonts w:hint="eastAsia" w:ascii="仿宋" w:hAnsi="仿宋" w:eastAsia="仿宋" w:cs="仿宋"/>
          <w:b/>
          <w:bCs/>
          <w:color w:val="auto"/>
          <w:spacing w:val="-2"/>
          <w:sz w:val="28"/>
          <w:szCs w:val="28"/>
          <w:highlight w:val="none"/>
        </w:rPr>
      </w:pPr>
      <w:r>
        <w:rPr>
          <w:rFonts w:hint="eastAsia" w:ascii="仿宋" w:hAnsi="仿宋" w:eastAsia="仿宋" w:cs="仿宋"/>
          <w:color w:val="auto"/>
          <w:spacing w:val="-1"/>
          <w:sz w:val="28"/>
          <w:szCs w:val="28"/>
          <w:highlight w:val="none"/>
        </w:rPr>
        <w:t>成交供应商应</w:t>
      </w:r>
      <w:r>
        <w:rPr>
          <w:rFonts w:hint="eastAsia" w:ascii="仿宋" w:hAnsi="仿宋" w:eastAsia="仿宋" w:cs="仿宋"/>
          <w:color w:val="auto"/>
          <w:sz w:val="28"/>
          <w:szCs w:val="28"/>
          <w:highlight w:val="none"/>
        </w:rPr>
        <w:t>根据相关规定做好提供服务过程中的</w:t>
      </w:r>
      <w:r>
        <w:rPr>
          <w:rFonts w:hint="eastAsia" w:ascii="仿宋" w:hAnsi="仿宋" w:eastAsia="仿宋" w:cs="仿宋"/>
          <w:color w:val="auto"/>
          <w:spacing w:val="-1"/>
          <w:sz w:val="28"/>
          <w:szCs w:val="28"/>
          <w:highlight w:val="none"/>
        </w:rPr>
        <w:t>安全防护措施</w:t>
      </w:r>
      <w:r>
        <w:rPr>
          <w:rFonts w:hint="eastAsia" w:ascii="仿宋" w:hAnsi="仿宋" w:eastAsia="仿宋" w:cs="仿宋"/>
          <w:color w:val="auto"/>
          <w:sz w:val="28"/>
          <w:szCs w:val="28"/>
          <w:highlight w:val="none"/>
        </w:rPr>
        <w:t>，若在提供服务过程中发生安全事故，造成人员伤亡</w:t>
      </w:r>
      <w:r>
        <w:rPr>
          <w:rFonts w:hint="eastAsia" w:ascii="仿宋" w:hAnsi="仿宋" w:eastAsia="仿宋" w:cs="仿宋"/>
          <w:color w:val="auto"/>
          <w:spacing w:val="8"/>
          <w:sz w:val="28"/>
          <w:szCs w:val="28"/>
          <w:highlight w:val="none"/>
        </w:rPr>
        <w:t>及财产</w:t>
      </w:r>
      <w:r>
        <w:rPr>
          <w:rFonts w:hint="eastAsia" w:ascii="仿宋" w:hAnsi="仿宋" w:eastAsia="仿宋" w:cs="仿宋"/>
          <w:color w:val="auto"/>
          <w:spacing w:val="5"/>
          <w:sz w:val="28"/>
          <w:szCs w:val="28"/>
          <w:highlight w:val="none"/>
        </w:rPr>
        <w:t>损</w:t>
      </w:r>
      <w:r>
        <w:rPr>
          <w:rFonts w:hint="eastAsia" w:ascii="仿宋" w:hAnsi="仿宋" w:eastAsia="仿宋" w:cs="仿宋"/>
          <w:color w:val="auto"/>
          <w:spacing w:val="4"/>
          <w:sz w:val="28"/>
          <w:szCs w:val="28"/>
          <w:highlight w:val="none"/>
        </w:rPr>
        <w:t>失的，由成交供应商自行承担全部责任。</w:t>
      </w:r>
      <w:r>
        <w:rPr>
          <w:rFonts w:hint="eastAsia" w:ascii="仿宋" w:hAnsi="仿宋" w:eastAsia="仿宋" w:cs="仿宋"/>
          <w:b/>
          <w:bCs/>
          <w:color w:val="auto"/>
          <w:spacing w:val="4"/>
          <w:sz w:val="28"/>
          <w:szCs w:val="28"/>
          <w:highlight w:val="none"/>
        </w:rPr>
        <w:t>(提供承诺函并加盖</w:t>
      </w:r>
      <w:r>
        <w:rPr>
          <w:rFonts w:hint="eastAsia" w:ascii="仿宋" w:hAnsi="仿宋" w:eastAsia="仿宋" w:cs="仿宋"/>
          <w:b/>
          <w:bCs/>
          <w:color w:val="auto"/>
          <w:spacing w:val="-3"/>
          <w:sz w:val="28"/>
          <w:szCs w:val="28"/>
          <w:highlight w:val="none"/>
        </w:rPr>
        <w:t>供应商</w:t>
      </w:r>
      <w:r>
        <w:rPr>
          <w:rFonts w:hint="eastAsia" w:ascii="仿宋" w:hAnsi="仿宋" w:eastAsia="仿宋" w:cs="仿宋"/>
          <w:b/>
          <w:bCs/>
          <w:color w:val="auto"/>
          <w:spacing w:val="-2"/>
          <w:sz w:val="28"/>
          <w:szCs w:val="28"/>
          <w:highlight w:val="none"/>
        </w:rPr>
        <w:t>盖章，格式自拟。)</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textAlignment w:val="auto"/>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（七）验收标准和办法</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560" w:firstLineChars="200"/>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kern w:val="2"/>
          <w:sz w:val="28"/>
          <w:szCs w:val="28"/>
          <w:highlight w:val="none"/>
          <w:lang w:val="en-US" w:eastAsia="zh-CN" w:bidi="ar-SA"/>
        </w:rPr>
        <w:t>严格按照政府采购相关法律法规以及《财政部关于进一步加强政府采购需求和履约验收管理的指导意见》（财库〔2016〕205号）等相关规定、磋商文件的质量要求和服务功能及要求、成交供应商的响应文件及承诺以及合同约定标准等进行验收。</w:t>
      </w:r>
    </w:p>
    <w:p>
      <w:pPr>
        <w:pStyle w:val="3"/>
        <w:spacing w:line="360" w:lineRule="auto"/>
        <w:ind w:firstLine="0" w:firstLineChars="0"/>
        <w:jc w:val="left"/>
        <w:rPr>
          <w:rFonts w:hint="eastAsia" w:ascii="仿宋" w:hAnsi="仿宋" w:eastAsia="仿宋" w:cs="仿宋"/>
          <w:b/>
          <w:bCs/>
          <w:color w:val="auto"/>
          <w:sz w:val="24"/>
          <w:highlight w:val="none"/>
        </w:rPr>
      </w:pPr>
    </w:p>
    <w:p>
      <w:pPr>
        <w:pStyle w:val="3"/>
        <w:spacing w:line="360" w:lineRule="auto"/>
        <w:ind w:firstLine="0" w:firstLineChars="0"/>
        <w:jc w:val="left"/>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注：本章采购需求中标注“★”号的为本次采购项目的实质性要求，投标人应全部满足。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30721"/>
    <w:multiLevelType w:val="singleLevel"/>
    <w:tmpl w:val="8A130721"/>
    <w:lvl w:ilvl="0" w:tentative="0">
      <w:start w:val="1"/>
      <w:numFmt w:val="decimal"/>
      <w:lvlText w:val="%1."/>
      <w:lvlJc w:val="left"/>
      <w:pPr>
        <w:tabs>
          <w:tab w:val="left" w:pos="312"/>
        </w:tabs>
      </w:pPr>
    </w:lvl>
  </w:abstractNum>
  <w:abstractNum w:abstractNumId="1">
    <w:nsid w:val="AFFB984E"/>
    <w:multiLevelType w:val="singleLevel"/>
    <w:tmpl w:val="AFFB984E"/>
    <w:lvl w:ilvl="0" w:tentative="0">
      <w:start w:val="1"/>
      <w:numFmt w:val="decimal"/>
      <w:lvlText w:val="%1."/>
      <w:lvlJc w:val="left"/>
      <w:pPr>
        <w:tabs>
          <w:tab w:val="left" w:pos="312"/>
        </w:tabs>
      </w:pPr>
    </w:lvl>
  </w:abstractNum>
  <w:abstractNum w:abstractNumId="2">
    <w:nsid w:val="231B08AA"/>
    <w:multiLevelType w:val="singleLevel"/>
    <w:tmpl w:val="231B08AA"/>
    <w:lvl w:ilvl="0" w:tentative="0">
      <w:start w:val="1"/>
      <w:numFmt w:val="decimal"/>
      <w:lvlText w:val="%1."/>
      <w:lvlJc w:val="left"/>
      <w:pPr>
        <w:tabs>
          <w:tab w:val="left" w:pos="312"/>
        </w:tabs>
      </w:pPr>
    </w:lvl>
  </w:abstractNum>
  <w:abstractNum w:abstractNumId="3">
    <w:nsid w:val="4D532C85"/>
    <w:multiLevelType w:val="singleLevel"/>
    <w:tmpl w:val="4D532C85"/>
    <w:lvl w:ilvl="0" w:tentative="0">
      <w:start w:val="1"/>
      <w:numFmt w:val="decimal"/>
      <w:lvlText w:val="%1."/>
      <w:lvlJc w:val="left"/>
      <w:pPr>
        <w:tabs>
          <w:tab w:val="left" w:pos="312"/>
        </w:tabs>
      </w:pPr>
    </w:lvl>
  </w:abstractNum>
  <w:abstractNum w:abstractNumId="4">
    <w:nsid w:val="6038C7A2"/>
    <w:multiLevelType w:val="singleLevel"/>
    <w:tmpl w:val="6038C7A2"/>
    <w:lvl w:ilvl="0" w:tentative="0">
      <w:start w:val="1"/>
      <w:numFmt w:val="decimal"/>
      <w:lvlText w:val="%1."/>
      <w:lvlJc w:val="left"/>
      <w:pPr>
        <w:tabs>
          <w:tab w:val="left" w:pos="312"/>
        </w:tabs>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N2RkMjkyYjg0YTA5OGMzYjRmY2M3OWQxODAyYTkifQ=="/>
  </w:docVars>
  <w:rsids>
    <w:rsidRoot w:val="062557B1"/>
    <w:rsid w:val="062557B1"/>
    <w:rsid w:val="1F3C63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tabs>
        <w:tab w:val="left" w:pos="709"/>
      </w:tabs>
      <w:spacing w:line="360" w:lineRule="auto"/>
      <w:outlineLvl w:val="2"/>
    </w:pPr>
    <w:rPr>
      <w:b/>
      <w:bCs/>
      <w:color w:val="000000"/>
      <w:sz w:val="28"/>
      <w:szCs w:val="28"/>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rPr>
  </w:style>
  <w:style w:type="paragraph" w:styleId="4">
    <w:name w:val="Body Text"/>
    <w:basedOn w:val="1"/>
    <w:next w:val="1"/>
    <w:qFormat/>
    <w:uiPriority w:val="0"/>
    <w:pPr>
      <w:spacing w:after="120"/>
    </w:pPr>
    <w:rPr>
      <w:rFonts w:ascii="Calibri" w:hAnsi="Calibri"/>
    </w:rPr>
  </w:style>
  <w:style w:type="paragraph" w:styleId="5">
    <w:name w:val="Body Text First Indent"/>
    <w:basedOn w:val="4"/>
    <w:qFormat/>
    <w:uiPriority w:val="0"/>
    <w:pPr>
      <w:ind w:firstLine="420" w:firstLineChars="100"/>
    </w:pPr>
    <w:rPr>
      <w:sz w:val="18"/>
      <w:szCs w:val="18"/>
    </w:rPr>
  </w:style>
  <w:style w:type="table" w:styleId="7">
    <w:name w:val="Table Grid"/>
    <w:basedOn w:val="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2024-04-26T07:05:00Z</dcterms:created>
  <dc:creator>A久居深海蓝透人伈</dc:creator>
  <cp:lastModifiedBy>A久居深海蓝透人伈</cp:lastModifiedBy>
  <dcterms:modified xsi:type="dcterms:W3CDTF">2024-04-26T07:07:42Z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06B9C620472943BDA650742ED50DFAA7_11</vt:lpwstr>
  </property>
</Properties>
</file>