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kern w:val="1"/>
          <w:sz w:val="32"/>
          <w:szCs w:val="32"/>
        </w:rPr>
        <w:t>采购需求及其技术、服务及其他要求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一、项目概述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1、项目名称：智能环保吸烟室。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color w:val="auto"/>
          <w:sz w:val="24"/>
          <w:highlight w:val="none"/>
          <w:lang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本项目预算金额为：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46万元，最高限价为43万元，费用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包括产品成本、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/>
        </w:rPr>
        <w:t>人工费、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管理费、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利润、风险、税金等直至项目验收所需的一切费用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，超过最高限价的报价视为无效报价。</w:t>
      </w:r>
    </w:p>
    <w:p>
      <w:pPr>
        <w:tabs>
          <w:tab w:val="left" w:pos="2885"/>
        </w:tabs>
        <w:rPr>
          <w:rFonts w:hint="eastAsia" w:ascii="宋体" w:hAnsi="宋体" w:eastAsia="宋体" w:cs="Times New Roman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二、采购清单</w:t>
      </w:r>
      <w:r>
        <w:rPr>
          <w:rFonts w:hint="eastAsia" w:ascii="宋体" w:hAnsi="宋体" w:cs="Times New Roman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ab/>
      </w:r>
    </w:p>
    <w:p/>
    <w:tbl>
      <w:tblPr>
        <w:tblStyle w:val="13"/>
        <w:tblW w:w="8876" w:type="dxa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283"/>
        <w:gridCol w:w="1240"/>
        <w:gridCol w:w="167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2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标的名称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单位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数量</w:t>
            </w:r>
          </w:p>
        </w:tc>
        <w:tc>
          <w:tcPr>
            <w:tcW w:w="1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是否属于核心产品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2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吸烟室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个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2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室内烟雾净化主机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台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2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防泄漏智能灭烟烟头收集器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个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2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智能点烟器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台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2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不锈钢3联排座椅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张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2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3公斤装干粉灭火器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箱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rPr>
          <w:rFonts w:hint="eastAsia" w:ascii="宋体" w:hAnsi="宋体" w:eastAsia="宋体" w:cs="Times New Roman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三、技术参数及要求</w:t>
      </w:r>
    </w:p>
    <w:p/>
    <w:tbl>
      <w:tblPr>
        <w:tblStyle w:val="13"/>
        <w:tblW w:w="9157" w:type="dxa"/>
        <w:tblInd w:w="-505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915"/>
        <w:gridCol w:w="5820"/>
        <w:gridCol w:w="930"/>
        <w:gridCol w:w="79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98" w:type="dxa"/>
            <w:noWrap w:val="0"/>
            <w:vAlign w:val="center"/>
          </w:tcPr>
          <w:p>
            <w:pPr>
              <w:pStyle w:val="1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1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标的名称</w:t>
            </w:r>
          </w:p>
        </w:tc>
        <w:tc>
          <w:tcPr>
            <w:tcW w:w="5820" w:type="dxa"/>
            <w:noWrap w:val="0"/>
            <w:vAlign w:val="center"/>
          </w:tcPr>
          <w:p>
            <w:pPr>
              <w:pStyle w:val="1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技术参数及要求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Style w:val="1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pStyle w:val="1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698" w:type="dxa"/>
            <w:noWrap w:val="0"/>
            <w:vAlign w:val="center"/>
          </w:tcPr>
          <w:p>
            <w:pPr>
              <w:pStyle w:val="1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吸烟室</w:t>
            </w:r>
          </w:p>
        </w:tc>
        <w:tc>
          <w:tcPr>
            <w:tcW w:w="58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240" w:firstLineChars="100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规格：5000*2500*3100mm（±10mm）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主体框架：立柱采用≥1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50*150*3.0mm热镀锌矩管，横柱采用50*100*2.0mm热镀锌矩管，加固件采用≥50*50*2.0mm镀锌管。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240" w:firstLineChars="1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墙体钢化玻璃：正面厚度10mm；侧面为铝合金推拉窗，铝合金壁厚2.0mm，装配钢化玻璃厚度为6mm，吸烟室侧面两边底部装进风百叶，尺寸：2200*300mm。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Chars="0" w:firstLine="240" w:firstLineChars="1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油漆：主表面做氟碳环保油漆，颜色可定制，整体参考效果图。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Chars="0" w:firstLine="240" w:firstLineChars="1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顶部：架体采用≥40*80*2.5mm+20*20*2.0mm镀锌钢管制作，顶面安装树脂瓦，沥青防水卷材SBS及隔热材，集成吊顶，吊耳装饰件。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Chars="0"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6、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底部：整体离地面≥5mm，底部横梁架体采用≥80*150*2.5mm+40*80*2.5mm镀锌钢管制作，地板采用≥2mm厚花纹钢板制作，地板下面铺设18mm厚竹胶板做支撑。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门：双开推拉门，单扇门尺寸为≥2000*850mm，采用钢结构焊接+8mm厚钢化玻璃填装。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240" w:firstLineChars="1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内部配置：LED照明灯≥24W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240" w:firstLineChars="100"/>
              <w:textAlignment w:val="auto"/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开关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：1个；16a双控开关。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240" w:firstLineChars="100"/>
              <w:textAlignment w:val="auto"/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电源线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≥2.5平方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；单纯铜芯国标电线。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配电箱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：1个；防水塑料配电箱。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6" w:lineRule="atLeast"/>
              <w:ind w:left="0" w:right="0" w:firstLine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fill="000000" w:themeFill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12、漏电开关：1个；空气开关家用小型断路器3p空开，电闸总闸≥60a过载保护器。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1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fill="000000" w:themeFill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插座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：2个；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highlight w:val="none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3空插座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14、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室内标语：张贴相关文明吸烟宣传标语标贴。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1" w:firstLineChars="1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附：参考图片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1657985</wp:posOffset>
                  </wp:positionH>
                  <wp:positionV relativeFrom="paragraph">
                    <wp:posOffset>287655</wp:posOffset>
                  </wp:positionV>
                  <wp:extent cx="1723390" cy="1275080"/>
                  <wp:effectExtent l="0" t="0" r="10160" b="1270"/>
                  <wp:wrapTight wrapText="bothSides">
                    <wp:wrapPolygon>
                      <wp:start x="0" y="0"/>
                      <wp:lineTo x="0" y="21299"/>
                      <wp:lineTo x="21250" y="21299"/>
                      <wp:lineTo x="21250" y="0"/>
                      <wp:lineTo x="0" y="0"/>
                    </wp:wrapPolygon>
                  </wp:wrapTight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90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294640</wp:posOffset>
                  </wp:positionV>
                  <wp:extent cx="1337310" cy="1338580"/>
                  <wp:effectExtent l="0" t="0" r="0" b="13970"/>
                  <wp:wrapTight wrapText="bothSides">
                    <wp:wrapPolygon>
                      <wp:start x="0" y="0"/>
                      <wp:lineTo x="0" y="21211"/>
                      <wp:lineTo x="21231" y="21211"/>
                      <wp:lineTo x="21231" y="0"/>
                      <wp:lineTo x="0" y="0"/>
                    </wp:wrapPolygon>
                  </wp:wrapTight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133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2个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atLeast"/>
        </w:trPr>
        <w:tc>
          <w:tcPr>
            <w:tcW w:w="698" w:type="dxa"/>
            <w:noWrap w:val="0"/>
            <w:vAlign w:val="center"/>
          </w:tcPr>
          <w:p>
            <w:pPr>
              <w:pStyle w:val="1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室内烟雾净化主机</w:t>
            </w:r>
          </w:p>
        </w:tc>
        <w:tc>
          <w:tcPr>
            <w:tcW w:w="58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241" w:firstLineChars="100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规格：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≥1095*660*2120mm 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主体材质：氟碳环保铝合金型材+防火木板+304#不锈钢。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1" w:firstLineChars="1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主机主控制系统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主控制箱+人体红外线感应装置+烟雾系统感应装置。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1" w:firstLineChars="1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过滤系统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净化系统采用活性炭吸附原理进行过滤净化，标准配置5层强效过滤器深入净化（配置：①预过滤网；②定向活性炭过滤网；③定向活性炭过滤网；④医用HEPA过滤网；⑤定向活性炭过滤网）。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1" w:firstLineChars="1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风机风量≥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2000m³/h；电压：220V/50Hz；功率：待机≤50W，中速≤190W；室内噪音≤52dB（A）。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1" w:firstLineChars="100"/>
              <w:textAlignment w:val="auto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6、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可视化显示屏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显示屏配置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：具有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故障指示灯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6.3 具有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耗材更换提示指示灯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6.4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出风口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PM2.5净化指数显示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 进风口具有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PM2.5污染指数显示。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净化效率：PM0.1-1.0净化率≥99.2%；PM1.0-2.0净化率≥99.7%；PM2.5净化率≥98%；TVOC洁净空气量≥80m³/h；灭菌率≥99.9%（提供第三方具有资质的检测机构出具的检测报告复印件）。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1" w:firstLineChars="100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多媒体显示屏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显示屏尺寸≥21英寸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，分辨率至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1920*1080，带USB数据接口，支持jpg、bmp图片自动播放，支持mp4、AVI等主流多媒体顺畅播放，自带无线网链接。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附:参考图片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67310</wp:posOffset>
                  </wp:positionV>
                  <wp:extent cx="981710" cy="1165860"/>
                  <wp:effectExtent l="0" t="0" r="8890" b="15240"/>
                  <wp:wrapNone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5" w:hRule="atLeast"/>
        </w:trPr>
        <w:tc>
          <w:tcPr>
            <w:tcW w:w="698" w:type="dxa"/>
            <w:noWrap w:val="0"/>
            <w:vAlign w:val="center"/>
          </w:tcPr>
          <w:p>
            <w:pPr>
              <w:pStyle w:val="1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防泄漏智能灭烟烟头收集器</w:t>
            </w:r>
          </w:p>
        </w:tc>
        <w:tc>
          <w:tcPr>
            <w:tcW w:w="5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规格：≥420*270*1040mm，可连接到净化主机上。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烟灰缸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材质：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镀镍合金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2.1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烟灰缸台面规格≥330*380mm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2.2烟灰台内部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材质：≥6mm钢化玻璃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防火木质板材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6063氟碳环保铝合金。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烟灰缸外桶：≥1.5mm304#不锈钢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烟灰缸内桶：≥1.2mm304#不锈钢。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、底部加装椭圆脚蹬：≥500*420mm，≥2.0mm，304#不锈钢管。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、储存：烟蒂收集器可容纳≥3000根烟头。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1" w:firstLineChars="100"/>
              <w:jc w:val="both"/>
              <w:textAlignment w:val="auto"/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附：参考图片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46355</wp:posOffset>
                  </wp:positionV>
                  <wp:extent cx="890905" cy="1450975"/>
                  <wp:effectExtent l="0" t="0" r="4445" b="15875"/>
                  <wp:wrapTight wrapText="bothSides">
                    <wp:wrapPolygon>
                      <wp:start x="0" y="0"/>
                      <wp:lineTo x="0" y="21269"/>
                      <wp:lineTo x="21246" y="21269"/>
                      <wp:lineTo x="21246" y="0"/>
                      <wp:lineTo x="0" y="0"/>
                    </wp:wrapPolygon>
                  </wp:wrapTight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1" w:firstLineChars="100"/>
              <w:jc w:val="both"/>
              <w:textAlignment w:val="auto"/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1" w:firstLineChars="100"/>
              <w:jc w:val="both"/>
              <w:textAlignment w:val="auto"/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1" w:firstLineChars="100"/>
              <w:jc w:val="both"/>
              <w:textAlignment w:val="auto"/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1" w:firstLineChars="100"/>
              <w:jc w:val="both"/>
              <w:textAlignment w:val="auto"/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1" w:firstLineChars="100"/>
              <w:jc w:val="both"/>
              <w:textAlignment w:val="auto"/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1" w:firstLineChars="100"/>
              <w:jc w:val="both"/>
              <w:textAlignment w:val="auto"/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5个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40" w:firstLineChars="100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698" w:type="dxa"/>
            <w:noWrap w:val="0"/>
            <w:vAlign w:val="center"/>
          </w:tcPr>
          <w:p>
            <w:pPr>
              <w:pStyle w:val="1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智能点烟器</w:t>
            </w:r>
          </w:p>
        </w:tc>
        <w:tc>
          <w:tcPr>
            <w:tcW w:w="5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规格：≥220*100*50mm；可直接安装在净化主机上。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材质：全金属机身+亚克力装饰面板。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功率：≥20W，壁挂式安装。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使用寿命：点烟次数≥10万次。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1" w:firstLineChars="100"/>
              <w:jc w:val="both"/>
              <w:textAlignment w:val="auto"/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附：参考图片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43180</wp:posOffset>
                  </wp:positionV>
                  <wp:extent cx="1283335" cy="775970"/>
                  <wp:effectExtent l="0" t="0" r="12065" b="5080"/>
                  <wp:wrapTight wrapText="bothSides">
                    <wp:wrapPolygon>
                      <wp:start x="0" y="0"/>
                      <wp:lineTo x="0" y="21211"/>
                      <wp:lineTo x="21162" y="21211"/>
                      <wp:lineTo x="21162" y="0"/>
                      <wp:lineTo x="0" y="0"/>
                    </wp:wrapPolygon>
                  </wp:wrapTight>
                  <wp:docPr id="7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40" w:firstLineChars="100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698" w:type="dxa"/>
            <w:noWrap w:val="0"/>
            <w:vAlign w:val="center"/>
          </w:tcPr>
          <w:p>
            <w:pPr>
              <w:pStyle w:val="15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不锈钢3联排座椅</w:t>
            </w:r>
          </w:p>
        </w:tc>
        <w:tc>
          <w:tcPr>
            <w:tcW w:w="5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1.规格：1750*680*780mm（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（±10mm）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2.材质：厚度2mm不锈钢全封闭式打造。</w:t>
            </w: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333375</wp:posOffset>
                  </wp:positionV>
                  <wp:extent cx="1585595" cy="1220470"/>
                  <wp:effectExtent l="0" t="0" r="14605" b="1397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595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附：参考图片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40" w:firstLineChars="100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4张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40" w:firstLineChars="100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698" w:type="dxa"/>
            <w:noWrap w:val="0"/>
            <w:vAlign w:val="center"/>
          </w:tcPr>
          <w:p>
            <w:pPr>
              <w:pStyle w:val="15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3公斤装干粉灭火器</w:t>
            </w:r>
          </w:p>
        </w:tc>
        <w:tc>
          <w:tcPr>
            <w:tcW w:w="5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规格：3公斤装干粉灭火器带外箱。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附：参考图片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drawing>
                <wp:inline distT="0" distB="0" distL="114300" distR="114300">
                  <wp:extent cx="1778635" cy="1247775"/>
                  <wp:effectExtent l="0" t="0" r="4445" b="1905"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40" w:firstLineChars="100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4箱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40" w:firstLineChars="100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注：1、强制性环保节能产品：无 。</w:t>
      </w:r>
    </w:p>
    <w:p>
      <w:pPr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优先采购的环保节能产品：无。</w:t>
      </w:r>
    </w:p>
    <w:p>
      <w:pPr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四、商务要求</w:t>
      </w:r>
    </w:p>
    <w:p>
      <w:pPr>
        <w:pStyle w:val="2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Calibri" w:hAnsi="Calibri" w:eastAsia="宋体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kern w:val="2"/>
          <w:sz w:val="24"/>
          <w:szCs w:val="24"/>
          <w:lang w:val="en-US" w:eastAsia="zh-CN" w:bidi="ar-SA"/>
        </w:rPr>
        <w:t>供货时间及地点</w:t>
      </w:r>
    </w:p>
    <w:p>
      <w:pPr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1.1供货时间：</w:t>
      </w:r>
      <w:r>
        <w:rPr>
          <w:rFonts w:hint="eastAsia"/>
          <w:sz w:val="24"/>
          <w:szCs w:val="24"/>
          <w:lang w:val="en-US" w:eastAsia="zh-CN"/>
        </w:rPr>
        <w:t xml:space="preserve">合同签订后10日内完成建设。 </w:t>
      </w:r>
    </w:p>
    <w:p>
      <w:pPr>
        <w:pStyle w:val="2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1.2供货地点：</w:t>
      </w:r>
      <w:r>
        <w:rPr>
          <w:rFonts w:hint="eastAsia" w:ascii="宋体" w:hAnsi="宋体" w:eastAsia="宋体" w:cs="Times New Roman"/>
          <w:b w:val="0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川陕苏区王坪旅游景区游客中心洗手间旁、诺水河景区景家坝游客中心。</w:t>
      </w:r>
    </w:p>
    <w:p>
      <w:pPr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 w:cs="Times New Roman"/>
          <w:sz w:val="24"/>
          <w:szCs w:val="24"/>
          <w:lang w:val="en-US" w:eastAsia="zh-CN"/>
        </w:rPr>
      </w:pPr>
      <w:r>
        <w:rPr>
          <w:rFonts w:hint="eastAsia" w:eastAsia="宋体" w:cs="Times New Roman"/>
          <w:b/>
          <w:bCs/>
          <w:color w:val="auto"/>
          <w:sz w:val="24"/>
          <w:szCs w:val="24"/>
          <w:lang w:val="en-US" w:eastAsia="zh-CN"/>
        </w:rPr>
        <w:t>2、质保期</w:t>
      </w:r>
      <w:r>
        <w:rPr>
          <w:rFonts w:hint="eastAsia" w:cs="Times New Roman"/>
          <w:b/>
          <w:bCs/>
          <w:color w:val="auto"/>
          <w:sz w:val="24"/>
          <w:szCs w:val="24"/>
          <w:lang w:val="en-US" w:eastAsia="zh-CN"/>
        </w:rPr>
        <w:t>：</w:t>
      </w:r>
      <w:r>
        <w:rPr>
          <w:rFonts w:hint="eastAsia" w:eastAsia="宋体" w:cs="Times New Roman"/>
          <w:sz w:val="24"/>
          <w:szCs w:val="24"/>
          <w:lang w:val="en-US" w:eastAsia="zh-CN"/>
        </w:rPr>
        <w:t>产品质保期1年（自验收合格之日起）。</w:t>
      </w:r>
    </w:p>
    <w:p>
      <w:pPr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eastAsia="宋体" w:cs="Times New Roman"/>
          <w:b/>
          <w:bCs/>
          <w:sz w:val="24"/>
          <w:szCs w:val="24"/>
          <w:lang w:val="en-US" w:eastAsia="zh-CN"/>
        </w:rPr>
        <w:t>3、资金支付：</w:t>
      </w:r>
    </w:p>
    <w:p>
      <w:pPr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 w:cs="Times New Roman"/>
          <w:sz w:val="24"/>
          <w:szCs w:val="24"/>
          <w:lang w:val="en-US" w:eastAsia="zh-CN"/>
        </w:rPr>
      </w:pPr>
      <w:r>
        <w:rPr>
          <w:rFonts w:hint="eastAsia" w:eastAsia="宋体" w:cs="Times New Roman"/>
          <w:sz w:val="24"/>
          <w:szCs w:val="24"/>
          <w:lang w:val="en-US" w:eastAsia="zh-CN"/>
        </w:rPr>
        <w:t>3.1预付款支付比例：签订合同后</w:t>
      </w:r>
      <w:r>
        <w:rPr>
          <w:rFonts w:hint="eastAsia" w:cs="Times New Roman"/>
          <w:sz w:val="24"/>
          <w:szCs w:val="24"/>
          <w:lang w:val="en-US" w:eastAsia="zh-CN"/>
        </w:rPr>
        <w:t>10</w:t>
      </w:r>
      <w:r>
        <w:rPr>
          <w:rFonts w:hint="eastAsia" w:eastAsia="宋体" w:cs="Times New Roman"/>
          <w:sz w:val="24"/>
          <w:szCs w:val="24"/>
          <w:lang w:val="en-US" w:eastAsia="zh-CN"/>
        </w:rPr>
        <w:t>日内，支付合同总金额的</w:t>
      </w:r>
      <w:r>
        <w:rPr>
          <w:rFonts w:hint="eastAsia" w:cs="Times New Roman"/>
          <w:sz w:val="24"/>
          <w:szCs w:val="24"/>
          <w:lang w:val="en-US" w:eastAsia="zh-CN"/>
        </w:rPr>
        <w:t>3</w:t>
      </w:r>
      <w:r>
        <w:rPr>
          <w:rFonts w:hint="eastAsia" w:eastAsia="宋体" w:cs="Times New Roman"/>
          <w:sz w:val="24"/>
          <w:szCs w:val="24"/>
          <w:lang w:val="en-US" w:eastAsia="zh-CN"/>
        </w:rPr>
        <w:t>0%。</w:t>
      </w:r>
    </w:p>
    <w:p>
      <w:pPr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 w:cs="Times New Roman"/>
          <w:sz w:val="24"/>
          <w:szCs w:val="24"/>
          <w:lang w:val="en-US" w:eastAsia="zh-CN"/>
        </w:rPr>
      </w:pPr>
      <w:r>
        <w:rPr>
          <w:rFonts w:hint="eastAsia" w:eastAsia="宋体" w:cs="Times New Roman"/>
          <w:sz w:val="24"/>
          <w:szCs w:val="24"/>
          <w:lang w:val="en-US" w:eastAsia="zh-CN"/>
        </w:rPr>
        <w:t>3.2 剩余款项支付：项目验收合格后</w:t>
      </w:r>
      <w:r>
        <w:rPr>
          <w:rFonts w:hint="eastAsia" w:cs="Times New Roman"/>
          <w:sz w:val="24"/>
          <w:szCs w:val="24"/>
          <w:lang w:val="en-US" w:eastAsia="zh-CN"/>
        </w:rPr>
        <w:t>20</w:t>
      </w:r>
      <w:r>
        <w:rPr>
          <w:rFonts w:hint="eastAsia" w:eastAsia="宋体" w:cs="Times New Roman"/>
          <w:sz w:val="24"/>
          <w:szCs w:val="24"/>
          <w:lang w:val="en-US" w:eastAsia="zh-CN"/>
        </w:rPr>
        <w:t>日内</w:t>
      </w:r>
      <w:r>
        <w:rPr>
          <w:rFonts w:hint="eastAsia" w:cs="Times New Roman"/>
          <w:sz w:val="24"/>
          <w:szCs w:val="24"/>
          <w:lang w:val="en-US" w:eastAsia="zh-CN"/>
        </w:rPr>
        <w:t>支付合同总金额的67%</w:t>
      </w:r>
      <w:r>
        <w:rPr>
          <w:rFonts w:hint="eastAsia" w:eastAsia="宋体" w:cs="Times New Roman"/>
          <w:sz w:val="24"/>
          <w:szCs w:val="24"/>
          <w:lang w:val="en-US" w:eastAsia="zh-CN"/>
        </w:rPr>
        <w:t>，</w:t>
      </w:r>
      <w:r>
        <w:rPr>
          <w:rFonts w:hint="eastAsia" w:cs="Times New Roman"/>
          <w:sz w:val="24"/>
          <w:szCs w:val="24"/>
          <w:lang w:val="en-US" w:eastAsia="zh-CN"/>
        </w:rPr>
        <w:t>剩余3%作为质量保证金，质保期满后20日内</w:t>
      </w:r>
      <w:r>
        <w:rPr>
          <w:rFonts w:hint="eastAsia" w:eastAsia="宋体" w:cs="Times New Roman"/>
          <w:sz w:val="24"/>
          <w:szCs w:val="24"/>
          <w:lang w:val="en-US" w:eastAsia="zh-CN"/>
        </w:rPr>
        <w:t>完成支付。</w:t>
      </w:r>
    </w:p>
    <w:p>
      <w:pPr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 w:cs="Times New Roman"/>
          <w:sz w:val="24"/>
          <w:szCs w:val="24"/>
          <w:lang w:val="en-US" w:eastAsia="zh-CN"/>
        </w:rPr>
      </w:pPr>
      <w:r>
        <w:rPr>
          <w:rFonts w:hint="eastAsia" w:eastAsia="宋体" w:cs="Times New Roman"/>
          <w:b/>
          <w:bCs/>
          <w:sz w:val="24"/>
          <w:szCs w:val="24"/>
          <w:lang w:val="en-US" w:eastAsia="zh-CN"/>
        </w:rPr>
        <w:t>4、验收标准：</w:t>
      </w:r>
      <w:r>
        <w:rPr>
          <w:rFonts w:hint="eastAsia" w:eastAsia="宋体" w:cs="Times New Roman"/>
          <w:sz w:val="24"/>
          <w:szCs w:val="24"/>
          <w:lang w:val="en-US" w:eastAsia="zh-CN"/>
        </w:rPr>
        <w:t xml:space="preserve">本项目成交供应商与采购人应严格按照《财政部关于进一步加强政府采购需求和履约验收管理的指导意见》（财库〔2016〕205 号）、《政府采购需求管理办法》（财库〔2021〕22号）的要求进行验收。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36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92FBDE"/>
    <w:multiLevelType w:val="singleLevel"/>
    <w:tmpl w:val="D792FBD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53C68FC"/>
    <w:multiLevelType w:val="singleLevel"/>
    <w:tmpl w:val="E53C68FC"/>
    <w:lvl w:ilvl="0" w:tentative="0">
      <w:start w:val="2"/>
      <w:numFmt w:val="decimal"/>
      <w:suff w:val="nothing"/>
      <w:lvlText w:val="%1、"/>
      <w:lvlJc w:val="left"/>
      <w:pPr>
        <w:ind w:left="480" w:leftChars="0" w:firstLine="0" w:firstLineChars="0"/>
      </w:pPr>
    </w:lvl>
  </w:abstractNum>
  <w:abstractNum w:abstractNumId="2">
    <w:nsid w:val="E7B6E4A2"/>
    <w:multiLevelType w:val="singleLevel"/>
    <w:tmpl w:val="E7B6E4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EC7CAFA"/>
    <w:multiLevelType w:val="singleLevel"/>
    <w:tmpl w:val="EEC7CAFA"/>
    <w:lvl w:ilvl="0" w:tentative="0">
      <w:start w:val="4"/>
      <w:numFmt w:val="decimal"/>
      <w:suff w:val="nothing"/>
      <w:lvlText w:val="%1、"/>
      <w:lvlJc w:val="left"/>
    </w:lvl>
  </w:abstractNum>
  <w:abstractNum w:abstractNumId="4">
    <w:nsid w:val="FBFF7060"/>
    <w:multiLevelType w:val="singleLevel"/>
    <w:tmpl w:val="FBFF7060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lZjdmMDBjZmE2MzY3MWQyODc5YTcyNTYyZWE4MzEifQ=="/>
  </w:docVars>
  <w:rsids>
    <w:rsidRoot w:val="62190332"/>
    <w:rsid w:val="01AA3877"/>
    <w:rsid w:val="03483348"/>
    <w:rsid w:val="03892A60"/>
    <w:rsid w:val="04DA0918"/>
    <w:rsid w:val="04F87DAB"/>
    <w:rsid w:val="059530F5"/>
    <w:rsid w:val="059D0A73"/>
    <w:rsid w:val="05AF3B52"/>
    <w:rsid w:val="084E7652"/>
    <w:rsid w:val="08850E63"/>
    <w:rsid w:val="094B1DE4"/>
    <w:rsid w:val="09C90E4E"/>
    <w:rsid w:val="0A411C06"/>
    <w:rsid w:val="0A522CFE"/>
    <w:rsid w:val="0AD6392F"/>
    <w:rsid w:val="0AFC15E8"/>
    <w:rsid w:val="0B5D436F"/>
    <w:rsid w:val="0CB21420"/>
    <w:rsid w:val="0DF53D11"/>
    <w:rsid w:val="0E4833FA"/>
    <w:rsid w:val="12627D38"/>
    <w:rsid w:val="14212F98"/>
    <w:rsid w:val="14432035"/>
    <w:rsid w:val="149C5BFD"/>
    <w:rsid w:val="15842905"/>
    <w:rsid w:val="16E601DE"/>
    <w:rsid w:val="172A3039"/>
    <w:rsid w:val="18A44595"/>
    <w:rsid w:val="1B835BFD"/>
    <w:rsid w:val="1CB65571"/>
    <w:rsid w:val="1E2E7261"/>
    <w:rsid w:val="1EB10B32"/>
    <w:rsid w:val="211633F4"/>
    <w:rsid w:val="21247AE2"/>
    <w:rsid w:val="226B2757"/>
    <w:rsid w:val="25873D4C"/>
    <w:rsid w:val="277F0CF8"/>
    <w:rsid w:val="27887AA5"/>
    <w:rsid w:val="281A2C55"/>
    <w:rsid w:val="29064B7C"/>
    <w:rsid w:val="293D309F"/>
    <w:rsid w:val="29B947D1"/>
    <w:rsid w:val="29C76268"/>
    <w:rsid w:val="2E2E2FB7"/>
    <w:rsid w:val="2E530C6F"/>
    <w:rsid w:val="31914E28"/>
    <w:rsid w:val="34311A53"/>
    <w:rsid w:val="36B978C7"/>
    <w:rsid w:val="384F06F9"/>
    <w:rsid w:val="38C27DC4"/>
    <w:rsid w:val="39047736"/>
    <w:rsid w:val="396957EB"/>
    <w:rsid w:val="3BA052F3"/>
    <w:rsid w:val="3BBD4309"/>
    <w:rsid w:val="3CA53647"/>
    <w:rsid w:val="3D0E6FC7"/>
    <w:rsid w:val="3E7650F2"/>
    <w:rsid w:val="3F804207"/>
    <w:rsid w:val="3F9B2DCE"/>
    <w:rsid w:val="40210BCD"/>
    <w:rsid w:val="41BD66D4"/>
    <w:rsid w:val="45321187"/>
    <w:rsid w:val="48673685"/>
    <w:rsid w:val="4A1672C9"/>
    <w:rsid w:val="4AB73F12"/>
    <w:rsid w:val="4CF27F48"/>
    <w:rsid w:val="4DD728CB"/>
    <w:rsid w:val="4E7561CB"/>
    <w:rsid w:val="519022EC"/>
    <w:rsid w:val="51EF5BB9"/>
    <w:rsid w:val="542A622B"/>
    <w:rsid w:val="594554D5"/>
    <w:rsid w:val="59B3123E"/>
    <w:rsid w:val="5BA131F1"/>
    <w:rsid w:val="5CA90C2C"/>
    <w:rsid w:val="5CE172C2"/>
    <w:rsid w:val="5CF36FF6"/>
    <w:rsid w:val="5CF50FC0"/>
    <w:rsid w:val="5D3F048D"/>
    <w:rsid w:val="5E055233"/>
    <w:rsid w:val="5F526256"/>
    <w:rsid w:val="60E70C20"/>
    <w:rsid w:val="611C3D78"/>
    <w:rsid w:val="62190332"/>
    <w:rsid w:val="646627A3"/>
    <w:rsid w:val="64740A1C"/>
    <w:rsid w:val="64746E0D"/>
    <w:rsid w:val="64DC6A76"/>
    <w:rsid w:val="66BB049A"/>
    <w:rsid w:val="67FB48BC"/>
    <w:rsid w:val="68425346"/>
    <w:rsid w:val="6B985938"/>
    <w:rsid w:val="6C110F9C"/>
    <w:rsid w:val="6E0A7A0A"/>
    <w:rsid w:val="6EAB5982"/>
    <w:rsid w:val="6EBD1212"/>
    <w:rsid w:val="74242E44"/>
    <w:rsid w:val="79B871A5"/>
    <w:rsid w:val="7BDC361F"/>
    <w:rsid w:val="7C4A67DB"/>
    <w:rsid w:val="7D2439C3"/>
    <w:rsid w:val="7D255FB3"/>
    <w:rsid w:val="7D937D0D"/>
    <w:rsid w:val="7E0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qFormat="1"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18"/>
    </w:rPr>
  </w:style>
  <w:style w:type="paragraph" w:styleId="3">
    <w:name w:val="heading 2"/>
    <w:basedOn w:val="2"/>
    <w:next w:val="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hAnsi="Tahoma" w:eastAsia="微软雅黑"/>
      <w:b/>
      <w:bCs/>
      <w:kern w:val="0"/>
      <w:sz w:val="32"/>
      <w:szCs w:val="32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</w:style>
  <w:style w:type="paragraph" w:styleId="6">
    <w:name w:val="Body Text"/>
    <w:basedOn w:val="1"/>
    <w:next w:val="7"/>
    <w:qFormat/>
    <w:uiPriority w:val="0"/>
    <w:pPr>
      <w:spacing w:after="120"/>
    </w:pPr>
  </w:style>
  <w:style w:type="paragraph" w:styleId="7">
    <w:name w:val="toc 2"/>
    <w:basedOn w:val="1"/>
    <w:next w:val="1"/>
    <w:qFormat/>
    <w:uiPriority w:val="39"/>
    <w:pPr>
      <w:ind w:left="420" w:leftChars="200"/>
    </w:pPr>
  </w:style>
  <w:style w:type="paragraph" w:styleId="8">
    <w:name w:val="Body Text Indent"/>
    <w:basedOn w:val="1"/>
    <w:next w:val="9"/>
    <w:qFormat/>
    <w:uiPriority w:val="0"/>
    <w:pPr>
      <w:spacing w:line="360" w:lineRule="auto"/>
      <w:ind w:firstLine="480" w:firstLineChars="200"/>
    </w:pPr>
    <w:rPr>
      <w:rFonts w:ascii="宋体"/>
      <w:sz w:val="24"/>
      <w:szCs w:val="20"/>
    </w:rPr>
  </w:style>
  <w:style w:type="paragraph" w:styleId="9">
    <w:name w:val="Body Text First Indent 2"/>
    <w:basedOn w:val="8"/>
    <w:next w:val="10"/>
    <w:qFormat/>
    <w:uiPriority w:val="0"/>
    <w:pPr>
      <w:spacing w:line="560" w:lineRule="atLeast"/>
      <w:ind w:firstLine="420"/>
    </w:pPr>
    <w:rPr>
      <w:rFonts w:hAnsi="Calibri"/>
      <w:sz w:val="30"/>
    </w:rPr>
  </w:style>
  <w:style w:type="paragraph" w:styleId="10">
    <w:name w:val="Body Text First Indent"/>
    <w:basedOn w:val="6"/>
    <w:next w:val="1"/>
    <w:qFormat/>
    <w:uiPriority w:val="0"/>
    <w:pPr>
      <w:ind w:firstLine="420" w:firstLineChars="100"/>
    </w:p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 w:cs="Times New Roman"/>
      <w:b/>
      <w:bCs/>
      <w:kern w:val="28"/>
      <w:sz w:val="32"/>
      <w:szCs w:val="32"/>
    </w:rPr>
  </w:style>
  <w:style w:type="paragraph" w:customStyle="1" w:styleId="15">
    <w:name w:val="null3"/>
    <w:qFormat/>
    <w:uiPriority w:val="0"/>
    <w:rPr>
      <w:rFonts w:hint="eastAsia" w:ascii="Calibri" w:hAnsi="Calibri" w:eastAsia="宋体" w:cs="Times New Roman"/>
      <w:lang w:val="en-US" w:eastAsia="zh-Hans"/>
    </w:rPr>
  </w:style>
  <w:style w:type="character" w:customStyle="1" w:styleId="16">
    <w:name w:val="font01"/>
    <w:basedOn w:val="14"/>
    <w:qFormat/>
    <w:uiPriority w:val="0"/>
    <w:rPr>
      <w:rFonts w:hint="default" w:ascii="微软雅黑 Light" w:hAnsi="微软雅黑 Light" w:eastAsia="微软雅黑 Light" w:cs="微软雅黑 Light"/>
      <w:b/>
      <w:bCs/>
      <w:color w:val="000000"/>
      <w:sz w:val="20"/>
      <w:szCs w:val="20"/>
      <w:u w:val="none"/>
    </w:rPr>
  </w:style>
  <w:style w:type="paragraph" w:customStyle="1" w:styleId="17">
    <w:name w:val="U_正文"/>
    <w:basedOn w:val="1"/>
    <w:qFormat/>
    <w:uiPriority w:val="0"/>
    <w:pPr>
      <w:spacing w:before="20" w:beforeLines="20" w:after="20" w:afterLines="20" w:line="300" w:lineRule="auto"/>
      <w:ind w:firstLine="200" w:firstLineChars="200"/>
    </w:pPr>
    <w:rPr>
      <w:sz w:val="24"/>
      <w:szCs w:val="20"/>
    </w:rPr>
  </w:style>
  <w:style w:type="paragraph" w:customStyle="1" w:styleId="18">
    <w:name w:val="U_正文2"/>
    <w:basedOn w:val="1"/>
    <w:qFormat/>
    <w:uiPriority w:val="99"/>
    <w:pPr>
      <w:spacing w:before="10" w:beforeLines="10" w:after="10" w:afterLines="10" w:line="300" w:lineRule="auto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2023-11-27T01:27:00Z</dcterms:created>
  <dc:creator> </dc:creator>
  <cp:lastModifiedBy> </cp:lastModifiedBy>
  <cp:lastPrinted>2023-11-29T03:29:00Z</cp:lastPrinted>
  <dcterms:modified xsi:type="dcterms:W3CDTF">2024-01-02T03:06:49Z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89FCA7C82E2F47E78F6CE1180FEFB59B_13</vt:lpwstr>
  </property>
</Properties>
</file>