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招标项目技术、服务、商务及其他要求</w:t>
      </w:r>
    </w:p>
    <w:p>
      <w:pPr>
        <w:pStyle w:val="4"/>
        <w:ind w:firstLine="480"/>
      </w:pPr>
      <w:r>
        <w:t xml:space="preserve"> 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ind w:firstLine="480"/>
      </w:pPr>
      <w:r>
        <w:t xml:space="preserve"> 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项目建设规模及主要内容：项目策划与概念规划范围为资阳市城东新区沱江约13千米岸线区域，面积约269.69公顷，主要内容为以水上运动为主的赛事训练、大众体育、休闲游乐与相关的配套产业开发。 主要功能或目标：分析项目区位背景，挖掘区域价值，研究项目可能性，可作为立项审批的建议文件，对拟建项目提出框架性的总体设想与概念性规划设计，并形成概略的经济测算与招商引资建议。</w:t>
      </w:r>
    </w:p>
    <w:p>
      <w:pPr>
        <w:pStyle w:val="4"/>
        <w:outlineLvl w:val="2"/>
      </w:pPr>
      <w:r>
        <w:rPr>
          <w:b/>
          <w:sz w:val="28"/>
        </w:rPr>
        <w:t>3.2服务内容及服务要求</w:t>
      </w:r>
    </w:p>
    <w:p>
      <w:pPr>
        <w:pStyle w:val="4"/>
        <w:outlineLvl w:val="3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800,000.00</w:t>
      </w:r>
    </w:p>
    <w:p>
      <w:pPr>
        <w:pStyle w:val="4"/>
      </w:pPr>
      <w:r>
        <w:t>采购包最高限价（元）: 800,000.00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资阳市雁江区沱江水上运动规划采购项目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800,000.00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个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标的名称：资阳市雁江区沱江水上运动规划采购项目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1、分析项目区位背景，挖掘区域价值，研究项目可能性，可作为立项审批的建议文件，对拟建项目提出框架性的总体设想与概念性规划设计，并形成概略的经济测算与招商引资建议。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2、完成项目策划建议和项目初步概念规划成果，包括但不限于：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1）项目理解，包括①项目现状、②项目重要性等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2）项目分析，包括①选址分析、②初步平面布局的建议等。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3）项目策划定位，包括：①总体定位、②功能板块定位、③产业内容策划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4）概念性规划，包括：①项目总平面图、②重要节点位置的效果图、③重点地块的指标与形态建议、④整体经济技术指标、⑤项目范围内留改拆建情况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5）项目运营建议，包括：①项目初步经济测算、②项目分期实施方案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6）项目招商引资辅助资料，包括：①项目机会清单整理、②招商引资项目包整理</w:t>
            </w:r>
          </w:p>
          <w:p>
            <w:pPr>
              <w:pStyle w:val="4"/>
              <w:ind w:firstLine="480"/>
              <w:jc w:val="left"/>
            </w:pPr>
            <w:r>
              <w:rPr>
                <w:rFonts w:ascii="宋体" w:hAnsi="宋体" w:eastAsia="宋体" w:cs="宋体"/>
                <w:sz w:val="16"/>
              </w:rPr>
              <w:t>7）根据规划设计内容和效果图植入的彩色动画招商视频。</w:t>
            </w:r>
          </w:p>
          <w:p>
            <w:pPr>
              <w:pStyle w:val="4"/>
              <w:ind w:firstLine="480"/>
              <w:jc w:val="left"/>
            </w:pPr>
            <w:r>
              <w:rPr>
                <w:sz w:val="16"/>
              </w:rPr>
              <w:t>注：投标人提供《</w:t>
            </w:r>
            <w:r>
              <w:rPr>
                <w:rFonts w:ascii="仿宋" w:hAnsi="仿宋" w:eastAsia="仿宋" w:cs="仿宋"/>
                <w:b/>
                <w:sz w:val="16"/>
              </w:rPr>
              <w:t>技术参数应答表</w:t>
            </w:r>
            <w:r>
              <w:rPr>
                <w:sz w:val="16"/>
              </w:rPr>
              <w:t>》，表格内容满足以上技术要求。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投标人按照本项目服务时间要求自行配备相应服务人员。</w:t>
      </w:r>
    </w:p>
    <w:p>
      <w:pPr>
        <w:pStyle w:val="4"/>
        <w:outlineLvl w:val="3"/>
      </w:pPr>
      <w:r>
        <w:rPr>
          <w:b/>
          <w:sz w:val="24"/>
        </w:rPr>
        <w:t>3.2.4设施设备配置要求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投标人按照本项目服务时间要求自行配备相应设施设备。</w:t>
      </w:r>
    </w:p>
    <w:p>
      <w:pPr>
        <w:pStyle w:val="4"/>
        <w:outlineLvl w:val="3"/>
      </w:pPr>
      <w:r>
        <w:rPr>
          <w:b/>
          <w:sz w:val="24"/>
        </w:rPr>
        <w:t>3.2.5其他要求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</w:t>
      </w:r>
    </w:p>
    <w:p>
      <w:pPr>
        <w:pStyle w:val="4"/>
        <w:outlineLvl w:val="2"/>
      </w:pPr>
      <w:r>
        <w:rPr>
          <w:b/>
          <w:sz w:val="28"/>
        </w:rPr>
        <w:t>3.3商务要求</w:t>
      </w:r>
    </w:p>
    <w:p>
      <w:pPr>
        <w:pStyle w:val="4"/>
        <w:outlineLvl w:val="3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自合同签订之日起30日</w:t>
      </w:r>
    </w:p>
    <w:p>
      <w:pPr>
        <w:pStyle w:val="4"/>
        <w:outlineLvl w:val="3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雁江</w:t>
      </w:r>
    </w:p>
    <w:p>
      <w:pPr>
        <w:pStyle w:val="4"/>
        <w:outlineLvl w:val="3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根据《财政部关于进一步加强政府采购需求和履约验收管理的指导意见》（财库〔2016〕205号）的规定，结合本项目招标文件、投标文件及采购合同的要求进行验收。采购人组织验收人员组成验收小组，中标供应商予以配合，所有技术（服务）要求应满足本项目招标文件、投标文件及采购合同的要求。</w:t>
      </w:r>
    </w:p>
    <w:p>
      <w:pPr>
        <w:pStyle w:val="4"/>
        <w:outlineLvl w:val="3"/>
      </w:pPr>
      <w:r>
        <w:rPr>
          <w:b/>
          <w:sz w:val="24"/>
        </w:rPr>
        <w:t>3.3.4支付方式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3.3.5.支付约定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合同签订后 ，达到付款条件起 7 日内，支付合同总金额的 50.00%。</w:t>
      </w:r>
    </w:p>
    <w:p>
      <w:pPr>
        <w:pStyle w:val="4"/>
      </w:pPr>
      <w:r>
        <w:t>采购包1： 付款条件说明： 设计结果获得采购人认可后 ，达到付款条件起 7 日内，支付合同总金额的 50.00%。</w:t>
      </w:r>
    </w:p>
    <w:p>
      <w:pPr>
        <w:pStyle w:val="4"/>
        <w:outlineLvl w:val="3"/>
      </w:pPr>
      <w:r>
        <w:rPr>
          <w:b/>
          <w:sz w:val="24"/>
        </w:rPr>
        <w:t>3.3.6违约责任与解决争议的方法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采购人及中标供应商在履行过程中如果发生争议和纠纷，双方应当尽量协商解决。协商不成时，任何一方均可以向采购人所在地人民法院提起诉讼。</w:t>
      </w:r>
    </w:p>
    <w:p>
      <w:pPr>
        <w:pStyle w:val="4"/>
        <w:jc w:val="left"/>
        <w:outlineLvl w:val="2"/>
      </w:pPr>
      <w:r>
        <w:rPr>
          <w:b/>
          <w:sz w:val="28"/>
        </w:rPr>
        <w:t>3.4其他要求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jVlYjBhZTY1MzEzMGU3YWJkOGU5OGZmYTIyZmIifQ=="/>
  </w:docVars>
  <w:rsids>
    <w:rsidRoot w:val="49D378C1"/>
    <w:rsid w:val="49D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2024-01-30T03:27:00Z</dcterms:created>
  <dc:creator>XX</dc:creator>
  <cp:lastModifiedBy>XX</cp:lastModifiedBy>
  <dcterms:modified xsi:type="dcterms:W3CDTF">2024-01-30T03:28:57Z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7B93D77A023E4E17971D495AC12F4528_11</vt:lpwstr>
  </property>
</Properties>
</file>