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pPr>
      <w:r>
        <w:t>为满足我院工作需要，拟采购一家供应商为我院提供医疗废物处置服务, 服务期限两年。</w:t>
      </w:r>
    </w:p>
    <w:p>
      <w:pPr>
        <w:pStyle w:val="4"/>
        <w:outlineLvl w:val="2"/>
      </w:pPr>
      <w:r>
        <w:rPr>
          <w:b/>
          <w:sz w:val="28"/>
        </w:rPr>
        <w:t>3.2、服务内容及服务要求</w:t>
      </w:r>
    </w:p>
    <w:p>
      <w:pPr>
        <w:pStyle w:val="4"/>
        <w:outlineLvl w:val="3"/>
      </w:pPr>
      <w:r>
        <w:rPr>
          <w:b/>
          <w:sz w:val="24"/>
        </w:rPr>
        <w:t>3.2.1服务内容</w:t>
      </w:r>
    </w:p>
    <w:p>
      <w:pPr>
        <w:pStyle w:val="4"/>
      </w:pPr>
      <w:r>
        <w:t>采购包1：</w:t>
      </w:r>
    </w:p>
    <w:p>
      <w:pPr>
        <w:pStyle w:val="4"/>
      </w:pPr>
      <w:r>
        <w:t>采购包预算金额（元）: 1,224,867.00</w:t>
      </w:r>
    </w:p>
    <w:p>
      <w:pPr>
        <w:pStyle w:val="4"/>
      </w:pPr>
      <w:r>
        <w:t>采购包最高限价（元）: 1,224,867.00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2024-2026年医疗废物处置服务</w:t>
            </w:r>
          </w:p>
        </w:tc>
        <w:tc>
          <w:tcPr>
            <w:tcW w:w="848" w:type="dxa"/>
          </w:tcPr>
          <w:p>
            <w:pPr>
              <w:pStyle w:val="4"/>
              <w:jc w:val="right"/>
            </w:pPr>
            <w:r>
              <w:t>2.00</w:t>
            </w:r>
          </w:p>
        </w:tc>
        <w:tc>
          <w:tcPr>
            <w:tcW w:w="1356" w:type="dxa"/>
          </w:tcPr>
          <w:p>
            <w:pPr>
              <w:pStyle w:val="4"/>
              <w:jc w:val="right"/>
            </w:pPr>
            <w:r>
              <w:t>1,224,867.00</w:t>
            </w:r>
          </w:p>
        </w:tc>
        <w:tc>
          <w:tcPr>
            <w:tcW w:w="678" w:type="dxa"/>
          </w:tcPr>
          <w:p>
            <w:pPr>
              <w:pStyle w:val="4"/>
            </w:pPr>
            <w:r>
              <w:t>年</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r>
        <w:t>采购包1：</w:t>
      </w:r>
    </w:p>
    <w:p>
      <w:pPr>
        <w:pStyle w:val="4"/>
      </w:pPr>
      <w:r>
        <w:t>标的名称：2024-2026年医疗废物处置服务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19"/>
        <w:gridCol w:w="870"/>
        <w:gridCol w:w="65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9" w:type="dxa"/>
          </w:tcPr>
          <w:p>
            <w:pPr>
              <w:pStyle w:val="4"/>
            </w:pPr>
            <w:r>
              <w:t xml:space="preserve"> 参数性质</w:t>
            </w:r>
          </w:p>
        </w:tc>
        <w:tc>
          <w:tcPr>
            <w:tcW w:w="870" w:type="dxa"/>
          </w:tcPr>
          <w:p>
            <w:pPr>
              <w:pStyle w:val="4"/>
            </w:pPr>
            <w:r>
              <w:t xml:space="preserve"> 序号</w:t>
            </w:r>
          </w:p>
        </w:tc>
        <w:tc>
          <w:tcPr>
            <w:tcW w:w="6533"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9" w:type="dxa"/>
          </w:tcPr>
          <w:p/>
        </w:tc>
        <w:tc>
          <w:tcPr>
            <w:tcW w:w="870" w:type="dxa"/>
          </w:tcPr>
          <w:p>
            <w:pPr>
              <w:pStyle w:val="4"/>
            </w:pPr>
            <w:r>
              <w:t>1</w:t>
            </w:r>
          </w:p>
        </w:tc>
        <w:tc>
          <w:tcPr>
            <w:tcW w:w="6533" w:type="dxa"/>
          </w:tcPr>
          <w:p>
            <w:pPr>
              <w:pStyle w:val="4"/>
              <w:jc w:val="both"/>
            </w:pPr>
            <w:r>
              <w:rPr>
                <w:rFonts w:ascii="仿宋" w:hAnsi="仿宋" w:eastAsia="仿宋" w:cs="仿宋"/>
                <w:sz w:val="24"/>
              </w:rPr>
              <w:t>一、项目概况：资阳市雁江区人民医院目前医院编制床位799张，全年产生各类医疗废物约125吨（其中污泥约8吨）。本项目1个包，资阳市雁江区人民医院采购服务供应商1名，为采购人提供医疗废物处置服务，服务期两年。</w:t>
            </w:r>
          </w:p>
          <w:p>
            <w:pPr>
              <w:pStyle w:val="4"/>
              <w:jc w:val="both"/>
            </w:pPr>
            <w:r>
              <w:rPr>
                <w:rFonts w:ascii="仿宋" w:hAnsi="仿宋" w:eastAsia="仿宋" w:cs="仿宋"/>
                <w:b/>
                <w:sz w:val="24"/>
              </w:rPr>
              <w:t>★二、</w:t>
            </w:r>
            <w:r>
              <w:rPr>
                <w:rFonts w:ascii="仿宋" w:hAnsi="仿宋" w:eastAsia="仿宋" w:cs="仿宋"/>
                <w:sz w:val="24"/>
              </w:rPr>
              <w:t>服务项目具体要求：</w:t>
            </w:r>
          </w:p>
          <w:p>
            <w:pPr>
              <w:pStyle w:val="4"/>
              <w:jc w:val="both"/>
            </w:pPr>
            <w:r>
              <w:rPr>
                <w:rFonts w:ascii="仿宋" w:hAnsi="仿宋" w:eastAsia="仿宋" w:cs="仿宋"/>
                <w:sz w:val="24"/>
              </w:rPr>
              <w:t>1.服务内容清单</w:t>
            </w:r>
          </w:p>
          <w:tbl>
            <w:tblPr>
              <w:tblStyle w:val="2"/>
              <w:tblW w:w="6302" w:type="dxa"/>
              <w:tblInd w:w="7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50"/>
              <w:gridCol w:w="3317"/>
              <w:gridCol w:w="1095"/>
              <w:gridCol w:w="144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33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服务内容</w:t>
                  </w:r>
                </w:p>
              </w:tc>
              <w:tc>
                <w:tcPr>
                  <w:tcW w:w="109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最高限价</w:t>
                  </w:r>
                </w:p>
              </w:tc>
              <w:tc>
                <w:tcPr>
                  <w:tcW w:w="144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33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资阳市雁江区人民医院2个院区感染性废物、损伤性废物、病理性废物、药物性废物、化学性废物转运处置</w:t>
                  </w:r>
                </w:p>
              </w:tc>
              <w:tc>
                <w:tcPr>
                  <w:tcW w:w="10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50.44335万元/年</w:t>
                  </w:r>
                </w:p>
              </w:tc>
              <w:tc>
                <w:tcPr>
                  <w:tcW w:w="14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15"/>
                  </w:pPr>
                  <w:r>
                    <w:rPr>
                      <w:rFonts w:ascii="仿宋" w:hAnsi="仿宋" w:eastAsia="仿宋" w:cs="仿宋"/>
                      <w:sz w:val="24"/>
                    </w:rPr>
                    <w:t>含人工、转运、处置等费用。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33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在线医疗废物在线监管平台使用及维护</w:t>
                  </w:r>
                </w:p>
              </w:tc>
              <w:tc>
                <w:tcPr>
                  <w:tcW w:w="10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1.3万元/年</w:t>
                  </w:r>
                </w:p>
              </w:tc>
              <w:tc>
                <w:tcPr>
                  <w:tcW w:w="14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含技术指导等费用。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33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15"/>
                    <w:jc w:val="both"/>
                  </w:pPr>
                  <w:r>
                    <w:rPr>
                      <w:rFonts w:ascii="仿宋" w:hAnsi="仿宋" w:eastAsia="仿宋" w:cs="仿宋"/>
                      <w:sz w:val="24"/>
                    </w:rPr>
                    <w:t>清掏院区污水处理站和化粪池污泥（感染性污泥清掏处置）并转运处置（清掏除臭干化打包后的重量）</w:t>
                  </w:r>
                </w:p>
              </w:tc>
              <w:tc>
                <w:tcPr>
                  <w:tcW w:w="10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9.5万元/年</w:t>
                  </w:r>
                </w:p>
              </w:tc>
              <w:tc>
                <w:tcPr>
                  <w:tcW w:w="14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含清掏、转运、除臭、干化、处置等，每年至少清掏、处置2次及以上，根据采购人实际情况及时清掏</w:t>
                  </w:r>
                </w:p>
              </w:tc>
            </w:tr>
          </w:tbl>
          <w:p>
            <w:pPr>
              <w:pStyle w:val="4"/>
              <w:jc w:val="both"/>
            </w:pPr>
            <w:r>
              <w:rPr>
                <w:rFonts w:ascii="仿宋" w:hAnsi="仿宋" w:eastAsia="仿宋" w:cs="仿宋"/>
                <w:color w:val="000000"/>
                <w:sz w:val="24"/>
              </w:rPr>
              <w:t>2.服务内容及要求</w:t>
            </w:r>
          </w:p>
          <w:p>
            <w:pPr>
              <w:pStyle w:val="4"/>
              <w:jc w:val="both"/>
            </w:pPr>
            <w:r>
              <w:rPr>
                <w:rFonts w:ascii="仿宋" w:hAnsi="仿宋" w:eastAsia="仿宋" w:cs="仿宋"/>
                <w:color w:val="000000"/>
                <w:sz w:val="24"/>
              </w:rPr>
              <w:t>2.1服务范围及内容</w:t>
            </w:r>
          </w:p>
          <w:p>
            <w:pPr>
              <w:pStyle w:val="4"/>
              <w:jc w:val="both"/>
            </w:pPr>
            <w:r>
              <w:rPr>
                <w:rFonts w:ascii="仿宋" w:hAnsi="仿宋" w:eastAsia="仿宋" w:cs="仿宋"/>
                <w:color w:val="000000"/>
                <w:sz w:val="24"/>
              </w:rPr>
              <w:t>资阳市雁江区人民医院新老两院区感染性废物、损伤性废物、病理性废物、药物性废物、化学性废物；清掏两院区污水处理站和化粪池污泥并转运处置。</w:t>
            </w:r>
          </w:p>
          <w:p>
            <w:pPr>
              <w:pStyle w:val="4"/>
              <w:jc w:val="both"/>
            </w:pPr>
            <w:r>
              <w:rPr>
                <w:rFonts w:ascii="仿宋" w:hAnsi="仿宋" w:eastAsia="仿宋" w:cs="仿宋"/>
                <w:color w:val="000000"/>
                <w:sz w:val="24"/>
              </w:rPr>
              <w:t>2.2服务要求</w:t>
            </w:r>
          </w:p>
          <w:p>
            <w:pPr>
              <w:pStyle w:val="4"/>
              <w:jc w:val="both"/>
            </w:pPr>
            <w:r>
              <w:rPr>
                <w:rFonts w:ascii="仿宋" w:hAnsi="仿宋" w:eastAsia="仿宋" w:cs="仿宋"/>
                <w:color w:val="000000"/>
                <w:sz w:val="24"/>
              </w:rPr>
              <w:t>2.2.1 提供指定办理医疗废物转移交接的驾驶员、转移人员、运输车辆证明材料（即驾驶人员的驾驶证和身份证扫描件，医废转移上车人员的身份证扫描件，车辆租赁或购买证明材料、车辆行驶证扫描件）并加盖供应商公章。</w:t>
            </w:r>
          </w:p>
          <w:p>
            <w:pPr>
              <w:pStyle w:val="4"/>
              <w:jc w:val="both"/>
            </w:pPr>
            <w:r>
              <w:rPr>
                <w:rFonts w:ascii="仿宋" w:hAnsi="仿宋" w:eastAsia="仿宋" w:cs="仿宋"/>
                <w:color w:val="000000"/>
                <w:sz w:val="24"/>
              </w:rPr>
              <w:t>2.2.2 提供医疗废物在转移过程中可能发生环境污染事件的应急预案。</w:t>
            </w:r>
          </w:p>
          <w:p>
            <w:pPr>
              <w:pStyle w:val="4"/>
              <w:jc w:val="both"/>
            </w:pPr>
            <w:r>
              <w:rPr>
                <w:rFonts w:ascii="仿宋" w:hAnsi="仿宋" w:eastAsia="仿宋" w:cs="仿宋"/>
                <w:color w:val="000000"/>
                <w:sz w:val="24"/>
              </w:rPr>
              <w:t>2.2.3 供应商必须每48小时内进行一次医疗废物转移，如果遇到发生重大突发公共卫生事件或者采购人有特殊要求，供应商须按照上级主管部门相关文件要求或者采购人的要求，不限时间不限次数及时对医疗废物转移处置，由此产生的额外费用全部包含在供应商报价中。</w:t>
            </w:r>
          </w:p>
          <w:p>
            <w:pPr>
              <w:pStyle w:val="4"/>
              <w:jc w:val="both"/>
            </w:pPr>
            <w:r>
              <w:rPr>
                <w:rFonts w:ascii="仿宋" w:hAnsi="仿宋" w:eastAsia="仿宋" w:cs="仿宋"/>
                <w:color w:val="000000"/>
                <w:sz w:val="24"/>
              </w:rPr>
              <w:t>2.2.4 供应商对医疗废物及污泥的转移、处置必须遵守《中华人民共和国环境保护法》《中华人民共和国固体废物污染环境防治法》《危险废物转移联单管理办法》《医疗废物管理条例》《四川省固体废物污染环境防治条例》《互联网+医废监管工作方案》《四川省医废在线监管技术规范、对接流程及相关技术要求》等法律、法规、规范的要求，使用专用医废转移车辆交接转移。采购人将医疗废物移交给供应商后产生的环境污染事故及其他损害，由供应商承自行担所有责任。</w:t>
            </w:r>
          </w:p>
          <w:p>
            <w:pPr>
              <w:pStyle w:val="4"/>
              <w:jc w:val="both"/>
            </w:pPr>
            <w:r>
              <w:rPr>
                <w:rFonts w:ascii="仿宋" w:hAnsi="仿宋" w:eastAsia="仿宋" w:cs="仿宋"/>
                <w:color w:val="000000"/>
                <w:sz w:val="24"/>
              </w:rPr>
              <w:t>2.2.5 供应商须已在《四川省固体废物环境管理信息系统（无废四川）》注册，并能提供与采购人现有医疗废物收集系统匹配的网络平台，并与“四川智慧卫监——在线监管”平台和四川政府网生态环境厅“无废四川”对接，在运营过程中及时处理网络平台或其它相关电子设备（包括：医疗废物收集车、手持终端、电子秤）出现的任何问题，及时培训医废收集人员设备操作，保证采购单位网络正常运行和医废收集</w:t>
            </w:r>
          </w:p>
          <w:p>
            <w:pPr>
              <w:pStyle w:val="4"/>
              <w:jc w:val="both"/>
            </w:pPr>
            <w:r>
              <w:rPr>
                <w:rFonts w:ascii="仿宋" w:hAnsi="仿宋" w:eastAsia="仿宋" w:cs="仿宋"/>
                <w:color w:val="000000"/>
                <w:sz w:val="24"/>
              </w:rPr>
              <w:t>2.2.6 法定节假日能保证服务正常进行。如遇特殊情况，无条件的服从采购人要求，不得推诿和要求增加其他费用。</w:t>
            </w:r>
          </w:p>
          <w:p>
            <w:pPr>
              <w:pStyle w:val="4"/>
              <w:jc w:val="both"/>
            </w:pPr>
            <w:r>
              <w:rPr>
                <w:rFonts w:ascii="仿宋" w:hAnsi="仿宋" w:eastAsia="仿宋" w:cs="仿宋"/>
                <w:color w:val="000000"/>
                <w:sz w:val="24"/>
              </w:rPr>
              <w:t>附件：考核标准</w:t>
            </w:r>
            <w:r>
              <w:rPr>
                <w:rFonts w:ascii="仿宋" w:hAnsi="仿宋" w:eastAsia="仿宋" w:cs="仿宋"/>
              </w:rPr>
              <w:t xml:space="preserve">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2"/>
              <w:gridCol w:w="2055"/>
              <w:gridCol w:w="705"/>
              <w:gridCol w:w="1095"/>
              <w:gridCol w:w="990"/>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序号</w:t>
                  </w:r>
                </w:p>
              </w:tc>
              <w:tc>
                <w:tcPr>
                  <w:tcW w:w="205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考核标准</w:t>
                  </w:r>
                </w:p>
              </w:tc>
              <w:tc>
                <w:tcPr>
                  <w:tcW w:w="70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分值</w:t>
                  </w:r>
                  <w:bookmarkStart w:id="0" w:name="_GoBack"/>
                  <w:bookmarkEnd w:id="0"/>
                </w:p>
              </w:tc>
              <w:tc>
                <w:tcPr>
                  <w:tcW w:w="10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评分标准</w:t>
                  </w:r>
                </w:p>
              </w:tc>
              <w:tc>
                <w:tcPr>
                  <w:tcW w:w="9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扣分原因</w:t>
                  </w:r>
                </w:p>
              </w:tc>
              <w:tc>
                <w:tcPr>
                  <w:tcW w:w="6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扣分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7" w:type="dxa"/>
                  <w:gridSpan w:val="6"/>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清掏及转运服务（54分）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1</w:t>
                  </w:r>
                </w:p>
              </w:tc>
              <w:tc>
                <w:tcPr>
                  <w:tcW w:w="205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转运车辆是否符合相关规范要求</w:t>
                  </w:r>
                </w:p>
              </w:tc>
              <w:tc>
                <w:tcPr>
                  <w:tcW w:w="70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2</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是否每48小时进行一次转运并填写转运联单</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3</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司机、转运人员是否遵守规章制度</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4</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司机、转运人员是否穿戴整齐相应防护用品</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5</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是否按照医院要求对污水处理站及化粪池进行污泥清掏，清掏后按要求除臭、干化、转运并填写转运联单</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未达到要求，1次扣3分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6</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color w:val="000000"/>
                      <w:sz w:val="22"/>
                    </w:rPr>
                    <w:t>如遇到发生重大突发公共卫生事件或者医院有特殊要求时，是否按照上级主管部门相关文件要求或者医院的要求，不限时间不限次数及时对医疗废物进行转移处置</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7" w:type="dxa"/>
                  <w:gridSpan w:val="6"/>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平台及设备维护（36分）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7</w:t>
                  </w:r>
                </w:p>
              </w:tc>
              <w:tc>
                <w:tcPr>
                  <w:tcW w:w="205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对于医院反馈</w:t>
                  </w:r>
                  <w:r>
                    <w:rPr>
                      <w:rFonts w:ascii="仿宋" w:hAnsi="仿宋" w:eastAsia="仿宋" w:cs="仿宋"/>
                      <w:color w:val="000000"/>
                      <w:sz w:val="22"/>
                    </w:rPr>
                    <w:t>的网络平台相关问题，在2小时内响应并提供技术支持</w:t>
                  </w:r>
                </w:p>
              </w:tc>
              <w:tc>
                <w:tcPr>
                  <w:tcW w:w="70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8</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color w:val="000000"/>
                      <w:sz w:val="22"/>
                    </w:rPr>
                    <w:t>医疗废物收集车、手持终端、电子秤出现故障时，在2小时内响应并提供解决方案</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9</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按照医院需求，培训医废收集人员相关设备操作</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10</w:t>
                  </w:r>
                </w:p>
              </w:tc>
              <w:tc>
                <w:tcPr>
                  <w:tcW w:w="205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在医废收集人员正确操作相关设备的情况下，保证数据上传的及时性、准确性</w:t>
                  </w:r>
                </w:p>
              </w:tc>
              <w:tc>
                <w:tcPr>
                  <w:tcW w:w="70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9分</w:t>
                  </w:r>
                </w:p>
              </w:tc>
              <w:tc>
                <w:tcPr>
                  <w:tcW w:w="109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未达到要求，1次扣1分</w:t>
                  </w:r>
                </w:p>
              </w:tc>
              <w:tc>
                <w:tcPr>
                  <w:tcW w:w="99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7" w:type="dxa"/>
                  <w:gridSpan w:val="6"/>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环保安全（10分）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11</w:t>
                  </w:r>
                </w:p>
              </w:tc>
              <w:tc>
                <w:tcPr>
                  <w:tcW w:w="205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在转运过程中发生医废泄露、遗失等事故</w:t>
                  </w:r>
                </w:p>
              </w:tc>
              <w:tc>
                <w:tcPr>
                  <w:tcW w:w="70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10分</w:t>
                  </w:r>
                </w:p>
              </w:tc>
              <w:tc>
                <w:tcPr>
                  <w:tcW w:w="10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未达到要求，1次扣10分</w:t>
                  </w:r>
                </w:p>
              </w:tc>
              <w:tc>
                <w:tcPr>
                  <w:tcW w:w="9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6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27" w:type="dxa"/>
                  <w:gridSpan w:val="4"/>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实际扣分</w:t>
                  </w:r>
                </w:p>
              </w:tc>
              <w:tc>
                <w:tcPr>
                  <w:tcW w:w="1620" w:type="dxa"/>
                  <w:gridSpan w:val="2"/>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27" w:type="dxa"/>
                  <w:gridSpan w:val="4"/>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 w:hAnsi="仿宋" w:eastAsia="仿宋" w:cs="仿宋"/>
                      <w:sz w:val="22"/>
                    </w:rPr>
                    <w:t>总得分</w:t>
                  </w:r>
                </w:p>
              </w:tc>
              <w:tc>
                <w:tcPr>
                  <w:tcW w:w="1620" w:type="dxa"/>
                  <w:gridSpan w:val="2"/>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7" w:type="dxa"/>
                  <w:gridSpan w:val="6"/>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r>
                    <w:rPr>
                      <w:rFonts w:ascii="仿宋" w:hAnsi="仿宋" w:eastAsia="仿宋" w:cs="仿宋"/>
                      <w:sz w:val="22"/>
                    </w:rPr>
                    <w:t>（1）90分至80分（含80分），按照90分为标准，每减少1分扣除当季服务费500元；</w:t>
                  </w:r>
                </w:p>
                <w:p>
                  <w:pPr>
                    <w:pStyle w:val="4"/>
                    <w:jc w:val="both"/>
                  </w:pPr>
                  <w:r>
                    <w:rPr>
                      <w:rFonts w:ascii="仿宋" w:hAnsi="仿宋" w:eastAsia="仿宋" w:cs="仿宋"/>
                      <w:sz w:val="22"/>
                    </w:rPr>
                    <w:t>（2）80分至70分（含70分），按照80分为标准，每减少1分扣除当季服务费1000元；</w:t>
                  </w:r>
                </w:p>
                <w:p>
                  <w:pPr>
                    <w:pStyle w:val="4"/>
                    <w:jc w:val="both"/>
                  </w:pPr>
                  <w:r>
                    <w:rPr>
                      <w:rFonts w:ascii="仿宋" w:hAnsi="仿宋" w:eastAsia="仿宋" w:cs="仿宋"/>
                      <w:sz w:val="22"/>
                    </w:rPr>
                    <w:t>（3）考核分数＜70分为不合格，双方认可后扣除当季服务费用10000元，连续两个季度考核不合格，采购人有权解除合同。</w:t>
                  </w:r>
                </w:p>
                <w:p>
                  <w:pPr>
                    <w:pStyle w:val="4"/>
                    <w:jc w:val="both"/>
                  </w:pPr>
                  <w:r>
                    <w:rPr>
                      <w:rFonts w:ascii="仿宋" w:hAnsi="仿宋" w:eastAsia="仿宋" w:cs="仿宋"/>
                      <w:sz w:val="22"/>
                    </w:rPr>
                    <w:t>注：本项中（1）、（2）、（3）项为累加扣除当季服务费用，第二年度续签合同需第一年度考核平均分高于90。</w:t>
                  </w:r>
                </w:p>
              </w:tc>
            </w:tr>
          </w:tbl>
          <w:p>
            <w:pPr>
              <w:pStyle w:val="4"/>
              <w:ind w:firstLine="120"/>
              <w:jc w:val="left"/>
            </w:pPr>
            <w:r>
              <w:rPr>
                <w:rFonts w:ascii="仿宋" w:hAnsi="仿宋" w:eastAsia="仿宋" w:cs="仿宋"/>
                <w:sz w:val="24"/>
              </w:rPr>
              <w:t>3.其他要求</w:t>
            </w:r>
          </w:p>
          <w:p>
            <w:pPr>
              <w:pStyle w:val="4"/>
              <w:ind w:firstLine="120"/>
              <w:jc w:val="left"/>
            </w:pPr>
            <w:r>
              <w:rPr>
                <w:rFonts w:ascii="仿宋" w:hAnsi="仿宋" w:eastAsia="仿宋" w:cs="仿宋"/>
                <w:sz w:val="24"/>
              </w:rPr>
              <w:t>3.1供应商报价包含完成本项目所需的一切费用。供应商应根据本项目的实际与自身情况，并充分考虑不确定性因素可能导致的风险。若因供应商原因造成的漏报、错报而导致本项目无法履行的，由供应商负责，采购人不承担任何费用。</w:t>
            </w:r>
          </w:p>
          <w:p>
            <w:pPr>
              <w:pStyle w:val="4"/>
              <w:ind w:firstLine="120"/>
              <w:jc w:val="left"/>
            </w:pPr>
            <w:r>
              <w:rPr>
                <w:rFonts w:ascii="仿宋" w:hAnsi="仿宋" w:eastAsia="仿宋" w:cs="仿宋"/>
                <w:sz w:val="24"/>
              </w:rPr>
              <w:t>3.2发生重大突发公共卫生事件时或采购人有特殊要求时，供应商须按上级主管部门相关文件要求对危险废物及时处置，不限时间不限次数，由此产生的额外费用由供应商自行承担。</w:t>
            </w:r>
          </w:p>
          <w:p>
            <w:pPr>
              <w:pStyle w:val="4"/>
              <w:ind w:firstLine="120"/>
              <w:jc w:val="left"/>
            </w:pPr>
            <w:r>
              <w:rPr>
                <w:rFonts w:ascii="仿宋" w:hAnsi="仿宋" w:eastAsia="仿宋" w:cs="仿宋"/>
                <w:sz w:val="24"/>
              </w:rPr>
              <w:t>3.3在服务过程中，供应商自行承担和负责劳动生产安全及安全文明施工，如发生因操作不到或设备设施不到位野蛮服务，导致的工作人员被医废产品感染等事故以及车辆运输事故，劳动纠纷等均由供应商承担法律及经济赔偿责任，采购人有权使用未支付的服务款先行垫付，供应商不得有异议。</w:t>
            </w:r>
          </w:p>
          <w:p>
            <w:pPr>
              <w:pStyle w:val="4"/>
              <w:ind w:firstLine="120"/>
              <w:jc w:val="left"/>
            </w:pPr>
            <w:r>
              <w:rPr>
                <w:rFonts w:ascii="仿宋" w:hAnsi="仿宋" w:eastAsia="仿宋" w:cs="仿宋"/>
                <w:sz w:val="24"/>
              </w:rPr>
              <w:t>3.4在服务过程中，由于供应商操作不当，导致的环境污染及对采购人造成的不良影响，均由供应商负责恢复原貌和消除影响，由此产生的法律责任及经济赔偿均由供应商承担。采购人有权使用未支付的服务款先行垫付，供应商不得有异议。</w:t>
            </w:r>
          </w:p>
          <w:p>
            <w:pPr>
              <w:pStyle w:val="4"/>
              <w:ind w:firstLine="120"/>
              <w:jc w:val="left"/>
            </w:pPr>
            <w:r>
              <w:rPr>
                <w:rFonts w:ascii="仿宋" w:hAnsi="仿宋" w:eastAsia="仿宋" w:cs="仿宋"/>
                <w:sz w:val="24"/>
              </w:rPr>
              <w:t>3.5在运输过程中，应当遵守国家有关危险货物运输管理的规定，使用有明显医疗废物标识的专用车辆。由于供应商运输不当造成的不良影响、法律责任及经济赔偿，均由供应商承担。（提供承诺函）</w:t>
            </w:r>
          </w:p>
          <w:p>
            <w:pPr>
              <w:pStyle w:val="4"/>
            </w:pPr>
            <w:r>
              <w:rPr>
                <w:rFonts w:ascii="仿宋" w:hAnsi="仿宋" w:eastAsia="仿宋" w:cs="仿宋"/>
                <w:sz w:val="24"/>
              </w:rPr>
              <w:t>3.6本项目合同一年一签，服务期限为2年。</w:t>
            </w:r>
          </w:p>
        </w:tc>
      </w:tr>
    </w:tbl>
    <w:p>
      <w:pPr>
        <w:pStyle w:val="4"/>
        <w:outlineLvl w:val="3"/>
      </w:pPr>
      <w:r>
        <w:rPr>
          <w:b/>
          <w:sz w:val="24"/>
        </w:rPr>
        <w:t>3.2.3人员配置要求</w:t>
      </w:r>
    </w:p>
    <w:p>
      <w:pPr>
        <w:pStyle w:val="4"/>
      </w:pPr>
      <w:r>
        <w:t>采购包1：</w:t>
      </w:r>
    </w:p>
    <w:p>
      <w:pPr>
        <w:pStyle w:val="4"/>
      </w:pPr>
      <w:r>
        <w:t>详见3.2.2服务要求</w:t>
      </w:r>
    </w:p>
    <w:p>
      <w:pPr>
        <w:pStyle w:val="4"/>
        <w:outlineLvl w:val="3"/>
      </w:pPr>
      <w:r>
        <w:rPr>
          <w:b/>
          <w:sz w:val="24"/>
        </w:rPr>
        <w:t>3.2.4设施设备要求</w:t>
      </w:r>
    </w:p>
    <w:p>
      <w:pPr>
        <w:pStyle w:val="4"/>
      </w:pPr>
      <w:r>
        <w:t>采购包1：</w:t>
      </w:r>
    </w:p>
    <w:p>
      <w:pPr>
        <w:pStyle w:val="4"/>
      </w:pPr>
      <w:r>
        <w:t>详见3.2.2服务要求</w:t>
      </w:r>
    </w:p>
    <w:p>
      <w:pPr>
        <w:pStyle w:val="4"/>
        <w:outlineLvl w:val="3"/>
      </w:pPr>
      <w:r>
        <w:rPr>
          <w:b/>
          <w:sz w:val="24"/>
        </w:rPr>
        <w:t>3.2.5其他要求</w:t>
      </w: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r>
        <w:t>采购包1：</w:t>
      </w:r>
    </w:p>
    <w:p>
      <w:pPr>
        <w:pStyle w:val="4"/>
      </w:pPr>
      <w:r>
        <w:t xml:space="preserve"> 自合同签订之日起730日</w:t>
      </w:r>
    </w:p>
    <w:p>
      <w:pPr>
        <w:pStyle w:val="4"/>
        <w:outlineLvl w:val="3"/>
      </w:pPr>
      <w:r>
        <w:rPr>
          <w:b/>
          <w:sz w:val="24"/>
        </w:rPr>
        <w:t>3.3.2服务地点</w:t>
      </w:r>
    </w:p>
    <w:p>
      <w:pPr>
        <w:pStyle w:val="4"/>
      </w:pPr>
      <w:r>
        <w:t>采购包1：</w:t>
      </w:r>
    </w:p>
    <w:p>
      <w:pPr>
        <w:pStyle w:val="4"/>
      </w:pPr>
      <w:r>
        <w:t>资阳市雁江区人民医院</w:t>
      </w:r>
    </w:p>
    <w:p>
      <w:pPr>
        <w:pStyle w:val="4"/>
        <w:outlineLvl w:val="3"/>
      </w:pPr>
      <w:r>
        <w:rPr>
          <w:b/>
          <w:sz w:val="24"/>
        </w:rPr>
        <w:t>3.3.3考核（验收）标准和方法</w:t>
      </w:r>
    </w:p>
    <w:p>
      <w:pPr>
        <w:pStyle w:val="4"/>
      </w:pPr>
      <w:r>
        <w:t>采购包1：</w:t>
      </w:r>
    </w:p>
    <w:p>
      <w:pPr>
        <w:pStyle w:val="4"/>
      </w:pPr>
      <w:r>
        <w:t>按国家有关规定以及采购文件的服务质量要求和技术指标、响应文件及承诺与合同约定标准进行验收；双方如对服务质量要求和技术指标的约定标准有相互抵触或异议的事项，由采购人在采购文件与响应文件中按服务质量要求和技术指标比较优胜的原则确定该项的约定标准进行验收；如双方对验收结果存在争议，采购人有权第三方专业机构及专家参与验收，相关验收意见作为验收报告的参考资料。</w:t>
      </w:r>
    </w:p>
    <w:p>
      <w:pPr>
        <w:pStyle w:val="4"/>
        <w:jc w:val="left"/>
        <w:outlineLvl w:val="3"/>
      </w:pPr>
      <w:r>
        <w:rPr>
          <w:b/>
          <w:sz w:val="24"/>
        </w:rPr>
        <w:t>3.3.4支付方式</w:t>
      </w:r>
    </w:p>
    <w:p>
      <w:pPr>
        <w:pStyle w:val="4"/>
      </w:pPr>
      <w:r>
        <w:t>采购包1：</w:t>
      </w:r>
    </w:p>
    <w:p>
      <w:pPr>
        <w:pStyle w:val="4"/>
      </w:pPr>
      <w:r>
        <w:t>分期付款</w:t>
      </w:r>
    </w:p>
    <w:p>
      <w:pPr>
        <w:pStyle w:val="4"/>
        <w:outlineLvl w:val="3"/>
      </w:pPr>
      <w:r>
        <w:rPr>
          <w:b/>
          <w:sz w:val="24"/>
        </w:rPr>
        <w:t>3.3.5支付约定</w:t>
      </w:r>
    </w:p>
    <w:p>
      <w:pPr>
        <w:pStyle w:val="4"/>
      </w:pPr>
      <w:r>
        <w:t>采购包1： 付款条件说明： 按季度结算，每季度结束后次月采购人结合考核情况进行结算，收到供应商提供完整有效发票且采购人完善报销手续 ，达到付款条件起 30 日内，支付合同总金额的 25.00%。</w:t>
      </w:r>
    </w:p>
    <w:p>
      <w:pPr>
        <w:pStyle w:val="4"/>
      </w:pPr>
      <w:r>
        <w:t>采购包1： 付款条件说明： 按季度结算，每季度结束后次月采购人结合考核情况进行结算，收到供应商提供完整有效发票且采购人完善报销手续 ，达到付款条件起 30 日内，支付合同总金额的 25.00%。</w:t>
      </w:r>
    </w:p>
    <w:p>
      <w:pPr>
        <w:pStyle w:val="4"/>
      </w:pPr>
      <w:r>
        <w:t>采购包1： 付款条件说明： 按季度结算，每季度结束后次月采购人结合考核情况进行结算，收到供应商提供完整有效发票且采购人完善报销手续 ，达到付款条件起 30 日内，支付合同总金额的 25.00%。</w:t>
      </w:r>
    </w:p>
    <w:p>
      <w:pPr>
        <w:pStyle w:val="4"/>
      </w:pPr>
      <w:r>
        <w:t>采购包1： 付款条件说明： 按季度结算，每季度结束后次月采购人结合考核情况进行结算，收到供应商提供完整有效发票且采购人完善报销手续 ，达到付款条件起 30 日内，支付合同总金额的 25.00%。</w:t>
      </w:r>
    </w:p>
    <w:p>
      <w:pPr>
        <w:pStyle w:val="4"/>
        <w:outlineLvl w:val="3"/>
      </w:pPr>
      <w:r>
        <w:rPr>
          <w:b/>
          <w:sz w:val="24"/>
        </w:rPr>
        <w:t>3.3.6违约责任及解决争议的方法</w:t>
      </w:r>
    </w:p>
    <w:p>
      <w:pPr>
        <w:pStyle w:val="4"/>
      </w:pPr>
      <w:r>
        <w:t>采购包1：</w:t>
      </w:r>
    </w:p>
    <w:p>
      <w:pPr>
        <w:pStyle w:val="4"/>
      </w:pPr>
      <w:r>
        <w:t>由本项目引起的任何争议，双方应尽量通过友好协商的方式解决，若争议发生后的三十天内仍未达成解决方案，则任何一方有权向资阳市雁江区人民法院起诉。</w:t>
      </w:r>
    </w:p>
    <w:p>
      <w:pPr>
        <w:pStyle w:val="4"/>
        <w:jc w:val="left"/>
        <w:outlineLvl w:val="2"/>
      </w:pPr>
      <w:r>
        <w:rPr>
          <w:b/>
          <w:sz w:val="28"/>
        </w:rPr>
        <w:t>3.4其他要求</w:t>
      </w:r>
    </w:p>
    <w:p>
      <w:pPr>
        <w:pStyle w:val="4"/>
      </w:pPr>
      <w: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MjM2OTllNDE2ZGIzMjQ5NGE1NWFiZmNkMjliMjgifQ=="/>
  </w:docVars>
  <w:rsids>
    <w:rsidRoot w:val="00000000"/>
    <w:rsid w:val="623D3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2024-03-19T07:11:38Z</dcterms:created>
  <dc:creator>Administrator</dc:creator>
  <cp:lastModifiedBy>饭团</cp:lastModifiedBy>
  <dcterms:modified xsi:type="dcterms:W3CDTF">2024-03-19T07:16:40Z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644F10F3278441EFAB99A69E658A2219_12</vt:lpwstr>
  </property>
</Properties>
</file>